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33A8FF5" w14:textId="77777777" w:rsidR="00136778" w:rsidRPr="00987C32" w:rsidRDefault="00136778" w:rsidP="00BC11DC">
      <w:pPr>
        <w:spacing w:before="0" w:after="0" w:line="240" w:lineRule="auto"/>
        <w:ind w:firstLine="567"/>
        <w:rPr>
          <w:rFonts w:cs="Times New Roman"/>
          <w:b/>
          <w:bCs/>
          <w:sz w:val="22"/>
          <w:szCs w:val="22"/>
          <w:lang w:val="ro-RO"/>
        </w:rPr>
      </w:pPr>
    </w:p>
    <w:p w14:paraId="58B191EE" w14:textId="77777777" w:rsidR="0036759A" w:rsidRPr="00987C32" w:rsidRDefault="0036759A" w:rsidP="00BC11DC">
      <w:pPr>
        <w:spacing w:before="0" w:after="0" w:line="240" w:lineRule="auto"/>
        <w:ind w:firstLine="567"/>
        <w:jc w:val="center"/>
        <w:rPr>
          <w:rFonts w:ascii="Trebuchet MS" w:hAnsi="Trebuchet MS" w:cs="Times New Roman"/>
          <w:b/>
          <w:bCs/>
          <w:color w:val="003399"/>
          <w:sz w:val="28"/>
          <w:szCs w:val="28"/>
          <w:lang w:val="ro-RO"/>
        </w:rPr>
      </w:pPr>
    </w:p>
    <w:p w14:paraId="2F382ED4" w14:textId="77777777" w:rsidR="0036759A" w:rsidRPr="00987C32" w:rsidRDefault="0036759A" w:rsidP="00BC11DC">
      <w:pPr>
        <w:spacing w:before="0" w:after="0" w:line="240" w:lineRule="auto"/>
        <w:ind w:firstLine="567"/>
        <w:jc w:val="center"/>
        <w:rPr>
          <w:rFonts w:ascii="Trebuchet MS" w:hAnsi="Trebuchet MS" w:cs="Times New Roman"/>
          <w:color w:val="003399"/>
          <w:sz w:val="28"/>
          <w:szCs w:val="28"/>
          <w:lang w:val="ro-RO"/>
        </w:rPr>
      </w:pPr>
    </w:p>
    <w:p w14:paraId="19694CEA" w14:textId="77777777" w:rsidR="00136778" w:rsidRPr="00987C32" w:rsidRDefault="00136778" w:rsidP="00BC11DC">
      <w:pPr>
        <w:spacing w:before="0" w:after="0" w:line="240" w:lineRule="auto"/>
        <w:ind w:firstLine="567"/>
        <w:jc w:val="center"/>
        <w:rPr>
          <w:rFonts w:ascii="Trebuchet MS" w:hAnsi="Trebuchet MS" w:cs="Times New Roman"/>
          <w:color w:val="003399"/>
          <w:sz w:val="28"/>
          <w:szCs w:val="28"/>
          <w:lang w:val="ro-RO"/>
        </w:rPr>
      </w:pPr>
      <w:r w:rsidRPr="00987C32">
        <w:rPr>
          <w:rFonts w:ascii="Trebuchet MS" w:hAnsi="Trebuchet MS" w:cs="Times New Roman"/>
          <w:color w:val="003399"/>
          <w:sz w:val="28"/>
          <w:szCs w:val="28"/>
          <w:lang w:val="ro-RO"/>
        </w:rPr>
        <w:t xml:space="preserve">Îmbunătățirea </w:t>
      </w:r>
      <w:r w:rsidR="00E870DB" w:rsidRPr="00987C32">
        <w:rPr>
          <w:rFonts w:ascii="Trebuchet MS" w:hAnsi="Trebuchet MS" w:cs="Times New Roman"/>
          <w:color w:val="003399"/>
          <w:sz w:val="28"/>
          <w:szCs w:val="28"/>
          <w:lang w:val="ro-RO"/>
        </w:rPr>
        <w:t>capacității autorității publice centrale în domeniul protecției mediului marin în ceea ce privește monitorizarea, evaluarea, planificarea, implementarea și raportarea cerințelor stabilite în Directiva Cadru Strategia Marină și pentru gospodărirea integrată a zonei costiere, SIPOCA 608/ MySMIS 127598</w:t>
      </w:r>
    </w:p>
    <w:p w14:paraId="77B874F0" w14:textId="77777777" w:rsidR="00136778" w:rsidRPr="00987C32" w:rsidRDefault="00136778" w:rsidP="00BC11DC">
      <w:pPr>
        <w:ind w:firstLine="567"/>
        <w:rPr>
          <w:rFonts w:cs="Times New Roman"/>
          <w:sz w:val="22"/>
          <w:szCs w:val="22"/>
          <w:lang w:val="ro-RO"/>
        </w:rPr>
      </w:pPr>
    </w:p>
    <w:p w14:paraId="7A6B0369" w14:textId="77777777" w:rsidR="00136778" w:rsidRPr="00987C32" w:rsidRDefault="00136778" w:rsidP="00BC11DC">
      <w:pPr>
        <w:ind w:firstLine="567"/>
        <w:rPr>
          <w:rFonts w:cs="Times New Roman"/>
          <w:sz w:val="22"/>
          <w:szCs w:val="22"/>
          <w:lang w:val="ro-RO"/>
        </w:rPr>
      </w:pPr>
    </w:p>
    <w:p w14:paraId="766EC675" w14:textId="77777777" w:rsidR="00301621" w:rsidRDefault="00301621" w:rsidP="00BC11DC">
      <w:pPr>
        <w:ind w:firstLine="567"/>
        <w:rPr>
          <w:rFonts w:ascii="Trebuchet MS" w:hAnsi="Trebuchet MS" w:cs="Times New Roman"/>
          <w:sz w:val="22"/>
          <w:szCs w:val="22"/>
          <w:lang w:val="ro-RO"/>
        </w:rPr>
      </w:pPr>
    </w:p>
    <w:p w14:paraId="12C06553" w14:textId="77777777" w:rsidR="008C6A37" w:rsidRDefault="008C6A37" w:rsidP="00BC11DC">
      <w:pPr>
        <w:ind w:firstLine="567"/>
        <w:rPr>
          <w:rFonts w:ascii="Trebuchet MS" w:hAnsi="Trebuchet MS" w:cs="Times New Roman"/>
          <w:sz w:val="22"/>
          <w:szCs w:val="22"/>
          <w:lang w:val="ro-RO"/>
        </w:rPr>
      </w:pPr>
    </w:p>
    <w:p w14:paraId="79FBED80" w14:textId="77777777" w:rsidR="008C6A37" w:rsidRPr="00987C32" w:rsidRDefault="008C6A37" w:rsidP="00BC11DC">
      <w:pPr>
        <w:ind w:firstLine="567"/>
        <w:rPr>
          <w:rFonts w:ascii="Trebuchet MS" w:hAnsi="Trebuchet MS" w:cs="Times New Roman"/>
          <w:sz w:val="22"/>
          <w:szCs w:val="22"/>
          <w:lang w:val="ro-RO"/>
        </w:rPr>
      </w:pPr>
    </w:p>
    <w:p w14:paraId="50D34B39" w14:textId="77777777" w:rsidR="0036759A" w:rsidRPr="00987C32" w:rsidRDefault="0036759A" w:rsidP="00BC11DC">
      <w:pPr>
        <w:ind w:firstLine="567"/>
        <w:rPr>
          <w:rFonts w:ascii="Trebuchet MS" w:hAnsi="Trebuchet MS" w:cs="Times New Roman"/>
          <w:sz w:val="22"/>
          <w:szCs w:val="22"/>
          <w:lang w:val="ro-RO"/>
        </w:rPr>
      </w:pPr>
    </w:p>
    <w:p w14:paraId="54F9B022" w14:textId="77777777" w:rsidR="0036759A" w:rsidRPr="00987C32" w:rsidRDefault="0036759A" w:rsidP="00BC11DC">
      <w:pPr>
        <w:ind w:firstLine="567"/>
        <w:jc w:val="center"/>
        <w:rPr>
          <w:rFonts w:cs="Times New Roman"/>
          <w:sz w:val="72"/>
          <w:szCs w:val="72"/>
          <w:lang w:val="ro-RO"/>
        </w:rPr>
      </w:pPr>
      <w:r w:rsidRPr="00987C32">
        <w:rPr>
          <w:rFonts w:ascii="Trebuchet MS" w:hAnsi="Trebuchet MS" w:cs="Times New Roman"/>
          <w:b/>
          <w:bCs/>
          <w:color w:val="003399"/>
          <w:sz w:val="72"/>
          <w:szCs w:val="72"/>
          <w:lang w:val="ro-RO"/>
        </w:rPr>
        <w:t xml:space="preserve">Livrabil </w:t>
      </w:r>
      <w:r w:rsidR="008C6A37">
        <w:rPr>
          <w:rFonts w:ascii="Trebuchet MS" w:hAnsi="Trebuchet MS" w:cs="Times New Roman"/>
          <w:b/>
          <w:bCs/>
          <w:color w:val="003399"/>
          <w:sz w:val="72"/>
          <w:szCs w:val="72"/>
          <w:lang w:val="ro-RO"/>
        </w:rPr>
        <w:t>5</w:t>
      </w:r>
    </w:p>
    <w:p w14:paraId="09E6EDCF" w14:textId="77777777" w:rsidR="00E870DB" w:rsidRDefault="00E870DB" w:rsidP="00BC11DC">
      <w:pPr>
        <w:ind w:firstLine="567"/>
        <w:jc w:val="center"/>
        <w:rPr>
          <w:rFonts w:cs="Times New Roman"/>
          <w:sz w:val="22"/>
          <w:szCs w:val="22"/>
          <w:lang w:val="ro-RO"/>
        </w:rPr>
      </w:pPr>
    </w:p>
    <w:p w14:paraId="41C379EC" w14:textId="77777777" w:rsidR="0033469D" w:rsidRDefault="0033469D" w:rsidP="00BC11DC">
      <w:pPr>
        <w:ind w:firstLine="567"/>
        <w:jc w:val="center"/>
        <w:rPr>
          <w:rFonts w:cs="Times New Roman"/>
          <w:sz w:val="22"/>
          <w:szCs w:val="22"/>
          <w:lang w:val="ro-RO"/>
        </w:rPr>
      </w:pPr>
    </w:p>
    <w:p w14:paraId="44711871" w14:textId="77777777" w:rsidR="0033469D" w:rsidRPr="00987C32" w:rsidRDefault="0033469D" w:rsidP="00BC11DC">
      <w:pPr>
        <w:ind w:firstLine="567"/>
        <w:jc w:val="center"/>
        <w:rPr>
          <w:rFonts w:cs="Times New Roman"/>
          <w:sz w:val="22"/>
          <w:szCs w:val="22"/>
          <w:lang w:val="ro-RO"/>
        </w:rPr>
      </w:pPr>
    </w:p>
    <w:p w14:paraId="7B3DCF6C" w14:textId="48A11C0A" w:rsidR="008C6A37" w:rsidRPr="00D244A7" w:rsidRDefault="008C6A37" w:rsidP="00BC11DC">
      <w:pPr>
        <w:ind w:firstLine="567"/>
        <w:jc w:val="center"/>
        <w:rPr>
          <w:rFonts w:ascii="Trebuchet MS" w:hAnsi="Trebuchet MS" w:cs="Times New Roman"/>
          <w:b/>
          <w:bCs/>
          <w:color w:val="003399"/>
          <w:sz w:val="28"/>
          <w:szCs w:val="28"/>
          <w:lang w:val="ro-RO"/>
        </w:rPr>
      </w:pPr>
      <w:r w:rsidRPr="00D244A7">
        <w:rPr>
          <w:rFonts w:ascii="Trebuchet MS" w:hAnsi="Trebuchet MS" w:cs="Times New Roman"/>
          <w:b/>
          <w:bCs/>
          <w:color w:val="003399"/>
          <w:sz w:val="28"/>
          <w:szCs w:val="28"/>
          <w:lang w:val="ro-RO"/>
        </w:rPr>
        <w:t xml:space="preserve">Varianta finală a Strategiei </w:t>
      </w:r>
      <w:r w:rsidR="00E937B9">
        <w:rPr>
          <w:rFonts w:ascii="Trebuchet MS" w:hAnsi="Trebuchet MS" w:cs="Times New Roman"/>
          <w:b/>
          <w:bCs/>
          <w:color w:val="003399"/>
          <w:sz w:val="28"/>
          <w:szCs w:val="28"/>
          <w:lang w:val="ro-RO"/>
        </w:rPr>
        <w:t>N</w:t>
      </w:r>
      <w:r w:rsidRPr="00D244A7">
        <w:rPr>
          <w:rFonts w:ascii="Trebuchet MS" w:hAnsi="Trebuchet MS" w:cs="Times New Roman"/>
          <w:b/>
          <w:bCs/>
          <w:color w:val="003399"/>
          <w:sz w:val="28"/>
          <w:szCs w:val="28"/>
          <w:lang w:val="ro-RO"/>
        </w:rPr>
        <w:t>aționale privind g</w:t>
      </w:r>
      <w:r w:rsidR="00E937B9">
        <w:rPr>
          <w:rFonts w:ascii="Trebuchet MS" w:hAnsi="Trebuchet MS" w:cs="Times New Roman"/>
          <w:b/>
          <w:bCs/>
          <w:color w:val="003399"/>
          <w:sz w:val="28"/>
          <w:szCs w:val="28"/>
          <w:lang w:val="ro-RO"/>
        </w:rPr>
        <w:t>ospodărire</w:t>
      </w:r>
      <w:r w:rsidRPr="00D244A7">
        <w:rPr>
          <w:rFonts w:ascii="Trebuchet MS" w:hAnsi="Trebuchet MS" w:cs="Times New Roman"/>
          <w:b/>
          <w:bCs/>
          <w:color w:val="003399"/>
          <w:sz w:val="28"/>
          <w:szCs w:val="28"/>
          <w:lang w:val="ro-RO"/>
        </w:rPr>
        <w:t xml:space="preserve">a integrată a zonei costiere și a Planului de Management </w:t>
      </w:r>
      <w:r w:rsidR="00E937B9">
        <w:rPr>
          <w:rFonts w:ascii="Trebuchet MS" w:hAnsi="Trebuchet MS" w:cs="Times New Roman"/>
          <w:b/>
          <w:bCs/>
          <w:color w:val="003399"/>
          <w:sz w:val="28"/>
          <w:szCs w:val="28"/>
          <w:lang w:val="ro-RO"/>
        </w:rPr>
        <w:t>I</w:t>
      </w:r>
      <w:r w:rsidRPr="00D244A7">
        <w:rPr>
          <w:rFonts w:ascii="Trebuchet MS" w:hAnsi="Trebuchet MS" w:cs="Times New Roman"/>
          <w:b/>
          <w:bCs/>
          <w:color w:val="003399"/>
          <w:sz w:val="28"/>
          <w:szCs w:val="28"/>
          <w:lang w:val="ro-RO"/>
        </w:rPr>
        <w:t>ntegrat al zonei costiere</w:t>
      </w:r>
    </w:p>
    <w:p w14:paraId="0D4B6F67" w14:textId="77777777" w:rsidR="00D244A7" w:rsidRDefault="00D244A7" w:rsidP="00BC11DC">
      <w:pPr>
        <w:ind w:firstLine="567"/>
        <w:jc w:val="center"/>
        <w:rPr>
          <w:rFonts w:ascii="Trebuchet MS" w:hAnsi="Trebuchet MS" w:cs="Times New Roman"/>
          <w:color w:val="003399"/>
          <w:sz w:val="28"/>
          <w:szCs w:val="28"/>
          <w:lang w:val="ro-RO"/>
        </w:rPr>
      </w:pPr>
    </w:p>
    <w:p w14:paraId="1A6FDADE" w14:textId="77777777" w:rsidR="008C6A37" w:rsidRPr="008C6A37" w:rsidRDefault="008C6A37" w:rsidP="00BC11DC">
      <w:pPr>
        <w:ind w:firstLine="567"/>
        <w:rPr>
          <w:rFonts w:ascii="Trebuchet MS" w:hAnsi="Trebuchet MS" w:cs="Times New Roman"/>
          <w:color w:val="003399"/>
          <w:sz w:val="28"/>
          <w:szCs w:val="28"/>
          <w:lang w:val="ro-RO"/>
        </w:rPr>
      </w:pPr>
    </w:p>
    <w:p w14:paraId="502C46F9" w14:textId="77777777" w:rsidR="0036759A" w:rsidRDefault="0036759A" w:rsidP="00BC11DC">
      <w:pPr>
        <w:ind w:firstLine="567"/>
        <w:rPr>
          <w:rFonts w:cs="Times New Roman"/>
          <w:sz w:val="22"/>
          <w:szCs w:val="22"/>
          <w:lang w:val="ro-RO"/>
        </w:rPr>
      </w:pPr>
    </w:p>
    <w:p w14:paraId="4DAB8D82" w14:textId="77777777" w:rsidR="008C6A37" w:rsidRDefault="008C6A37" w:rsidP="00BC11DC">
      <w:pPr>
        <w:ind w:firstLine="567"/>
        <w:rPr>
          <w:rFonts w:cs="Times New Roman"/>
          <w:sz w:val="22"/>
          <w:szCs w:val="22"/>
          <w:lang w:val="ro-RO"/>
        </w:rPr>
      </w:pPr>
    </w:p>
    <w:p w14:paraId="49607FE7" w14:textId="77777777" w:rsidR="0036759A" w:rsidRPr="00987C32" w:rsidRDefault="0036759A" w:rsidP="00D244A7">
      <w:pPr>
        <w:ind w:firstLine="0"/>
        <w:rPr>
          <w:rFonts w:cs="Times New Roman"/>
          <w:sz w:val="22"/>
          <w:szCs w:val="22"/>
          <w:lang w:val="ro-RO"/>
        </w:rPr>
      </w:pPr>
    </w:p>
    <w:p w14:paraId="1617AC4B" w14:textId="77777777" w:rsidR="0036759A" w:rsidRPr="00987C32" w:rsidRDefault="0036759A" w:rsidP="00D244A7">
      <w:pPr>
        <w:ind w:firstLine="0"/>
        <w:rPr>
          <w:rFonts w:cs="Times New Roman"/>
          <w:sz w:val="22"/>
          <w:szCs w:val="22"/>
          <w:lang w:val="ro-RO"/>
        </w:rPr>
      </w:pPr>
    </w:p>
    <w:p w14:paraId="253977E3" w14:textId="77777777" w:rsidR="00E870DB" w:rsidRPr="00987C32" w:rsidRDefault="00E870DB" w:rsidP="00BC11DC">
      <w:pPr>
        <w:spacing w:before="0" w:after="0" w:line="240" w:lineRule="auto"/>
        <w:ind w:firstLine="567"/>
        <w:jc w:val="center"/>
        <w:rPr>
          <w:rFonts w:ascii="Trebuchet MS" w:hAnsi="Trebuchet MS" w:cs="Times New Roman"/>
          <w:color w:val="003399"/>
          <w:sz w:val="28"/>
          <w:szCs w:val="28"/>
          <w:lang w:val="ro-RO"/>
        </w:rPr>
        <w:sectPr w:rsidR="00E870DB" w:rsidRPr="00987C32" w:rsidSect="00364D2F">
          <w:headerReference w:type="default" r:id="rId8"/>
          <w:footerReference w:type="default" r:id="rId9"/>
          <w:headerReference w:type="first" r:id="rId10"/>
          <w:footerReference w:type="first" r:id="rId11"/>
          <w:pgSz w:w="11906" w:h="16838" w:code="9"/>
          <w:pgMar w:top="1440" w:right="1440" w:bottom="1440" w:left="1440" w:header="567" w:footer="708" w:gutter="0"/>
          <w:cols w:space="708"/>
          <w:titlePg/>
          <w:docGrid w:linePitch="360"/>
        </w:sectPr>
      </w:pPr>
      <w:r w:rsidRPr="00987C32">
        <w:rPr>
          <w:rFonts w:ascii="Trebuchet MS" w:hAnsi="Trebuchet MS" w:cs="Times New Roman"/>
          <w:color w:val="003399"/>
          <w:sz w:val="28"/>
          <w:szCs w:val="28"/>
          <w:lang w:val="ro-RO"/>
        </w:rPr>
        <w:t>Elaborat de</w:t>
      </w:r>
      <w:r w:rsidR="001549B6">
        <w:rPr>
          <w:rFonts w:ascii="Trebuchet MS" w:hAnsi="Trebuchet MS" w:cs="Times New Roman"/>
          <w:color w:val="003399"/>
          <w:sz w:val="28"/>
          <w:szCs w:val="28"/>
          <w:lang w:val="ro-RO"/>
        </w:rPr>
        <w:t xml:space="preserve"> </w:t>
      </w:r>
      <w:r w:rsidRPr="00987C32">
        <w:rPr>
          <w:rFonts w:ascii="Trebuchet MS" w:hAnsi="Trebuchet MS" w:cs="Times New Roman"/>
          <w:color w:val="003399"/>
          <w:sz w:val="28"/>
          <w:szCs w:val="28"/>
          <w:lang w:val="ro-RO"/>
        </w:rPr>
        <w:t>Institutul Național de Cercetare – Dezvoltare pentru Geologie și Geoecologie Marină – GeoEco</w:t>
      </w:r>
      <w:r w:rsidR="0036759A" w:rsidRPr="00987C32">
        <w:rPr>
          <w:rFonts w:ascii="Trebuchet MS" w:hAnsi="Trebuchet MS" w:cs="Times New Roman"/>
          <w:color w:val="003399"/>
          <w:sz w:val="28"/>
          <w:szCs w:val="28"/>
          <w:lang w:val="ro-RO"/>
        </w:rPr>
        <w:t>M</w:t>
      </w:r>
      <w:r w:rsidRPr="00987C32">
        <w:rPr>
          <w:rFonts w:ascii="Trebuchet MS" w:hAnsi="Trebuchet MS" w:cs="Times New Roman"/>
          <w:color w:val="003399"/>
          <w:sz w:val="28"/>
          <w:szCs w:val="28"/>
          <w:lang w:val="ro-RO"/>
        </w:rPr>
        <w:t>ar și Universitatea</w:t>
      </w:r>
      <w:r w:rsidR="001549B6">
        <w:rPr>
          <w:rFonts w:ascii="Trebuchet MS" w:hAnsi="Trebuchet MS" w:cs="Times New Roman"/>
          <w:color w:val="003399"/>
          <w:sz w:val="28"/>
          <w:szCs w:val="28"/>
          <w:lang w:val="ro-RO"/>
        </w:rPr>
        <w:t xml:space="preserve"> </w:t>
      </w:r>
      <w:r w:rsidR="00D77422" w:rsidRPr="00987C32">
        <w:rPr>
          <w:rFonts w:ascii="Trebuchet MS" w:hAnsi="Trebuchet MS" w:cs="Times New Roman"/>
          <w:color w:val="003399"/>
          <w:sz w:val="28"/>
          <w:szCs w:val="28"/>
          <w:lang w:val="ro-RO"/>
        </w:rPr>
        <w:t>„Ovidius” din Constanța, în cadrul contractului de servicii</w:t>
      </w:r>
      <w:r w:rsidR="0036759A" w:rsidRPr="00987C32">
        <w:rPr>
          <w:rFonts w:ascii="Trebuchet MS" w:hAnsi="Trebuchet MS" w:cs="Times New Roman"/>
          <w:color w:val="003399"/>
          <w:sz w:val="28"/>
          <w:szCs w:val="28"/>
          <w:lang w:val="ro-RO"/>
        </w:rPr>
        <w:t xml:space="preserve"> </w:t>
      </w:r>
      <w:r w:rsidR="00D77422" w:rsidRPr="00987C32">
        <w:rPr>
          <w:rFonts w:ascii="Trebuchet MS" w:hAnsi="Trebuchet MS" w:cs="Times New Roman"/>
          <w:color w:val="003399"/>
          <w:sz w:val="28"/>
          <w:szCs w:val="28"/>
          <w:lang w:val="ro-RO"/>
        </w:rPr>
        <w:t>25 / 09.03.2023</w:t>
      </w:r>
      <w:r w:rsidR="0036759A" w:rsidRPr="00987C32">
        <w:rPr>
          <w:rFonts w:ascii="Trebuchet MS" w:hAnsi="Trebuchet MS" w:cs="Times New Roman"/>
          <w:color w:val="003399"/>
          <w:sz w:val="28"/>
          <w:szCs w:val="28"/>
          <w:lang w:val="ro-RO"/>
        </w:rPr>
        <w:t xml:space="preserve"> având ca obiect „Servicii de consultanță și expertiză tehnică în vederea elaborării Strategiei Naționale privind gospodărirea integrată a zonei costiere și a Planului de Management Integrat al zonei costiere</w:t>
      </w:r>
    </w:p>
    <w:bookmarkStart w:id="0" w:name="_Toc150247004"/>
    <w:p w14:paraId="5D2E67FB" w14:textId="74FCA754" w:rsidR="00056FC5" w:rsidRDefault="00D924A7">
      <w:pPr>
        <w:pStyle w:val="TOC2"/>
        <w:rPr>
          <w:rFonts w:asciiTheme="minorHAnsi" w:eastAsiaTheme="minorEastAsia" w:hAnsiTheme="minorHAnsi" w:cstheme="minorBidi"/>
          <w:noProof/>
          <w:sz w:val="22"/>
          <w:szCs w:val="22"/>
          <w:lang w:val="en-US"/>
          <w14:ligatures w14:val="standardContextual"/>
        </w:rPr>
      </w:pPr>
      <w:r>
        <w:lastRenderedPageBreak/>
        <w:fldChar w:fldCharType="begin"/>
      </w:r>
      <w:r>
        <w:instrText xml:space="preserve"> TOC \o "1-4" \h \z \u </w:instrText>
      </w:r>
      <w:r>
        <w:fldChar w:fldCharType="separate"/>
      </w:r>
      <w:hyperlink w:anchor="_Toc169625090" w:history="1">
        <w:r w:rsidR="00056FC5" w:rsidRPr="007F3F71">
          <w:rPr>
            <w:rStyle w:val="Hyperlink"/>
            <w:noProof/>
          </w:rPr>
          <w:t>Listă de abrevieri</w:t>
        </w:r>
        <w:r w:rsidR="00056FC5">
          <w:rPr>
            <w:noProof/>
            <w:webHidden/>
          </w:rPr>
          <w:tab/>
        </w:r>
        <w:r w:rsidR="00056FC5">
          <w:rPr>
            <w:noProof/>
            <w:webHidden/>
          </w:rPr>
          <w:fldChar w:fldCharType="begin"/>
        </w:r>
        <w:r w:rsidR="00056FC5">
          <w:rPr>
            <w:noProof/>
            <w:webHidden/>
          </w:rPr>
          <w:instrText xml:space="preserve"> PAGEREF _Toc169625090 \h </w:instrText>
        </w:r>
        <w:r w:rsidR="00056FC5">
          <w:rPr>
            <w:noProof/>
            <w:webHidden/>
          </w:rPr>
        </w:r>
        <w:r w:rsidR="00056FC5">
          <w:rPr>
            <w:noProof/>
            <w:webHidden/>
          </w:rPr>
          <w:fldChar w:fldCharType="separate"/>
        </w:r>
        <w:r w:rsidR="00056FC5">
          <w:rPr>
            <w:noProof/>
            <w:webHidden/>
          </w:rPr>
          <w:t>4</w:t>
        </w:r>
        <w:r w:rsidR="00056FC5">
          <w:rPr>
            <w:noProof/>
            <w:webHidden/>
          </w:rPr>
          <w:fldChar w:fldCharType="end"/>
        </w:r>
      </w:hyperlink>
    </w:p>
    <w:p w14:paraId="5857FC52" w14:textId="264F8C1F" w:rsidR="00056FC5" w:rsidRDefault="00056FC5">
      <w:pPr>
        <w:pStyle w:val="TOC1"/>
        <w:tabs>
          <w:tab w:val="left" w:pos="480"/>
        </w:tabs>
        <w:rPr>
          <w:rFonts w:asciiTheme="minorHAnsi" w:eastAsiaTheme="minorEastAsia" w:hAnsiTheme="minorHAnsi" w:cstheme="minorBidi"/>
          <w:noProof/>
          <w:sz w:val="22"/>
          <w:szCs w:val="22"/>
          <w:lang w:val="en-US"/>
          <w14:ligatures w14:val="standardContextual"/>
        </w:rPr>
      </w:pPr>
      <w:hyperlink w:anchor="_Toc169625091" w:history="1">
        <w:r w:rsidRPr="007F3F71">
          <w:rPr>
            <w:rStyle w:val="Hyperlink"/>
            <w:noProof/>
          </w:rPr>
          <w:t>1.</w:t>
        </w:r>
        <w:r>
          <w:rPr>
            <w:rFonts w:asciiTheme="minorHAnsi" w:eastAsiaTheme="minorEastAsia" w:hAnsiTheme="minorHAnsi" w:cstheme="minorBidi"/>
            <w:noProof/>
            <w:sz w:val="22"/>
            <w:szCs w:val="22"/>
            <w:lang w:val="en-US"/>
            <w14:ligatures w14:val="standardContextual"/>
          </w:rPr>
          <w:tab/>
        </w:r>
        <w:r w:rsidRPr="007F3F71">
          <w:rPr>
            <w:rStyle w:val="Hyperlink"/>
            <w:noProof/>
          </w:rPr>
          <w:t>Strategia Națională privind gospodărirea integrată a zonei costiere</w:t>
        </w:r>
        <w:r>
          <w:rPr>
            <w:noProof/>
            <w:webHidden/>
          </w:rPr>
          <w:tab/>
        </w:r>
        <w:r>
          <w:rPr>
            <w:noProof/>
            <w:webHidden/>
          </w:rPr>
          <w:fldChar w:fldCharType="begin"/>
        </w:r>
        <w:r>
          <w:rPr>
            <w:noProof/>
            <w:webHidden/>
          </w:rPr>
          <w:instrText xml:space="preserve"> PAGEREF _Toc169625091 \h </w:instrText>
        </w:r>
        <w:r>
          <w:rPr>
            <w:noProof/>
            <w:webHidden/>
          </w:rPr>
        </w:r>
        <w:r>
          <w:rPr>
            <w:noProof/>
            <w:webHidden/>
          </w:rPr>
          <w:fldChar w:fldCharType="separate"/>
        </w:r>
        <w:r>
          <w:rPr>
            <w:noProof/>
            <w:webHidden/>
          </w:rPr>
          <w:t>11</w:t>
        </w:r>
        <w:r>
          <w:rPr>
            <w:noProof/>
            <w:webHidden/>
          </w:rPr>
          <w:fldChar w:fldCharType="end"/>
        </w:r>
      </w:hyperlink>
    </w:p>
    <w:p w14:paraId="4277C475" w14:textId="0F5F0781" w:rsidR="00056FC5" w:rsidRDefault="00056FC5">
      <w:pPr>
        <w:pStyle w:val="TOC2"/>
        <w:rPr>
          <w:rFonts w:asciiTheme="minorHAnsi" w:eastAsiaTheme="minorEastAsia" w:hAnsiTheme="minorHAnsi" w:cstheme="minorBidi"/>
          <w:noProof/>
          <w:sz w:val="22"/>
          <w:szCs w:val="22"/>
          <w:lang w:val="en-US"/>
          <w14:ligatures w14:val="standardContextual"/>
        </w:rPr>
      </w:pPr>
      <w:hyperlink w:anchor="_Toc169625092" w:history="1">
        <w:r w:rsidRPr="007F3F71">
          <w:rPr>
            <w:rStyle w:val="Hyperlink"/>
            <w:noProof/>
          </w:rPr>
          <w:t>1.1 Introducere</w:t>
        </w:r>
        <w:r>
          <w:rPr>
            <w:noProof/>
            <w:webHidden/>
          </w:rPr>
          <w:tab/>
        </w:r>
        <w:r>
          <w:rPr>
            <w:noProof/>
            <w:webHidden/>
          </w:rPr>
          <w:fldChar w:fldCharType="begin"/>
        </w:r>
        <w:r>
          <w:rPr>
            <w:noProof/>
            <w:webHidden/>
          </w:rPr>
          <w:instrText xml:space="preserve"> PAGEREF _Toc169625092 \h </w:instrText>
        </w:r>
        <w:r>
          <w:rPr>
            <w:noProof/>
            <w:webHidden/>
          </w:rPr>
        </w:r>
        <w:r>
          <w:rPr>
            <w:noProof/>
            <w:webHidden/>
          </w:rPr>
          <w:fldChar w:fldCharType="separate"/>
        </w:r>
        <w:r>
          <w:rPr>
            <w:noProof/>
            <w:webHidden/>
          </w:rPr>
          <w:t>11</w:t>
        </w:r>
        <w:r>
          <w:rPr>
            <w:noProof/>
            <w:webHidden/>
          </w:rPr>
          <w:fldChar w:fldCharType="end"/>
        </w:r>
      </w:hyperlink>
    </w:p>
    <w:p w14:paraId="07B8A136" w14:textId="0197B03B" w:rsidR="00056FC5" w:rsidRDefault="00056FC5">
      <w:pPr>
        <w:pStyle w:val="TOC2"/>
        <w:rPr>
          <w:rFonts w:asciiTheme="minorHAnsi" w:eastAsiaTheme="minorEastAsia" w:hAnsiTheme="minorHAnsi" w:cstheme="minorBidi"/>
          <w:noProof/>
          <w:sz w:val="22"/>
          <w:szCs w:val="22"/>
          <w:lang w:val="en-US"/>
          <w14:ligatures w14:val="standardContextual"/>
        </w:rPr>
      </w:pPr>
      <w:hyperlink w:anchor="_Toc169625093" w:history="1">
        <w:r w:rsidRPr="007F3F71">
          <w:rPr>
            <w:rStyle w:val="Hyperlink"/>
            <w:noProof/>
          </w:rPr>
          <w:t>1.2 Prioritățile, politicile și cadrul legal existente</w:t>
        </w:r>
        <w:r>
          <w:rPr>
            <w:noProof/>
            <w:webHidden/>
          </w:rPr>
          <w:tab/>
        </w:r>
        <w:r>
          <w:rPr>
            <w:noProof/>
            <w:webHidden/>
          </w:rPr>
          <w:fldChar w:fldCharType="begin"/>
        </w:r>
        <w:r>
          <w:rPr>
            <w:noProof/>
            <w:webHidden/>
          </w:rPr>
          <w:instrText xml:space="preserve"> PAGEREF _Toc169625093 \h </w:instrText>
        </w:r>
        <w:r>
          <w:rPr>
            <w:noProof/>
            <w:webHidden/>
          </w:rPr>
        </w:r>
        <w:r>
          <w:rPr>
            <w:noProof/>
            <w:webHidden/>
          </w:rPr>
          <w:fldChar w:fldCharType="separate"/>
        </w:r>
        <w:r>
          <w:rPr>
            <w:noProof/>
            <w:webHidden/>
          </w:rPr>
          <w:t>16</w:t>
        </w:r>
        <w:r>
          <w:rPr>
            <w:noProof/>
            <w:webHidden/>
          </w:rPr>
          <w:fldChar w:fldCharType="end"/>
        </w:r>
      </w:hyperlink>
    </w:p>
    <w:p w14:paraId="510D4CE3" w14:textId="0AE4E681" w:rsidR="00056FC5" w:rsidRDefault="00056FC5">
      <w:pPr>
        <w:pStyle w:val="TOC2"/>
        <w:rPr>
          <w:rFonts w:asciiTheme="minorHAnsi" w:eastAsiaTheme="minorEastAsia" w:hAnsiTheme="minorHAnsi" w:cstheme="minorBidi"/>
          <w:noProof/>
          <w:sz w:val="22"/>
          <w:szCs w:val="22"/>
          <w:lang w:val="en-US"/>
          <w14:ligatures w14:val="standardContextual"/>
        </w:rPr>
      </w:pPr>
      <w:hyperlink w:anchor="_Toc169625094" w:history="1">
        <w:r w:rsidRPr="007F3F71">
          <w:rPr>
            <w:rStyle w:val="Hyperlink"/>
            <w:noProof/>
          </w:rPr>
          <w:t>1.3 Analiza contextului și definirea problemelor  actuale</w:t>
        </w:r>
        <w:r>
          <w:rPr>
            <w:noProof/>
            <w:webHidden/>
          </w:rPr>
          <w:tab/>
        </w:r>
        <w:r>
          <w:rPr>
            <w:noProof/>
            <w:webHidden/>
          </w:rPr>
          <w:fldChar w:fldCharType="begin"/>
        </w:r>
        <w:r>
          <w:rPr>
            <w:noProof/>
            <w:webHidden/>
          </w:rPr>
          <w:instrText xml:space="preserve"> PAGEREF _Toc169625094 \h </w:instrText>
        </w:r>
        <w:r>
          <w:rPr>
            <w:noProof/>
            <w:webHidden/>
          </w:rPr>
        </w:r>
        <w:r>
          <w:rPr>
            <w:noProof/>
            <w:webHidden/>
          </w:rPr>
          <w:fldChar w:fldCharType="separate"/>
        </w:r>
        <w:r>
          <w:rPr>
            <w:noProof/>
            <w:webHidden/>
          </w:rPr>
          <w:t>23</w:t>
        </w:r>
        <w:r>
          <w:rPr>
            <w:noProof/>
            <w:webHidden/>
          </w:rPr>
          <w:fldChar w:fldCharType="end"/>
        </w:r>
      </w:hyperlink>
    </w:p>
    <w:p w14:paraId="064B8A1E" w14:textId="0BA243B0" w:rsidR="00056FC5" w:rsidRDefault="00056FC5">
      <w:pPr>
        <w:pStyle w:val="TOC3"/>
        <w:rPr>
          <w:rFonts w:asciiTheme="minorHAnsi" w:eastAsiaTheme="minorEastAsia" w:hAnsiTheme="minorHAnsi" w:cstheme="minorBidi"/>
          <w:noProof/>
          <w:sz w:val="22"/>
          <w:szCs w:val="22"/>
          <w:lang w:val="en-US"/>
          <w14:ligatures w14:val="standardContextual"/>
        </w:rPr>
      </w:pPr>
      <w:hyperlink w:anchor="_Toc169625095" w:history="1">
        <w:r w:rsidRPr="007F3F71">
          <w:rPr>
            <w:rStyle w:val="Hyperlink"/>
            <w:noProof/>
          </w:rPr>
          <w:t>1.3.1. Cadrul natural</w:t>
        </w:r>
        <w:r>
          <w:rPr>
            <w:noProof/>
            <w:webHidden/>
          </w:rPr>
          <w:tab/>
        </w:r>
        <w:r>
          <w:rPr>
            <w:noProof/>
            <w:webHidden/>
          </w:rPr>
          <w:fldChar w:fldCharType="begin"/>
        </w:r>
        <w:r>
          <w:rPr>
            <w:noProof/>
            <w:webHidden/>
          </w:rPr>
          <w:instrText xml:space="preserve"> PAGEREF _Toc169625095 \h </w:instrText>
        </w:r>
        <w:r>
          <w:rPr>
            <w:noProof/>
            <w:webHidden/>
          </w:rPr>
        </w:r>
        <w:r>
          <w:rPr>
            <w:noProof/>
            <w:webHidden/>
          </w:rPr>
          <w:fldChar w:fldCharType="separate"/>
        </w:r>
        <w:r>
          <w:rPr>
            <w:noProof/>
            <w:webHidden/>
          </w:rPr>
          <w:t>26</w:t>
        </w:r>
        <w:r>
          <w:rPr>
            <w:noProof/>
            <w:webHidden/>
          </w:rPr>
          <w:fldChar w:fldCharType="end"/>
        </w:r>
      </w:hyperlink>
    </w:p>
    <w:p w14:paraId="1AFE58B9" w14:textId="0D76D1B9" w:rsidR="00056FC5" w:rsidRDefault="00056FC5">
      <w:pPr>
        <w:pStyle w:val="TOC3"/>
        <w:rPr>
          <w:rFonts w:asciiTheme="minorHAnsi" w:eastAsiaTheme="minorEastAsia" w:hAnsiTheme="minorHAnsi" w:cstheme="minorBidi"/>
          <w:noProof/>
          <w:sz w:val="22"/>
          <w:szCs w:val="22"/>
          <w:lang w:val="en-US"/>
          <w14:ligatures w14:val="standardContextual"/>
        </w:rPr>
      </w:pPr>
      <w:hyperlink w:anchor="_Toc169625096" w:history="1">
        <w:r w:rsidRPr="007F3F71">
          <w:rPr>
            <w:rStyle w:val="Hyperlink"/>
            <w:noProof/>
          </w:rPr>
          <w:t>1.3.2. Situația actuală a mediului, probleme și nevoi identificate</w:t>
        </w:r>
        <w:r>
          <w:rPr>
            <w:noProof/>
            <w:webHidden/>
          </w:rPr>
          <w:tab/>
        </w:r>
        <w:r>
          <w:rPr>
            <w:noProof/>
            <w:webHidden/>
          </w:rPr>
          <w:fldChar w:fldCharType="begin"/>
        </w:r>
        <w:r>
          <w:rPr>
            <w:noProof/>
            <w:webHidden/>
          </w:rPr>
          <w:instrText xml:space="preserve"> PAGEREF _Toc169625096 \h </w:instrText>
        </w:r>
        <w:r>
          <w:rPr>
            <w:noProof/>
            <w:webHidden/>
          </w:rPr>
        </w:r>
        <w:r>
          <w:rPr>
            <w:noProof/>
            <w:webHidden/>
          </w:rPr>
          <w:fldChar w:fldCharType="separate"/>
        </w:r>
        <w:r>
          <w:rPr>
            <w:noProof/>
            <w:webHidden/>
          </w:rPr>
          <w:t>28</w:t>
        </w:r>
        <w:r>
          <w:rPr>
            <w:noProof/>
            <w:webHidden/>
          </w:rPr>
          <w:fldChar w:fldCharType="end"/>
        </w:r>
      </w:hyperlink>
    </w:p>
    <w:p w14:paraId="2A9E710C" w14:textId="16DB98CC" w:rsidR="00056FC5" w:rsidRDefault="00056FC5">
      <w:pPr>
        <w:pStyle w:val="TOC3"/>
        <w:rPr>
          <w:rFonts w:asciiTheme="minorHAnsi" w:eastAsiaTheme="minorEastAsia" w:hAnsiTheme="minorHAnsi" w:cstheme="minorBidi"/>
          <w:noProof/>
          <w:sz w:val="22"/>
          <w:szCs w:val="22"/>
          <w:lang w:val="en-US"/>
          <w14:ligatures w14:val="standardContextual"/>
        </w:rPr>
      </w:pPr>
      <w:hyperlink w:anchor="_Toc169625097" w:history="1">
        <w:r w:rsidRPr="007F3F71">
          <w:rPr>
            <w:rStyle w:val="Hyperlink"/>
            <w:noProof/>
          </w:rPr>
          <w:t>1.3.3. Aspecte socio-demografice</w:t>
        </w:r>
        <w:r>
          <w:rPr>
            <w:noProof/>
            <w:webHidden/>
          </w:rPr>
          <w:tab/>
        </w:r>
        <w:r>
          <w:rPr>
            <w:noProof/>
            <w:webHidden/>
          </w:rPr>
          <w:fldChar w:fldCharType="begin"/>
        </w:r>
        <w:r>
          <w:rPr>
            <w:noProof/>
            <w:webHidden/>
          </w:rPr>
          <w:instrText xml:space="preserve"> PAGEREF _Toc169625097 \h </w:instrText>
        </w:r>
        <w:r>
          <w:rPr>
            <w:noProof/>
            <w:webHidden/>
          </w:rPr>
        </w:r>
        <w:r>
          <w:rPr>
            <w:noProof/>
            <w:webHidden/>
          </w:rPr>
          <w:fldChar w:fldCharType="separate"/>
        </w:r>
        <w:r>
          <w:rPr>
            <w:noProof/>
            <w:webHidden/>
          </w:rPr>
          <w:t>35</w:t>
        </w:r>
        <w:r>
          <w:rPr>
            <w:noProof/>
            <w:webHidden/>
          </w:rPr>
          <w:fldChar w:fldCharType="end"/>
        </w:r>
      </w:hyperlink>
    </w:p>
    <w:p w14:paraId="1B63A9E9" w14:textId="20E6F132" w:rsidR="00056FC5" w:rsidRDefault="00056FC5">
      <w:pPr>
        <w:pStyle w:val="TOC3"/>
        <w:rPr>
          <w:rFonts w:asciiTheme="minorHAnsi" w:eastAsiaTheme="minorEastAsia" w:hAnsiTheme="minorHAnsi" w:cstheme="minorBidi"/>
          <w:noProof/>
          <w:sz w:val="22"/>
          <w:szCs w:val="22"/>
          <w:lang w:val="en-US"/>
          <w14:ligatures w14:val="standardContextual"/>
        </w:rPr>
      </w:pPr>
      <w:hyperlink w:anchor="_Toc169625098" w:history="1">
        <w:r w:rsidRPr="007F3F71">
          <w:rPr>
            <w:rStyle w:val="Hyperlink"/>
            <w:noProof/>
          </w:rPr>
          <w:t>1.3.4. Dezvoltare socio-economică</w:t>
        </w:r>
        <w:r>
          <w:rPr>
            <w:noProof/>
            <w:webHidden/>
          </w:rPr>
          <w:tab/>
        </w:r>
        <w:r>
          <w:rPr>
            <w:noProof/>
            <w:webHidden/>
          </w:rPr>
          <w:fldChar w:fldCharType="begin"/>
        </w:r>
        <w:r>
          <w:rPr>
            <w:noProof/>
            <w:webHidden/>
          </w:rPr>
          <w:instrText xml:space="preserve"> PAGEREF _Toc169625098 \h </w:instrText>
        </w:r>
        <w:r>
          <w:rPr>
            <w:noProof/>
            <w:webHidden/>
          </w:rPr>
        </w:r>
        <w:r>
          <w:rPr>
            <w:noProof/>
            <w:webHidden/>
          </w:rPr>
          <w:fldChar w:fldCharType="separate"/>
        </w:r>
        <w:r>
          <w:rPr>
            <w:noProof/>
            <w:webHidden/>
          </w:rPr>
          <w:t>36</w:t>
        </w:r>
        <w:r>
          <w:rPr>
            <w:noProof/>
            <w:webHidden/>
          </w:rPr>
          <w:fldChar w:fldCharType="end"/>
        </w:r>
      </w:hyperlink>
    </w:p>
    <w:p w14:paraId="597A0D3C" w14:textId="584D5D86" w:rsidR="00056FC5" w:rsidRDefault="00056FC5">
      <w:pPr>
        <w:pStyle w:val="TOC3"/>
        <w:rPr>
          <w:rFonts w:asciiTheme="minorHAnsi" w:eastAsiaTheme="minorEastAsia" w:hAnsiTheme="minorHAnsi" w:cstheme="minorBidi"/>
          <w:noProof/>
          <w:sz w:val="22"/>
          <w:szCs w:val="22"/>
          <w:lang w:val="en-US"/>
          <w14:ligatures w14:val="standardContextual"/>
        </w:rPr>
      </w:pPr>
      <w:hyperlink w:anchor="_Toc169625099" w:history="1">
        <w:r w:rsidRPr="007F3F71">
          <w:rPr>
            <w:rStyle w:val="Hyperlink"/>
            <w:noProof/>
          </w:rPr>
          <w:t>1.3.5. Principalele presiuni în zona costieră</w:t>
        </w:r>
        <w:r>
          <w:rPr>
            <w:noProof/>
            <w:webHidden/>
          </w:rPr>
          <w:tab/>
        </w:r>
        <w:r>
          <w:rPr>
            <w:noProof/>
            <w:webHidden/>
          </w:rPr>
          <w:fldChar w:fldCharType="begin"/>
        </w:r>
        <w:r>
          <w:rPr>
            <w:noProof/>
            <w:webHidden/>
          </w:rPr>
          <w:instrText xml:space="preserve"> PAGEREF _Toc169625099 \h </w:instrText>
        </w:r>
        <w:r>
          <w:rPr>
            <w:noProof/>
            <w:webHidden/>
          </w:rPr>
        </w:r>
        <w:r>
          <w:rPr>
            <w:noProof/>
            <w:webHidden/>
          </w:rPr>
          <w:fldChar w:fldCharType="separate"/>
        </w:r>
        <w:r>
          <w:rPr>
            <w:noProof/>
            <w:webHidden/>
          </w:rPr>
          <w:t>45</w:t>
        </w:r>
        <w:r>
          <w:rPr>
            <w:noProof/>
            <w:webHidden/>
          </w:rPr>
          <w:fldChar w:fldCharType="end"/>
        </w:r>
      </w:hyperlink>
    </w:p>
    <w:p w14:paraId="3A5A9C7A" w14:textId="70F96DA4" w:rsidR="00056FC5" w:rsidRDefault="00056FC5">
      <w:pPr>
        <w:pStyle w:val="TOC3"/>
        <w:rPr>
          <w:rFonts w:asciiTheme="minorHAnsi" w:eastAsiaTheme="minorEastAsia" w:hAnsiTheme="minorHAnsi" w:cstheme="minorBidi"/>
          <w:noProof/>
          <w:sz w:val="22"/>
          <w:szCs w:val="22"/>
          <w:lang w:val="en-US"/>
          <w14:ligatures w14:val="standardContextual"/>
        </w:rPr>
      </w:pPr>
      <w:hyperlink w:anchor="_Toc169625100" w:history="1">
        <w:r w:rsidRPr="007F3F71">
          <w:rPr>
            <w:rStyle w:val="Hyperlink"/>
            <w:noProof/>
          </w:rPr>
          <w:t>1.3.6. Cadrul instituțional și legislativ actual. Probleme și nevoi identificate</w:t>
        </w:r>
        <w:r>
          <w:rPr>
            <w:noProof/>
            <w:webHidden/>
          </w:rPr>
          <w:tab/>
        </w:r>
        <w:r>
          <w:rPr>
            <w:noProof/>
            <w:webHidden/>
          </w:rPr>
          <w:fldChar w:fldCharType="begin"/>
        </w:r>
        <w:r>
          <w:rPr>
            <w:noProof/>
            <w:webHidden/>
          </w:rPr>
          <w:instrText xml:space="preserve"> PAGEREF _Toc169625100 \h </w:instrText>
        </w:r>
        <w:r>
          <w:rPr>
            <w:noProof/>
            <w:webHidden/>
          </w:rPr>
        </w:r>
        <w:r>
          <w:rPr>
            <w:noProof/>
            <w:webHidden/>
          </w:rPr>
          <w:fldChar w:fldCharType="separate"/>
        </w:r>
        <w:r>
          <w:rPr>
            <w:noProof/>
            <w:webHidden/>
          </w:rPr>
          <w:t>53</w:t>
        </w:r>
        <w:r>
          <w:rPr>
            <w:noProof/>
            <w:webHidden/>
          </w:rPr>
          <w:fldChar w:fldCharType="end"/>
        </w:r>
      </w:hyperlink>
    </w:p>
    <w:p w14:paraId="4131BA74" w14:textId="19BAFA5C" w:rsidR="00056FC5" w:rsidRDefault="00056FC5">
      <w:pPr>
        <w:pStyle w:val="TOC2"/>
        <w:tabs>
          <w:tab w:val="left" w:pos="720"/>
        </w:tabs>
        <w:rPr>
          <w:rFonts w:asciiTheme="minorHAnsi" w:eastAsiaTheme="minorEastAsia" w:hAnsiTheme="minorHAnsi" w:cstheme="minorBidi"/>
          <w:noProof/>
          <w:sz w:val="22"/>
          <w:szCs w:val="22"/>
          <w:lang w:val="en-US"/>
          <w14:ligatures w14:val="standardContextual"/>
        </w:rPr>
      </w:pPr>
      <w:hyperlink w:anchor="_Toc169625101" w:history="1">
        <w:r w:rsidRPr="007F3F71">
          <w:rPr>
            <w:rStyle w:val="Hyperlink"/>
            <w:noProof/>
          </w:rPr>
          <w:t>1.4</w:t>
        </w:r>
        <w:r>
          <w:rPr>
            <w:rFonts w:asciiTheme="minorHAnsi" w:eastAsiaTheme="minorEastAsia" w:hAnsiTheme="minorHAnsi" w:cstheme="minorBidi"/>
            <w:noProof/>
            <w:sz w:val="22"/>
            <w:szCs w:val="22"/>
            <w:lang w:val="en-US"/>
            <w14:ligatures w14:val="standardContextual"/>
          </w:rPr>
          <w:tab/>
        </w:r>
        <w:r w:rsidRPr="007F3F71">
          <w:rPr>
            <w:rStyle w:val="Hyperlink"/>
            <w:noProof/>
          </w:rPr>
          <w:t>Viziunea</w:t>
        </w:r>
        <w:r>
          <w:rPr>
            <w:noProof/>
            <w:webHidden/>
          </w:rPr>
          <w:tab/>
        </w:r>
        <w:r>
          <w:rPr>
            <w:noProof/>
            <w:webHidden/>
          </w:rPr>
          <w:fldChar w:fldCharType="begin"/>
        </w:r>
        <w:r>
          <w:rPr>
            <w:noProof/>
            <w:webHidden/>
          </w:rPr>
          <w:instrText xml:space="preserve"> PAGEREF _Toc169625101 \h </w:instrText>
        </w:r>
        <w:r>
          <w:rPr>
            <w:noProof/>
            <w:webHidden/>
          </w:rPr>
        </w:r>
        <w:r>
          <w:rPr>
            <w:noProof/>
            <w:webHidden/>
          </w:rPr>
          <w:fldChar w:fldCharType="separate"/>
        </w:r>
        <w:r>
          <w:rPr>
            <w:noProof/>
            <w:webHidden/>
          </w:rPr>
          <w:t>57</w:t>
        </w:r>
        <w:r>
          <w:rPr>
            <w:noProof/>
            <w:webHidden/>
          </w:rPr>
          <w:fldChar w:fldCharType="end"/>
        </w:r>
      </w:hyperlink>
    </w:p>
    <w:p w14:paraId="2BCACE95" w14:textId="631F3F69" w:rsidR="00056FC5" w:rsidRDefault="00056FC5">
      <w:pPr>
        <w:pStyle w:val="TOC2"/>
        <w:tabs>
          <w:tab w:val="left" w:pos="720"/>
        </w:tabs>
        <w:rPr>
          <w:rFonts w:asciiTheme="minorHAnsi" w:eastAsiaTheme="minorEastAsia" w:hAnsiTheme="minorHAnsi" w:cstheme="minorBidi"/>
          <w:noProof/>
          <w:sz w:val="22"/>
          <w:szCs w:val="22"/>
          <w:lang w:val="en-US"/>
          <w14:ligatures w14:val="standardContextual"/>
        </w:rPr>
      </w:pPr>
      <w:hyperlink w:anchor="_Toc169625102" w:history="1">
        <w:r w:rsidRPr="007F3F71">
          <w:rPr>
            <w:rStyle w:val="Hyperlink"/>
            <w:noProof/>
          </w:rPr>
          <w:t>1.5</w:t>
        </w:r>
        <w:r>
          <w:rPr>
            <w:rFonts w:asciiTheme="minorHAnsi" w:eastAsiaTheme="minorEastAsia" w:hAnsiTheme="minorHAnsi" w:cstheme="minorBidi"/>
            <w:noProof/>
            <w:sz w:val="22"/>
            <w:szCs w:val="22"/>
            <w:lang w:val="en-US"/>
            <w14:ligatures w14:val="standardContextual"/>
          </w:rPr>
          <w:tab/>
        </w:r>
        <w:r w:rsidRPr="007F3F71">
          <w:rPr>
            <w:rStyle w:val="Hyperlink"/>
            <w:noProof/>
          </w:rPr>
          <w:t>Obiectivele generale și specifice</w:t>
        </w:r>
        <w:r>
          <w:rPr>
            <w:noProof/>
            <w:webHidden/>
          </w:rPr>
          <w:tab/>
        </w:r>
        <w:r>
          <w:rPr>
            <w:noProof/>
            <w:webHidden/>
          </w:rPr>
          <w:fldChar w:fldCharType="begin"/>
        </w:r>
        <w:r>
          <w:rPr>
            <w:noProof/>
            <w:webHidden/>
          </w:rPr>
          <w:instrText xml:space="preserve"> PAGEREF _Toc169625102 \h </w:instrText>
        </w:r>
        <w:r>
          <w:rPr>
            <w:noProof/>
            <w:webHidden/>
          </w:rPr>
        </w:r>
        <w:r>
          <w:rPr>
            <w:noProof/>
            <w:webHidden/>
          </w:rPr>
          <w:fldChar w:fldCharType="separate"/>
        </w:r>
        <w:r>
          <w:rPr>
            <w:noProof/>
            <w:webHidden/>
          </w:rPr>
          <w:t>58</w:t>
        </w:r>
        <w:r>
          <w:rPr>
            <w:noProof/>
            <w:webHidden/>
          </w:rPr>
          <w:fldChar w:fldCharType="end"/>
        </w:r>
      </w:hyperlink>
    </w:p>
    <w:p w14:paraId="1E63E6D3" w14:textId="6E53DB60" w:rsidR="00056FC5" w:rsidRDefault="00056FC5">
      <w:pPr>
        <w:pStyle w:val="TOC2"/>
        <w:tabs>
          <w:tab w:val="left" w:pos="720"/>
        </w:tabs>
        <w:rPr>
          <w:rFonts w:asciiTheme="minorHAnsi" w:eastAsiaTheme="minorEastAsia" w:hAnsiTheme="minorHAnsi" w:cstheme="minorBidi"/>
          <w:noProof/>
          <w:sz w:val="22"/>
          <w:szCs w:val="22"/>
          <w:lang w:val="en-US"/>
          <w14:ligatures w14:val="standardContextual"/>
        </w:rPr>
      </w:pPr>
      <w:hyperlink w:anchor="_Toc169625103" w:history="1">
        <w:r w:rsidRPr="007F3F71">
          <w:rPr>
            <w:rStyle w:val="Hyperlink"/>
            <w:noProof/>
          </w:rPr>
          <w:t>1.6</w:t>
        </w:r>
        <w:r>
          <w:rPr>
            <w:rFonts w:asciiTheme="minorHAnsi" w:eastAsiaTheme="minorEastAsia" w:hAnsiTheme="minorHAnsi" w:cstheme="minorBidi"/>
            <w:noProof/>
            <w:sz w:val="22"/>
            <w:szCs w:val="22"/>
            <w:lang w:val="en-US"/>
            <w14:ligatures w14:val="standardContextual"/>
          </w:rPr>
          <w:tab/>
        </w:r>
        <w:r w:rsidRPr="007F3F71">
          <w:rPr>
            <w:rStyle w:val="Hyperlink"/>
            <w:noProof/>
          </w:rPr>
          <w:t>Program / Plan de Acțiune</w:t>
        </w:r>
        <w:r>
          <w:rPr>
            <w:noProof/>
            <w:webHidden/>
          </w:rPr>
          <w:tab/>
        </w:r>
        <w:r>
          <w:rPr>
            <w:noProof/>
            <w:webHidden/>
          </w:rPr>
          <w:fldChar w:fldCharType="begin"/>
        </w:r>
        <w:r>
          <w:rPr>
            <w:noProof/>
            <w:webHidden/>
          </w:rPr>
          <w:instrText xml:space="preserve"> PAGEREF _Toc169625103 \h </w:instrText>
        </w:r>
        <w:r>
          <w:rPr>
            <w:noProof/>
            <w:webHidden/>
          </w:rPr>
        </w:r>
        <w:r>
          <w:rPr>
            <w:noProof/>
            <w:webHidden/>
          </w:rPr>
          <w:fldChar w:fldCharType="separate"/>
        </w:r>
        <w:r>
          <w:rPr>
            <w:noProof/>
            <w:webHidden/>
          </w:rPr>
          <w:t>64</w:t>
        </w:r>
        <w:r>
          <w:rPr>
            <w:noProof/>
            <w:webHidden/>
          </w:rPr>
          <w:fldChar w:fldCharType="end"/>
        </w:r>
      </w:hyperlink>
    </w:p>
    <w:p w14:paraId="799AE512" w14:textId="0A12B497" w:rsidR="00056FC5" w:rsidRDefault="00056FC5">
      <w:pPr>
        <w:pStyle w:val="TOC2"/>
        <w:tabs>
          <w:tab w:val="left" w:pos="720"/>
        </w:tabs>
        <w:rPr>
          <w:rFonts w:asciiTheme="minorHAnsi" w:eastAsiaTheme="minorEastAsia" w:hAnsiTheme="minorHAnsi" w:cstheme="minorBidi"/>
          <w:noProof/>
          <w:sz w:val="22"/>
          <w:szCs w:val="22"/>
          <w:lang w:val="en-US"/>
          <w14:ligatures w14:val="standardContextual"/>
        </w:rPr>
      </w:pPr>
      <w:hyperlink w:anchor="_Toc169625104" w:history="1">
        <w:r w:rsidRPr="007F3F71">
          <w:rPr>
            <w:rStyle w:val="Hyperlink"/>
            <w:noProof/>
          </w:rPr>
          <w:t>1.7</w:t>
        </w:r>
        <w:r>
          <w:rPr>
            <w:rFonts w:asciiTheme="minorHAnsi" w:eastAsiaTheme="minorEastAsia" w:hAnsiTheme="minorHAnsi" w:cstheme="minorBidi"/>
            <w:noProof/>
            <w:sz w:val="22"/>
            <w:szCs w:val="22"/>
            <w:lang w:val="en-US"/>
            <w14:ligatures w14:val="standardContextual"/>
          </w:rPr>
          <w:tab/>
        </w:r>
        <w:r w:rsidRPr="007F3F71">
          <w:rPr>
            <w:rStyle w:val="Hyperlink"/>
            <w:noProof/>
          </w:rPr>
          <w:t>Rezultatele așteptate</w:t>
        </w:r>
        <w:r>
          <w:rPr>
            <w:noProof/>
            <w:webHidden/>
          </w:rPr>
          <w:tab/>
        </w:r>
        <w:r>
          <w:rPr>
            <w:noProof/>
            <w:webHidden/>
          </w:rPr>
          <w:fldChar w:fldCharType="begin"/>
        </w:r>
        <w:r>
          <w:rPr>
            <w:noProof/>
            <w:webHidden/>
          </w:rPr>
          <w:instrText xml:space="preserve"> PAGEREF _Toc169625104 \h </w:instrText>
        </w:r>
        <w:r>
          <w:rPr>
            <w:noProof/>
            <w:webHidden/>
          </w:rPr>
        </w:r>
        <w:r>
          <w:rPr>
            <w:noProof/>
            <w:webHidden/>
          </w:rPr>
          <w:fldChar w:fldCharType="separate"/>
        </w:r>
        <w:r>
          <w:rPr>
            <w:noProof/>
            <w:webHidden/>
          </w:rPr>
          <w:t>77</w:t>
        </w:r>
        <w:r>
          <w:rPr>
            <w:noProof/>
            <w:webHidden/>
          </w:rPr>
          <w:fldChar w:fldCharType="end"/>
        </w:r>
      </w:hyperlink>
    </w:p>
    <w:p w14:paraId="4652DB20" w14:textId="5B404E5F" w:rsidR="00056FC5" w:rsidRDefault="00056FC5">
      <w:pPr>
        <w:pStyle w:val="TOC2"/>
        <w:tabs>
          <w:tab w:val="left" w:pos="720"/>
        </w:tabs>
        <w:rPr>
          <w:rFonts w:asciiTheme="minorHAnsi" w:eastAsiaTheme="minorEastAsia" w:hAnsiTheme="minorHAnsi" w:cstheme="minorBidi"/>
          <w:noProof/>
          <w:sz w:val="22"/>
          <w:szCs w:val="22"/>
          <w:lang w:val="en-US"/>
          <w14:ligatures w14:val="standardContextual"/>
        </w:rPr>
      </w:pPr>
      <w:hyperlink w:anchor="_Toc169625105" w:history="1">
        <w:r w:rsidRPr="007F3F71">
          <w:rPr>
            <w:rStyle w:val="Hyperlink"/>
            <w:noProof/>
          </w:rPr>
          <w:t>1.8</w:t>
        </w:r>
        <w:r>
          <w:rPr>
            <w:rFonts w:asciiTheme="minorHAnsi" w:eastAsiaTheme="minorEastAsia" w:hAnsiTheme="minorHAnsi" w:cstheme="minorBidi"/>
            <w:noProof/>
            <w:sz w:val="22"/>
            <w:szCs w:val="22"/>
            <w:lang w:val="en-US"/>
            <w14:ligatures w14:val="standardContextual"/>
          </w:rPr>
          <w:tab/>
        </w:r>
        <w:r w:rsidRPr="007F3F71">
          <w:rPr>
            <w:rStyle w:val="Hyperlink"/>
            <w:noProof/>
          </w:rPr>
          <w:t>Indicatori</w:t>
        </w:r>
        <w:r>
          <w:rPr>
            <w:noProof/>
            <w:webHidden/>
          </w:rPr>
          <w:tab/>
        </w:r>
        <w:r>
          <w:rPr>
            <w:noProof/>
            <w:webHidden/>
          </w:rPr>
          <w:fldChar w:fldCharType="begin"/>
        </w:r>
        <w:r>
          <w:rPr>
            <w:noProof/>
            <w:webHidden/>
          </w:rPr>
          <w:instrText xml:space="preserve"> PAGEREF _Toc169625105 \h </w:instrText>
        </w:r>
        <w:r>
          <w:rPr>
            <w:noProof/>
            <w:webHidden/>
          </w:rPr>
        </w:r>
        <w:r>
          <w:rPr>
            <w:noProof/>
            <w:webHidden/>
          </w:rPr>
          <w:fldChar w:fldCharType="separate"/>
        </w:r>
        <w:r>
          <w:rPr>
            <w:noProof/>
            <w:webHidden/>
          </w:rPr>
          <w:t>77</w:t>
        </w:r>
        <w:r>
          <w:rPr>
            <w:noProof/>
            <w:webHidden/>
          </w:rPr>
          <w:fldChar w:fldCharType="end"/>
        </w:r>
      </w:hyperlink>
    </w:p>
    <w:p w14:paraId="73AD3091" w14:textId="67B7C13D" w:rsidR="00056FC5" w:rsidRDefault="00056FC5">
      <w:pPr>
        <w:pStyle w:val="TOC2"/>
        <w:tabs>
          <w:tab w:val="left" w:pos="720"/>
        </w:tabs>
        <w:rPr>
          <w:rFonts w:asciiTheme="minorHAnsi" w:eastAsiaTheme="minorEastAsia" w:hAnsiTheme="minorHAnsi" w:cstheme="minorBidi"/>
          <w:noProof/>
          <w:sz w:val="22"/>
          <w:szCs w:val="22"/>
          <w:lang w:val="en-US"/>
          <w14:ligatures w14:val="standardContextual"/>
        </w:rPr>
      </w:pPr>
      <w:hyperlink w:anchor="_Toc169625106" w:history="1">
        <w:r w:rsidRPr="007F3F71">
          <w:rPr>
            <w:rStyle w:val="Hyperlink"/>
            <w:noProof/>
          </w:rPr>
          <w:t>1.9</w:t>
        </w:r>
        <w:r>
          <w:rPr>
            <w:rFonts w:asciiTheme="minorHAnsi" w:eastAsiaTheme="minorEastAsia" w:hAnsiTheme="minorHAnsi" w:cstheme="minorBidi"/>
            <w:noProof/>
            <w:sz w:val="22"/>
            <w:szCs w:val="22"/>
            <w:lang w:val="en-US"/>
            <w14:ligatures w14:val="standardContextual"/>
          </w:rPr>
          <w:tab/>
        </w:r>
        <w:r w:rsidRPr="007F3F71">
          <w:rPr>
            <w:rStyle w:val="Hyperlink"/>
            <w:noProof/>
          </w:rPr>
          <w:t>Procedurile de monitorizare și evaluare</w:t>
        </w:r>
        <w:r>
          <w:rPr>
            <w:noProof/>
            <w:webHidden/>
          </w:rPr>
          <w:tab/>
        </w:r>
        <w:r>
          <w:rPr>
            <w:noProof/>
            <w:webHidden/>
          </w:rPr>
          <w:fldChar w:fldCharType="begin"/>
        </w:r>
        <w:r>
          <w:rPr>
            <w:noProof/>
            <w:webHidden/>
          </w:rPr>
          <w:instrText xml:space="preserve"> PAGEREF _Toc169625106 \h </w:instrText>
        </w:r>
        <w:r>
          <w:rPr>
            <w:noProof/>
            <w:webHidden/>
          </w:rPr>
        </w:r>
        <w:r>
          <w:rPr>
            <w:noProof/>
            <w:webHidden/>
          </w:rPr>
          <w:fldChar w:fldCharType="separate"/>
        </w:r>
        <w:r>
          <w:rPr>
            <w:noProof/>
            <w:webHidden/>
          </w:rPr>
          <w:t>78</w:t>
        </w:r>
        <w:r>
          <w:rPr>
            <w:noProof/>
            <w:webHidden/>
          </w:rPr>
          <w:fldChar w:fldCharType="end"/>
        </w:r>
      </w:hyperlink>
    </w:p>
    <w:p w14:paraId="562D11A0" w14:textId="0410D95D" w:rsidR="00056FC5" w:rsidRDefault="00056FC5">
      <w:pPr>
        <w:pStyle w:val="TOC2"/>
        <w:tabs>
          <w:tab w:val="left" w:pos="880"/>
        </w:tabs>
        <w:rPr>
          <w:rFonts w:asciiTheme="minorHAnsi" w:eastAsiaTheme="minorEastAsia" w:hAnsiTheme="minorHAnsi" w:cstheme="minorBidi"/>
          <w:noProof/>
          <w:sz w:val="22"/>
          <w:szCs w:val="22"/>
          <w:lang w:val="en-US"/>
          <w14:ligatures w14:val="standardContextual"/>
        </w:rPr>
      </w:pPr>
      <w:hyperlink w:anchor="_Toc169625107" w:history="1">
        <w:r w:rsidRPr="007F3F71">
          <w:rPr>
            <w:rStyle w:val="Hyperlink"/>
            <w:noProof/>
          </w:rPr>
          <w:t>1.10</w:t>
        </w:r>
        <w:r>
          <w:rPr>
            <w:rFonts w:asciiTheme="minorHAnsi" w:eastAsiaTheme="minorEastAsia" w:hAnsiTheme="minorHAnsi" w:cstheme="minorBidi"/>
            <w:noProof/>
            <w:sz w:val="22"/>
            <w:szCs w:val="22"/>
            <w:lang w:val="en-US"/>
            <w14:ligatures w14:val="standardContextual"/>
          </w:rPr>
          <w:tab/>
        </w:r>
        <w:r w:rsidRPr="007F3F71">
          <w:rPr>
            <w:rStyle w:val="Hyperlink"/>
            <w:noProof/>
          </w:rPr>
          <w:t>Instituțiile responsabile</w:t>
        </w:r>
        <w:r>
          <w:rPr>
            <w:noProof/>
            <w:webHidden/>
          </w:rPr>
          <w:tab/>
        </w:r>
        <w:r>
          <w:rPr>
            <w:noProof/>
            <w:webHidden/>
          </w:rPr>
          <w:fldChar w:fldCharType="begin"/>
        </w:r>
        <w:r>
          <w:rPr>
            <w:noProof/>
            <w:webHidden/>
          </w:rPr>
          <w:instrText xml:space="preserve"> PAGEREF _Toc169625107 \h </w:instrText>
        </w:r>
        <w:r>
          <w:rPr>
            <w:noProof/>
            <w:webHidden/>
          </w:rPr>
        </w:r>
        <w:r>
          <w:rPr>
            <w:noProof/>
            <w:webHidden/>
          </w:rPr>
          <w:fldChar w:fldCharType="separate"/>
        </w:r>
        <w:r>
          <w:rPr>
            <w:noProof/>
            <w:webHidden/>
          </w:rPr>
          <w:t>80</w:t>
        </w:r>
        <w:r>
          <w:rPr>
            <w:noProof/>
            <w:webHidden/>
          </w:rPr>
          <w:fldChar w:fldCharType="end"/>
        </w:r>
      </w:hyperlink>
    </w:p>
    <w:p w14:paraId="1A0A1725" w14:textId="168EB2C8" w:rsidR="00056FC5" w:rsidRDefault="00056FC5">
      <w:pPr>
        <w:pStyle w:val="TOC2"/>
        <w:rPr>
          <w:rFonts w:asciiTheme="minorHAnsi" w:eastAsiaTheme="minorEastAsia" w:hAnsiTheme="minorHAnsi" w:cstheme="minorBidi"/>
          <w:noProof/>
          <w:sz w:val="22"/>
          <w:szCs w:val="22"/>
          <w:lang w:val="en-US"/>
          <w14:ligatures w14:val="standardContextual"/>
        </w:rPr>
      </w:pPr>
      <w:hyperlink w:anchor="_Toc169625108" w:history="1">
        <w:r w:rsidRPr="007F3F71">
          <w:rPr>
            <w:rStyle w:val="Hyperlink"/>
            <w:noProof/>
          </w:rPr>
          <w:t>1.11 Implicațiile bugetare și sursele de finanțare</w:t>
        </w:r>
        <w:r>
          <w:rPr>
            <w:noProof/>
            <w:webHidden/>
          </w:rPr>
          <w:tab/>
        </w:r>
        <w:r>
          <w:rPr>
            <w:noProof/>
            <w:webHidden/>
          </w:rPr>
          <w:fldChar w:fldCharType="begin"/>
        </w:r>
        <w:r>
          <w:rPr>
            <w:noProof/>
            <w:webHidden/>
          </w:rPr>
          <w:instrText xml:space="preserve"> PAGEREF _Toc169625108 \h </w:instrText>
        </w:r>
        <w:r>
          <w:rPr>
            <w:noProof/>
            <w:webHidden/>
          </w:rPr>
        </w:r>
        <w:r>
          <w:rPr>
            <w:noProof/>
            <w:webHidden/>
          </w:rPr>
          <w:fldChar w:fldCharType="separate"/>
        </w:r>
        <w:r>
          <w:rPr>
            <w:noProof/>
            <w:webHidden/>
          </w:rPr>
          <w:t>83</w:t>
        </w:r>
        <w:r>
          <w:rPr>
            <w:noProof/>
            <w:webHidden/>
          </w:rPr>
          <w:fldChar w:fldCharType="end"/>
        </w:r>
      </w:hyperlink>
    </w:p>
    <w:p w14:paraId="1026AF20" w14:textId="1527762D" w:rsidR="00056FC5" w:rsidRDefault="00056FC5">
      <w:pPr>
        <w:pStyle w:val="TOC2"/>
        <w:rPr>
          <w:rFonts w:asciiTheme="minorHAnsi" w:eastAsiaTheme="minorEastAsia" w:hAnsiTheme="minorHAnsi" w:cstheme="minorBidi"/>
          <w:noProof/>
          <w:sz w:val="22"/>
          <w:szCs w:val="22"/>
          <w:lang w:val="en-US"/>
          <w14:ligatures w14:val="standardContextual"/>
        </w:rPr>
      </w:pPr>
      <w:hyperlink w:anchor="_Toc169625109" w:history="1">
        <w:r w:rsidRPr="007F3F71">
          <w:rPr>
            <w:rStyle w:val="Hyperlink"/>
            <w:noProof/>
          </w:rPr>
          <w:t>1.12 Implicațiile asupra cadrului juridic</w:t>
        </w:r>
        <w:r>
          <w:rPr>
            <w:noProof/>
            <w:webHidden/>
          </w:rPr>
          <w:tab/>
        </w:r>
        <w:r>
          <w:rPr>
            <w:noProof/>
            <w:webHidden/>
          </w:rPr>
          <w:fldChar w:fldCharType="begin"/>
        </w:r>
        <w:r>
          <w:rPr>
            <w:noProof/>
            <w:webHidden/>
          </w:rPr>
          <w:instrText xml:space="preserve"> PAGEREF _Toc169625109 \h </w:instrText>
        </w:r>
        <w:r>
          <w:rPr>
            <w:noProof/>
            <w:webHidden/>
          </w:rPr>
        </w:r>
        <w:r>
          <w:rPr>
            <w:noProof/>
            <w:webHidden/>
          </w:rPr>
          <w:fldChar w:fldCharType="separate"/>
        </w:r>
        <w:r>
          <w:rPr>
            <w:noProof/>
            <w:webHidden/>
          </w:rPr>
          <w:t>91</w:t>
        </w:r>
        <w:r>
          <w:rPr>
            <w:noProof/>
            <w:webHidden/>
          </w:rPr>
          <w:fldChar w:fldCharType="end"/>
        </w:r>
      </w:hyperlink>
    </w:p>
    <w:p w14:paraId="37191972" w14:textId="18559B56" w:rsidR="00056FC5" w:rsidRDefault="00056FC5">
      <w:pPr>
        <w:pStyle w:val="TOC1"/>
        <w:tabs>
          <w:tab w:val="left" w:pos="480"/>
        </w:tabs>
        <w:rPr>
          <w:rFonts w:asciiTheme="minorHAnsi" w:eastAsiaTheme="minorEastAsia" w:hAnsiTheme="minorHAnsi" w:cstheme="minorBidi"/>
          <w:noProof/>
          <w:sz w:val="22"/>
          <w:szCs w:val="22"/>
          <w:lang w:val="en-US"/>
          <w14:ligatures w14:val="standardContextual"/>
        </w:rPr>
      </w:pPr>
      <w:hyperlink w:anchor="_Toc169625110" w:history="1">
        <w:r w:rsidRPr="007F3F71">
          <w:rPr>
            <w:rStyle w:val="Hyperlink"/>
            <w:noProof/>
            <w:lang w:val="ro-RO"/>
          </w:rPr>
          <w:t>2</w:t>
        </w:r>
        <w:r>
          <w:rPr>
            <w:rFonts w:asciiTheme="minorHAnsi" w:eastAsiaTheme="minorEastAsia" w:hAnsiTheme="minorHAnsi" w:cstheme="minorBidi"/>
            <w:noProof/>
            <w:sz w:val="22"/>
            <w:szCs w:val="22"/>
            <w:lang w:val="en-US"/>
            <w14:ligatures w14:val="standardContextual"/>
          </w:rPr>
          <w:tab/>
        </w:r>
        <w:r w:rsidRPr="007F3F71">
          <w:rPr>
            <w:rStyle w:val="Hyperlink"/>
            <w:noProof/>
            <w:lang w:val="ro-RO"/>
          </w:rPr>
          <w:t>Planul de Management integrat al zonei costiere</w:t>
        </w:r>
        <w:r>
          <w:rPr>
            <w:noProof/>
            <w:webHidden/>
          </w:rPr>
          <w:tab/>
        </w:r>
        <w:r>
          <w:rPr>
            <w:noProof/>
            <w:webHidden/>
          </w:rPr>
          <w:fldChar w:fldCharType="begin"/>
        </w:r>
        <w:r>
          <w:rPr>
            <w:noProof/>
            <w:webHidden/>
          </w:rPr>
          <w:instrText xml:space="preserve"> PAGEREF _Toc169625110 \h </w:instrText>
        </w:r>
        <w:r>
          <w:rPr>
            <w:noProof/>
            <w:webHidden/>
          </w:rPr>
        </w:r>
        <w:r>
          <w:rPr>
            <w:noProof/>
            <w:webHidden/>
          </w:rPr>
          <w:fldChar w:fldCharType="separate"/>
        </w:r>
        <w:r>
          <w:rPr>
            <w:noProof/>
            <w:webHidden/>
          </w:rPr>
          <w:t>93</w:t>
        </w:r>
        <w:r>
          <w:rPr>
            <w:noProof/>
            <w:webHidden/>
          </w:rPr>
          <w:fldChar w:fldCharType="end"/>
        </w:r>
      </w:hyperlink>
    </w:p>
    <w:p w14:paraId="58F1F471" w14:textId="7E5B3B4A" w:rsidR="00056FC5" w:rsidRDefault="00056FC5">
      <w:pPr>
        <w:pStyle w:val="TOC2"/>
        <w:tabs>
          <w:tab w:val="left" w:pos="720"/>
        </w:tabs>
        <w:rPr>
          <w:rFonts w:asciiTheme="minorHAnsi" w:eastAsiaTheme="minorEastAsia" w:hAnsiTheme="minorHAnsi" w:cstheme="minorBidi"/>
          <w:noProof/>
          <w:sz w:val="22"/>
          <w:szCs w:val="22"/>
          <w:lang w:val="en-US"/>
          <w14:ligatures w14:val="standardContextual"/>
        </w:rPr>
      </w:pPr>
      <w:hyperlink w:anchor="_Toc169625111" w:history="1">
        <w:r w:rsidRPr="007F3F71">
          <w:rPr>
            <w:rStyle w:val="Hyperlink"/>
            <w:noProof/>
          </w:rPr>
          <w:t>2.1</w:t>
        </w:r>
        <w:r>
          <w:rPr>
            <w:rFonts w:asciiTheme="minorHAnsi" w:eastAsiaTheme="minorEastAsia" w:hAnsiTheme="minorHAnsi" w:cstheme="minorBidi"/>
            <w:noProof/>
            <w:sz w:val="22"/>
            <w:szCs w:val="22"/>
            <w:lang w:val="en-US"/>
            <w14:ligatures w14:val="standardContextual"/>
          </w:rPr>
          <w:tab/>
        </w:r>
        <w:r w:rsidRPr="007F3F71">
          <w:rPr>
            <w:rStyle w:val="Hyperlink"/>
            <w:noProof/>
          </w:rPr>
          <w:t>Introducere</w:t>
        </w:r>
        <w:r>
          <w:rPr>
            <w:noProof/>
            <w:webHidden/>
          </w:rPr>
          <w:tab/>
        </w:r>
        <w:r>
          <w:rPr>
            <w:noProof/>
            <w:webHidden/>
          </w:rPr>
          <w:fldChar w:fldCharType="begin"/>
        </w:r>
        <w:r>
          <w:rPr>
            <w:noProof/>
            <w:webHidden/>
          </w:rPr>
          <w:instrText xml:space="preserve"> PAGEREF _Toc169625111 \h </w:instrText>
        </w:r>
        <w:r>
          <w:rPr>
            <w:noProof/>
            <w:webHidden/>
          </w:rPr>
        </w:r>
        <w:r>
          <w:rPr>
            <w:noProof/>
            <w:webHidden/>
          </w:rPr>
          <w:fldChar w:fldCharType="separate"/>
        </w:r>
        <w:r>
          <w:rPr>
            <w:noProof/>
            <w:webHidden/>
          </w:rPr>
          <w:t>93</w:t>
        </w:r>
        <w:r>
          <w:rPr>
            <w:noProof/>
            <w:webHidden/>
          </w:rPr>
          <w:fldChar w:fldCharType="end"/>
        </w:r>
      </w:hyperlink>
    </w:p>
    <w:p w14:paraId="553B7E92" w14:textId="2E89F9C7" w:rsidR="00056FC5" w:rsidRDefault="00056FC5">
      <w:pPr>
        <w:pStyle w:val="TOC2"/>
        <w:rPr>
          <w:rFonts w:asciiTheme="minorHAnsi" w:eastAsiaTheme="minorEastAsia" w:hAnsiTheme="minorHAnsi" w:cstheme="minorBidi"/>
          <w:noProof/>
          <w:sz w:val="22"/>
          <w:szCs w:val="22"/>
          <w:lang w:val="en-US"/>
          <w14:ligatures w14:val="standardContextual"/>
        </w:rPr>
      </w:pPr>
      <w:hyperlink w:anchor="_Toc169625112" w:history="1">
        <w:r w:rsidRPr="007F3F71">
          <w:rPr>
            <w:rStyle w:val="Hyperlink"/>
            <w:noProof/>
          </w:rPr>
          <w:t>2.2 Cadrul instituțional și legislativ actual referitor la managementul integrat al zonei costiere și problemele identificate</w:t>
        </w:r>
        <w:r>
          <w:rPr>
            <w:noProof/>
            <w:webHidden/>
          </w:rPr>
          <w:tab/>
        </w:r>
        <w:r>
          <w:rPr>
            <w:noProof/>
            <w:webHidden/>
          </w:rPr>
          <w:fldChar w:fldCharType="begin"/>
        </w:r>
        <w:r>
          <w:rPr>
            <w:noProof/>
            <w:webHidden/>
          </w:rPr>
          <w:instrText xml:space="preserve"> PAGEREF _Toc169625112 \h </w:instrText>
        </w:r>
        <w:r>
          <w:rPr>
            <w:noProof/>
            <w:webHidden/>
          </w:rPr>
        </w:r>
        <w:r>
          <w:rPr>
            <w:noProof/>
            <w:webHidden/>
          </w:rPr>
          <w:fldChar w:fldCharType="separate"/>
        </w:r>
        <w:r>
          <w:rPr>
            <w:noProof/>
            <w:webHidden/>
          </w:rPr>
          <w:t>95</w:t>
        </w:r>
        <w:r>
          <w:rPr>
            <w:noProof/>
            <w:webHidden/>
          </w:rPr>
          <w:fldChar w:fldCharType="end"/>
        </w:r>
      </w:hyperlink>
    </w:p>
    <w:p w14:paraId="667399FA" w14:textId="64296BB9" w:rsidR="00056FC5" w:rsidRDefault="00056FC5">
      <w:pPr>
        <w:pStyle w:val="TOC3"/>
        <w:rPr>
          <w:rFonts w:asciiTheme="minorHAnsi" w:eastAsiaTheme="minorEastAsia" w:hAnsiTheme="minorHAnsi" w:cstheme="minorBidi"/>
          <w:noProof/>
          <w:sz w:val="22"/>
          <w:szCs w:val="22"/>
          <w:lang w:val="en-US"/>
          <w14:ligatures w14:val="standardContextual"/>
        </w:rPr>
      </w:pPr>
      <w:hyperlink w:anchor="_Toc169625113" w:history="1">
        <w:r w:rsidRPr="007F3F71">
          <w:rPr>
            <w:rStyle w:val="Hyperlink"/>
            <w:noProof/>
          </w:rPr>
          <w:t>2.2.1 Cadrul instituțional actual și problemele identificate</w:t>
        </w:r>
        <w:r>
          <w:rPr>
            <w:noProof/>
            <w:webHidden/>
          </w:rPr>
          <w:tab/>
        </w:r>
        <w:r>
          <w:rPr>
            <w:noProof/>
            <w:webHidden/>
          </w:rPr>
          <w:fldChar w:fldCharType="begin"/>
        </w:r>
        <w:r>
          <w:rPr>
            <w:noProof/>
            <w:webHidden/>
          </w:rPr>
          <w:instrText xml:space="preserve"> PAGEREF _Toc169625113 \h </w:instrText>
        </w:r>
        <w:r>
          <w:rPr>
            <w:noProof/>
            <w:webHidden/>
          </w:rPr>
        </w:r>
        <w:r>
          <w:rPr>
            <w:noProof/>
            <w:webHidden/>
          </w:rPr>
          <w:fldChar w:fldCharType="separate"/>
        </w:r>
        <w:r>
          <w:rPr>
            <w:noProof/>
            <w:webHidden/>
          </w:rPr>
          <w:t>95</w:t>
        </w:r>
        <w:r>
          <w:rPr>
            <w:noProof/>
            <w:webHidden/>
          </w:rPr>
          <w:fldChar w:fldCharType="end"/>
        </w:r>
      </w:hyperlink>
    </w:p>
    <w:p w14:paraId="7BE6FE15" w14:textId="46D4CEF0" w:rsidR="00056FC5" w:rsidRDefault="00056FC5">
      <w:pPr>
        <w:pStyle w:val="TOC3"/>
        <w:rPr>
          <w:rFonts w:asciiTheme="minorHAnsi" w:eastAsiaTheme="minorEastAsia" w:hAnsiTheme="minorHAnsi" w:cstheme="minorBidi"/>
          <w:noProof/>
          <w:sz w:val="22"/>
          <w:szCs w:val="22"/>
          <w:lang w:val="en-US"/>
          <w14:ligatures w14:val="standardContextual"/>
        </w:rPr>
      </w:pPr>
      <w:hyperlink w:anchor="_Toc169625114" w:history="1">
        <w:r w:rsidRPr="007F3F71">
          <w:rPr>
            <w:rStyle w:val="Hyperlink"/>
            <w:noProof/>
          </w:rPr>
          <w:t>2.2.2 Cadrul legislativ actual și problemele identificate</w:t>
        </w:r>
        <w:r>
          <w:rPr>
            <w:noProof/>
            <w:webHidden/>
          </w:rPr>
          <w:tab/>
        </w:r>
        <w:r>
          <w:rPr>
            <w:noProof/>
            <w:webHidden/>
          </w:rPr>
          <w:fldChar w:fldCharType="begin"/>
        </w:r>
        <w:r>
          <w:rPr>
            <w:noProof/>
            <w:webHidden/>
          </w:rPr>
          <w:instrText xml:space="preserve"> PAGEREF _Toc169625114 \h </w:instrText>
        </w:r>
        <w:r>
          <w:rPr>
            <w:noProof/>
            <w:webHidden/>
          </w:rPr>
        </w:r>
        <w:r>
          <w:rPr>
            <w:noProof/>
            <w:webHidden/>
          </w:rPr>
          <w:fldChar w:fldCharType="separate"/>
        </w:r>
        <w:r>
          <w:rPr>
            <w:noProof/>
            <w:webHidden/>
          </w:rPr>
          <w:t>98</w:t>
        </w:r>
        <w:r>
          <w:rPr>
            <w:noProof/>
            <w:webHidden/>
          </w:rPr>
          <w:fldChar w:fldCharType="end"/>
        </w:r>
      </w:hyperlink>
    </w:p>
    <w:p w14:paraId="67AE6BE7" w14:textId="54FBE488" w:rsidR="00056FC5" w:rsidRDefault="00056FC5">
      <w:pPr>
        <w:pStyle w:val="TOC2"/>
        <w:rPr>
          <w:rFonts w:asciiTheme="minorHAnsi" w:eastAsiaTheme="minorEastAsia" w:hAnsiTheme="minorHAnsi" w:cstheme="minorBidi"/>
          <w:noProof/>
          <w:sz w:val="22"/>
          <w:szCs w:val="22"/>
          <w:lang w:val="en-US"/>
          <w14:ligatures w14:val="standardContextual"/>
        </w:rPr>
      </w:pPr>
      <w:hyperlink w:anchor="_Toc169625115" w:history="1">
        <w:r w:rsidRPr="007F3F71">
          <w:rPr>
            <w:rStyle w:val="Hyperlink"/>
            <w:noProof/>
          </w:rPr>
          <w:t>2.3 Delimitarea zonei costiere</w:t>
        </w:r>
        <w:r>
          <w:rPr>
            <w:noProof/>
            <w:webHidden/>
          </w:rPr>
          <w:tab/>
        </w:r>
        <w:r>
          <w:rPr>
            <w:noProof/>
            <w:webHidden/>
          </w:rPr>
          <w:fldChar w:fldCharType="begin"/>
        </w:r>
        <w:r>
          <w:rPr>
            <w:noProof/>
            <w:webHidden/>
          </w:rPr>
          <w:instrText xml:space="preserve"> PAGEREF _Toc169625115 \h </w:instrText>
        </w:r>
        <w:r>
          <w:rPr>
            <w:noProof/>
            <w:webHidden/>
          </w:rPr>
        </w:r>
        <w:r>
          <w:rPr>
            <w:noProof/>
            <w:webHidden/>
          </w:rPr>
          <w:fldChar w:fldCharType="separate"/>
        </w:r>
        <w:r>
          <w:rPr>
            <w:noProof/>
            <w:webHidden/>
          </w:rPr>
          <w:t>100</w:t>
        </w:r>
        <w:r>
          <w:rPr>
            <w:noProof/>
            <w:webHidden/>
          </w:rPr>
          <w:fldChar w:fldCharType="end"/>
        </w:r>
      </w:hyperlink>
    </w:p>
    <w:p w14:paraId="296E7BEC" w14:textId="1EF0FB84" w:rsidR="00056FC5" w:rsidRDefault="00056FC5">
      <w:pPr>
        <w:pStyle w:val="TOC2"/>
        <w:tabs>
          <w:tab w:val="left" w:pos="720"/>
        </w:tabs>
        <w:rPr>
          <w:rFonts w:asciiTheme="minorHAnsi" w:eastAsiaTheme="minorEastAsia" w:hAnsiTheme="minorHAnsi" w:cstheme="minorBidi"/>
          <w:noProof/>
          <w:sz w:val="22"/>
          <w:szCs w:val="22"/>
          <w:lang w:val="en-US"/>
          <w14:ligatures w14:val="standardContextual"/>
        </w:rPr>
      </w:pPr>
      <w:hyperlink w:anchor="_Toc169625116" w:history="1">
        <w:r w:rsidRPr="007F3F71">
          <w:rPr>
            <w:rStyle w:val="Hyperlink"/>
            <w:noProof/>
          </w:rPr>
          <w:t>2.4</w:t>
        </w:r>
        <w:r>
          <w:rPr>
            <w:rFonts w:asciiTheme="minorHAnsi" w:eastAsiaTheme="minorEastAsia" w:hAnsiTheme="minorHAnsi" w:cstheme="minorBidi"/>
            <w:noProof/>
            <w:sz w:val="22"/>
            <w:szCs w:val="22"/>
            <w:lang w:val="en-US"/>
            <w14:ligatures w14:val="standardContextual"/>
          </w:rPr>
          <w:tab/>
        </w:r>
        <w:r w:rsidRPr="007F3F71">
          <w:rPr>
            <w:rStyle w:val="Hyperlink"/>
            <w:noProof/>
          </w:rPr>
          <w:t>Descrierea generală a caracteristicilor zonei costiere</w:t>
        </w:r>
        <w:r>
          <w:rPr>
            <w:noProof/>
            <w:webHidden/>
          </w:rPr>
          <w:tab/>
        </w:r>
        <w:r>
          <w:rPr>
            <w:noProof/>
            <w:webHidden/>
          </w:rPr>
          <w:fldChar w:fldCharType="begin"/>
        </w:r>
        <w:r>
          <w:rPr>
            <w:noProof/>
            <w:webHidden/>
          </w:rPr>
          <w:instrText xml:space="preserve"> PAGEREF _Toc169625116 \h </w:instrText>
        </w:r>
        <w:r>
          <w:rPr>
            <w:noProof/>
            <w:webHidden/>
          </w:rPr>
        </w:r>
        <w:r>
          <w:rPr>
            <w:noProof/>
            <w:webHidden/>
          </w:rPr>
          <w:fldChar w:fldCharType="separate"/>
        </w:r>
        <w:r>
          <w:rPr>
            <w:noProof/>
            <w:webHidden/>
          </w:rPr>
          <w:t>102</w:t>
        </w:r>
        <w:r>
          <w:rPr>
            <w:noProof/>
            <w:webHidden/>
          </w:rPr>
          <w:fldChar w:fldCharType="end"/>
        </w:r>
      </w:hyperlink>
    </w:p>
    <w:p w14:paraId="0E94E202" w14:textId="0FD93612" w:rsidR="00056FC5" w:rsidRDefault="00056FC5">
      <w:pPr>
        <w:pStyle w:val="TOC3"/>
        <w:rPr>
          <w:rFonts w:asciiTheme="minorHAnsi" w:eastAsiaTheme="minorEastAsia" w:hAnsiTheme="minorHAnsi" w:cstheme="minorBidi"/>
          <w:noProof/>
          <w:sz w:val="22"/>
          <w:szCs w:val="22"/>
          <w:lang w:val="en-US"/>
          <w14:ligatures w14:val="standardContextual"/>
        </w:rPr>
      </w:pPr>
      <w:hyperlink w:anchor="_Toc169625117" w:history="1">
        <w:r w:rsidRPr="007F3F71">
          <w:rPr>
            <w:rStyle w:val="Hyperlink"/>
            <w:noProof/>
          </w:rPr>
          <w:t>2.4.1 Cadrul natural</w:t>
        </w:r>
        <w:r>
          <w:rPr>
            <w:noProof/>
            <w:webHidden/>
          </w:rPr>
          <w:tab/>
        </w:r>
        <w:r>
          <w:rPr>
            <w:noProof/>
            <w:webHidden/>
          </w:rPr>
          <w:fldChar w:fldCharType="begin"/>
        </w:r>
        <w:r>
          <w:rPr>
            <w:noProof/>
            <w:webHidden/>
          </w:rPr>
          <w:instrText xml:space="preserve"> PAGEREF _Toc169625117 \h </w:instrText>
        </w:r>
        <w:r>
          <w:rPr>
            <w:noProof/>
            <w:webHidden/>
          </w:rPr>
        </w:r>
        <w:r>
          <w:rPr>
            <w:noProof/>
            <w:webHidden/>
          </w:rPr>
          <w:fldChar w:fldCharType="separate"/>
        </w:r>
        <w:r>
          <w:rPr>
            <w:noProof/>
            <w:webHidden/>
          </w:rPr>
          <w:t>102</w:t>
        </w:r>
        <w:r>
          <w:rPr>
            <w:noProof/>
            <w:webHidden/>
          </w:rPr>
          <w:fldChar w:fldCharType="end"/>
        </w:r>
      </w:hyperlink>
    </w:p>
    <w:p w14:paraId="00AF0EF8" w14:textId="08206109" w:rsidR="00056FC5" w:rsidRDefault="00056FC5">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69625118" w:history="1">
        <w:r w:rsidRPr="007F3F71">
          <w:rPr>
            <w:rStyle w:val="Hyperlink"/>
            <w:noProof/>
          </w:rPr>
          <w:t>2.4.1.1 Relief și climă</w:t>
        </w:r>
        <w:r>
          <w:rPr>
            <w:noProof/>
            <w:webHidden/>
          </w:rPr>
          <w:tab/>
        </w:r>
        <w:r>
          <w:rPr>
            <w:noProof/>
            <w:webHidden/>
          </w:rPr>
          <w:fldChar w:fldCharType="begin"/>
        </w:r>
        <w:r>
          <w:rPr>
            <w:noProof/>
            <w:webHidden/>
          </w:rPr>
          <w:instrText xml:space="preserve"> PAGEREF _Toc169625118 \h </w:instrText>
        </w:r>
        <w:r>
          <w:rPr>
            <w:noProof/>
            <w:webHidden/>
          </w:rPr>
        </w:r>
        <w:r>
          <w:rPr>
            <w:noProof/>
            <w:webHidden/>
          </w:rPr>
          <w:fldChar w:fldCharType="separate"/>
        </w:r>
        <w:r>
          <w:rPr>
            <w:noProof/>
            <w:webHidden/>
          </w:rPr>
          <w:t>102</w:t>
        </w:r>
        <w:r>
          <w:rPr>
            <w:noProof/>
            <w:webHidden/>
          </w:rPr>
          <w:fldChar w:fldCharType="end"/>
        </w:r>
      </w:hyperlink>
    </w:p>
    <w:p w14:paraId="56DDE1F6" w14:textId="35EEF6DE" w:rsidR="00056FC5" w:rsidRDefault="00056FC5">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69625119" w:history="1">
        <w:r w:rsidRPr="007F3F71">
          <w:rPr>
            <w:rStyle w:val="Hyperlink"/>
            <w:noProof/>
          </w:rPr>
          <w:t>2.4.1.2 Geologie</w:t>
        </w:r>
        <w:r>
          <w:rPr>
            <w:noProof/>
            <w:webHidden/>
          </w:rPr>
          <w:tab/>
        </w:r>
        <w:r>
          <w:rPr>
            <w:noProof/>
            <w:webHidden/>
          </w:rPr>
          <w:fldChar w:fldCharType="begin"/>
        </w:r>
        <w:r>
          <w:rPr>
            <w:noProof/>
            <w:webHidden/>
          </w:rPr>
          <w:instrText xml:space="preserve"> PAGEREF _Toc169625119 \h </w:instrText>
        </w:r>
        <w:r>
          <w:rPr>
            <w:noProof/>
            <w:webHidden/>
          </w:rPr>
        </w:r>
        <w:r>
          <w:rPr>
            <w:noProof/>
            <w:webHidden/>
          </w:rPr>
          <w:fldChar w:fldCharType="separate"/>
        </w:r>
        <w:r>
          <w:rPr>
            <w:noProof/>
            <w:webHidden/>
          </w:rPr>
          <w:t>106</w:t>
        </w:r>
        <w:r>
          <w:rPr>
            <w:noProof/>
            <w:webHidden/>
          </w:rPr>
          <w:fldChar w:fldCharType="end"/>
        </w:r>
      </w:hyperlink>
    </w:p>
    <w:p w14:paraId="1932781B" w14:textId="4694BF1F" w:rsidR="00056FC5" w:rsidRDefault="00056FC5">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69625120" w:history="1">
        <w:r w:rsidRPr="007F3F71">
          <w:rPr>
            <w:rStyle w:val="Hyperlink"/>
            <w:noProof/>
          </w:rPr>
          <w:t>2.4.1.3 Hidrologie</w:t>
        </w:r>
        <w:r>
          <w:rPr>
            <w:noProof/>
            <w:webHidden/>
          </w:rPr>
          <w:tab/>
        </w:r>
        <w:r>
          <w:rPr>
            <w:noProof/>
            <w:webHidden/>
          </w:rPr>
          <w:fldChar w:fldCharType="begin"/>
        </w:r>
        <w:r>
          <w:rPr>
            <w:noProof/>
            <w:webHidden/>
          </w:rPr>
          <w:instrText xml:space="preserve"> PAGEREF _Toc169625120 \h </w:instrText>
        </w:r>
        <w:r>
          <w:rPr>
            <w:noProof/>
            <w:webHidden/>
          </w:rPr>
        </w:r>
        <w:r>
          <w:rPr>
            <w:noProof/>
            <w:webHidden/>
          </w:rPr>
          <w:fldChar w:fldCharType="separate"/>
        </w:r>
        <w:r>
          <w:rPr>
            <w:noProof/>
            <w:webHidden/>
          </w:rPr>
          <w:t>109</w:t>
        </w:r>
        <w:r>
          <w:rPr>
            <w:noProof/>
            <w:webHidden/>
          </w:rPr>
          <w:fldChar w:fldCharType="end"/>
        </w:r>
      </w:hyperlink>
    </w:p>
    <w:p w14:paraId="40366BAA" w14:textId="00858FCA" w:rsidR="00056FC5" w:rsidRDefault="00056FC5">
      <w:pPr>
        <w:pStyle w:val="TOC3"/>
        <w:rPr>
          <w:rFonts w:asciiTheme="minorHAnsi" w:eastAsiaTheme="minorEastAsia" w:hAnsiTheme="minorHAnsi" w:cstheme="minorBidi"/>
          <w:noProof/>
          <w:sz w:val="22"/>
          <w:szCs w:val="22"/>
          <w:lang w:val="en-US"/>
          <w14:ligatures w14:val="standardContextual"/>
        </w:rPr>
      </w:pPr>
      <w:hyperlink w:anchor="_Toc169625121" w:history="1">
        <w:r w:rsidRPr="007F3F71">
          <w:rPr>
            <w:rStyle w:val="Hyperlink"/>
            <w:noProof/>
          </w:rPr>
          <w:t>2.4.2 Calitatea aerului, apelor și solurilor</w:t>
        </w:r>
        <w:r>
          <w:rPr>
            <w:noProof/>
            <w:webHidden/>
          </w:rPr>
          <w:tab/>
        </w:r>
        <w:r>
          <w:rPr>
            <w:noProof/>
            <w:webHidden/>
          </w:rPr>
          <w:fldChar w:fldCharType="begin"/>
        </w:r>
        <w:r>
          <w:rPr>
            <w:noProof/>
            <w:webHidden/>
          </w:rPr>
          <w:instrText xml:space="preserve"> PAGEREF _Toc169625121 \h </w:instrText>
        </w:r>
        <w:r>
          <w:rPr>
            <w:noProof/>
            <w:webHidden/>
          </w:rPr>
        </w:r>
        <w:r>
          <w:rPr>
            <w:noProof/>
            <w:webHidden/>
          </w:rPr>
          <w:fldChar w:fldCharType="separate"/>
        </w:r>
        <w:r>
          <w:rPr>
            <w:noProof/>
            <w:webHidden/>
          </w:rPr>
          <w:t>111</w:t>
        </w:r>
        <w:r>
          <w:rPr>
            <w:noProof/>
            <w:webHidden/>
          </w:rPr>
          <w:fldChar w:fldCharType="end"/>
        </w:r>
      </w:hyperlink>
    </w:p>
    <w:p w14:paraId="02CD3A05" w14:textId="17EF5390" w:rsidR="00056FC5" w:rsidRDefault="00056FC5">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69625122" w:history="1">
        <w:r w:rsidRPr="007F3F71">
          <w:rPr>
            <w:rStyle w:val="Hyperlink"/>
            <w:noProof/>
          </w:rPr>
          <w:t>2.4.2.1 Aer</w:t>
        </w:r>
        <w:r>
          <w:rPr>
            <w:noProof/>
            <w:webHidden/>
          </w:rPr>
          <w:tab/>
        </w:r>
        <w:r>
          <w:rPr>
            <w:noProof/>
            <w:webHidden/>
          </w:rPr>
          <w:fldChar w:fldCharType="begin"/>
        </w:r>
        <w:r>
          <w:rPr>
            <w:noProof/>
            <w:webHidden/>
          </w:rPr>
          <w:instrText xml:space="preserve"> PAGEREF _Toc169625122 \h </w:instrText>
        </w:r>
        <w:r>
          <w:rPr>
            <w:noProof/>
            <w:webHidden/>
          </w:rPr>
        </w:r>
        <w:r>
          <w:rPr>
            <w:noProof/>
            <w:webHidden/>
          </w:rPr>
          <w:fldChar w:fldCharType="separate"/>
        </w:r>
        <w:r>
          <w:rPr>
            <w:noProof/>
            <w:webHidden/>
          </w:rPr>
          <w:t>111</w:t>
        </w:r>
        <w:r>
          <w:rPr>
            <w:noProof/>
            <w:webHidden/>
          </w:rPr>
          <w:fldChar w:fldCharType="end"/>
        </w:r>
      </w:hyperlink>
    </w:p>
    <w:p w14:paraId="16377C74" w14:textId="61C8D145" w:rsidR="00056FC5" w:rsidRDefault="00056FC5">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69625123" w:history="1">
        <w:r w:rsidRPr="007F3F71">
          <w:rPr>
            <w:rStyle w:val="Hyperlink"/>
            <w:noProof/>
          </w:rPr>
          <w:t>2.4.2.2 Ape</w:t>
        </w:r>
        <w:r>
          <w:rPr>
            <w:noProof/>
            <w:webHidden/>
          </w:rPr>
          <w:tab/>
        </w:r>
        <w:r>
          <w:rPr>
            <w:noProof/>
            <w:webHidden/>
          </w:rPr>
          <w:fldChar w:fldCharType="begin"/>
        </w:r>
        <w:r>
          <w:rPr>
            <w:noProof/>
            <w:webHidden/>
          </w:rPr>
          <w:instrText xml:space="preserve"> PAGEREF _Toc169625123 \h </w:instrText>
        </w:r>
        <w:r>
          <w:rPr>
            <w:noProof/>
            <w:webHidden/>
          </w:rPr>
        </w:r>
        <w:r>
          <w:rPr>
            <w:noProof/>
            <w:webHidden/>
          </w:rPr>
          <w:fldChar w:fldCharType="separate"/>
        </w:r>
        <w:r>
          <w:rPr>
            <w:noProof/>
            <w:webHidden/>
          </w:rPr>
          <w:t>112</w:t>
        </w:r>
        <w:r>
          <w:rPr>
            <w:noProof/>
            <w:webHidden/>
          </w:rPr>
          <w:fldChar w:fldCharType="end"/>
        </w:r>
      </w:hyperlink>
    </w:p>
    <w:p w14:paraId="69AE2F2E" w14:textId="14DB3431" w:rsidR="00056FC5" w:rsidRDefault="00056FC5">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69625124" w:history="1">
        <w:r w:rsidRPr="007F3F71">
          <w:rPr>
            <w:rStyle w:val="Hyperlink"/>
            <w:noProof/>
          </w:rPr>
          <w:t>2.4.2.3 Soluri</w:t>
        </w:r>
        <w:r>
          <w:rPr>
            <w:noProof/>
            <w:webHidden/>
          </w:rPr>
          <w:tab/>
        </w:r>
        <w:r>
          <w:rPr>
            <w:noProof/>
            <w:webHidden/>
          </w:rPr>
          <w:fldChar w:fldCharType="begin"/>
        </w:r>
        <w:r>
          <w:rPr>
            <w:noProof/>
            <w:webHidden/>
          </w:rPr>
          <w:instrText xml:space="preserve"> PAGEREF _Toc169625124 \h </w:instrText>
        </w:r>
        <w:r>
          <w:rPr>
            <w:noProof/>
            <w:webHidden/>
          </w:rPr>
        </w:r>
        <w:r>
          <w:rPr>
            <w:noProof/>
            <w:webHidden/>
          </w:rPr>
          <w:fldChar w:fldCharType="separate"/>
        </w:r>
        <w:r>
          <w:rPr>
            <w:noProof/>
            <w:webHidden/>
          </w:rPr>
          <w:t>120</w:t>
        </w:r>
        <w:r>
          <w:rPr>
            <w:noProof/>
            <w:webHidden/>
          </w:rPr>
          <w:fldChar w:fldCharType="end"/>
        </w:r>
      </w:hyperlink>
    </w:p>
    <w:p w14:paraId="5A54DBAA" w14:textId="57B68D3D" w:rsidR="00056FC5" w:rsidRDefault="00056FC5">
      <w:pPr>
        <w:pStyle w:val="TOC3"/>
        <w:rPr>
          <w:rFonts w:asciiTheme="minorHAnsi" w:eastAsiaTheme="minorEastAsia" w:hAnsiTheme="minorHAnsi" w:cstheme="minorBidi"/>
          <w:noProof/>
          <w:sz w:val="22"/>
          <w:szCs w:val="22"/>
          <w:lang w:val="en-US"/>
          <w14:ligatures w14:val="standardContextual"/>
        </w:rPr>
      </w:pPr>
      <w:hyperlink w:anchor="_Toc169625125" w:history="1">
        <w:r w:rsidRPr="007F3F71">
          <w:rPr>
            <w:rStyle w:val="Hyperlink"/>
            <w:noProof/>
          </w:rPr>
          <w:t>2.4.3 Biodiversitate</w:t>
        </w:r>
        <w:r>
          <w:rPr>
            <w:noProof/>
            <w:webHidden/>
          </w:rPr>
          <w:tab/>
        </w:r>
        <w:r>
          <w:rPr>
            <w:noProof/>
            <w:webHidden/>
          </w:rPr>
          <w:fldChar w:fldCharType="begin"/>
        </w:r>
        <w:r>
          <w:rPr>
            <w:noProof/>
            <w:webHidden/>
          </w:rPr>
          <w:instrText xml:space="preserve"> PAGEREF _Toc169625125 \h </w:instrText>
        </w:r>
        <w:r>
          <w:rPr>
            <w:noProof/>
            <w:webHidden/>
          </w:rPr>
        </w:r>
        <w:r>
          <w:rPr>
            <w:noProof/>
            <w:webHidden/>
          </w:rPr>
          <w:fldChar w:fldCharType="separate"/>
        </w:r>
        <w:r>
          <w:rPr>
            <w:noProof/>
            <w:webHidden/>
          </w:rPr>
          <w:t>121</w:t>
        </w:r>
        <w:r>
          <w:rPr>
            <w:noProof/>
            <w:webHidden/>
          </w:rPr>
          <w:fldChar w:fldCharType="end"/>
        </w:r>
      </w:hyperlink>
    </w:p>
    <w:p w14:paraId="047BEE71" w14:textId="2AC19FE3" w:rsidR="00056FC5" w:rsidRDefault="00056FC5">
      <w:pPr>
        <w:pStyle w:val="TOC3"/>
        <w:rPr>
          <w:rFonts w:asciiTheme="minorHAnsi" w:eastAsiaTheme="minorEastAsia" w:hAnsiTheme="minorHAnsi" w:cstheme="minorBidi"/>
          <w:noProof/>
          <w:sz w:val="22"/>
          <w:szCs w:val="22"/>
          <w:lang w:val="en-US"/>
          <w14:ligatures w14:val="standardContextual"/>
        </w:rPr>
      </w:pPr>
      <w:hyperlink w:anchor="_Toc169625126" w:history="1">
        <w:r w:rsidRPr="007F3F71">
          <w:rPr>
            <w:rStyle w:val="Hyperlink"/>
            <w:noProof/>
          </w:rPr>
          <w:t>2.4.4. Resurse naturale</w:t>
        </w:r>
        <w:r>
          <w:rPr>
            <w:noProof/>
            <w:webHidden/>
          </w:rPr>
          <w:tab/>
        </w:r>
        <w:r>
          <w:rPr>
            <w:noProof/>
            <w:webHidden/>
          </w:rPr>
          <w:fldChar w:fldCharType="begin"/>
        </w:r>
        <w:r>
          <w:rPr>
            <w:noProof/>
            <w:webHidden/>
          </w:rPr>
          <w:instrText xml:space="preserve"> PAGEREF _Toc169625126 \h </w:instrText>
        </w:r>
        <w:r>
          <w:rPr>
            <w:noProof/>
            <w:webHidden/>
          </w:rPr>
        </w:r>
        <w:r>
          <w:rPr>
            <w:noProof/>
            <w:webHidden/>
          </w:rPr>
          <w:fldChar w:fldCharType="separate"/>
        </w:r>
        <w:r>
          <w:rPr>
            <w:noProof/>
            <w:webHidden/>
          </w:rPr>
          <w:t>127</w:t>
        </w:r>
        <w:r>
          <w:rPr>
            <w:noProof/>
            <w:webHidden/>
          </w:rPr>
          <w:fldChar w:fldCharType="end"/>
        </w:r>
      </w:hyperlink>
    </w:p>
    <w:p w14:paraId="217704D3" w14:textId="45E6C80E" w:rsidR="00056FC5" w:rsidRDefault="00056FC5">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69625127" w:history="1">
        <w:r w:rsidRPr="007F3F71">
          <w:rPr>
            <w:rStyle w:val="Hyperlink"/>
            <w:noProof/>
          </w:rPr>
          <w:t>2.4.4.1 Resursa stuficolă</w:t>
        </w:r>
        <w:r>
          <w:rPr>
            <w:noProof/>
            <w:webHidden/>
          </w:rPr>
          <w:tab/>
        </w:r>
        <w:r>
          <w:rPr>
            <w:noProof/>
            <w:webHidden/>
          </w:rPr>
          <w:fldChar w:fldCharType="begin"/>
        </w:r>
        <w:r>
          <w:rPr>
            <w:noProof/>
            <w:webHidden/>
          </w:rPr>
          <w:instrText xml:space="preserve"> PAGEREF _Toc169625127 \h </w:instrText>
        </w:r>
        <w:r>
          <w:rPr>
            <w:noProof/>
            <w:webHidden/>
          </w:rPr>
        </w:r>
        <w:r>
          <w:rPr>
            <w:noProof/>
            <w:webHidden/>
          </w:rPr>
          <w:fldChar w:fldCharType="separate"/>
        </w:r>
        <w:r>
          <w:rPr>
            <w:noProof/>
            <w:webHidden/>
          </w:rPr>
          <w:t>127</w:t>
        </w:r>
        <w:r>
          <w:rPr>
            <w:noProof/>
            <w:webHidden/>
          </w:rPr>
          <w:fldChar w:fldCharType="end"/>
        </w:r>
      </w:hyperlink>
    </w:p>
    <w:p w14:paraId="6E00C6BA" w14:textId="36F027AB" w:rsidR="00056FC5" w:rsidRDefault="00056FC5">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69625128" w:history="1">
        <w:r w:rsidRPr="007F3F71">
          <w:rPr>
            <w:rStyle w:val="Hyperlink"/>
            <w:noProof/>
          </w:rPr>
          <w:t>2.4.4.2 Resursa piscicolă</w:t>
        </w:r>
        <w:r>
          <w:rPr>
            <w:noProof/>
            <w:webHidden/>
          </w:rPr>
          <w:tab/>
        </w:r>
        <w:r>
          <w:rPr>
            <w:noProof/>
            <w:webHidden/>
          </w:rPr>
          <w:fldChar w:fldCharType="begin"/>
        </w:r>
        <w:r>
          <w:rPr>
            <w:noProof/>
            <w:webHidden/>
          </w:rPr>
          <w:instrText xml:space="preserve"> PAGEREF _Toc169625128 \h </w:instrText>
        </w:r>
        <w:r>
          <w:rPr>
            <w:noProof/>
            <w:webHidden/>
          </w:rPr>
        </w:r>
        <w:r>
          <w:rPr>
            <w:noProof/>
            <w:webHidden/>
          </w:rPr>
          <w:fldChar w:fldCharType="separate"/>
        </w:r>
        <w:r>
          <w:rPr>
            <w:noProof/>
            <w:webHidden/>
          </w:rPr>
          <w:t>131</w:t>
        </w:r>
        <w:r>
          <w:rPr>
            <w:noProof/>
            <w:webHidden/>
          </w:rPr>
          <w:fldChar w:fldCharType="end"/>
        </w:r>
      </w:hyperlink>
    </w:p>
    <w:p w14:paraId="2ED4B0A0" w14:textId="1C021793" w:rsidR="00056FC5" w:rsidRDefault="00056FC5">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69625129" w:history="1">
        <w:r w:rsidRPr="007F3F71">
          <w:rPr>
            <w:rStyle w:val="Hyperlink"/>
            <w:noProof/>
          </w:rPr>
          <w:t>2.4.4.3 Resursa de apă subterană</w:t>
        </w:r>
        <w:r>
          <w:rPr>
            <w:noProof/>
            <w:webHidden/>
          </w:rPr>
          <w:tab/>
        </w:r>
        <w:r>
          <w:rPr>
            <w:noProof/>
            <w:webHidden/>
          </w:rPr>
          <w:fldChar w:fldCharType="begin"/>
        </w:r>
        <w:r>
          <w:rPr>
            <w:noProof/>
            <w:webHidden/>
          </w:rPr>
          <w:instrText xml:space="preserve"> PAGEREF _Toc169625129 \h </w:instrText>
        </w:r>
        <w:r>
          <w:rPr>
            <w:noProof/>
            <w:webHidden/>
          </w:rPr>
        </w:r>
        <w:r>
          <w:rPr>
            <w:noProof/>
            <w:webHidden/>
          </w:rPr>
          <w:fldChar w:fldCharType="separate"/>
        </w:r>
        <w:r>
          <w:rPr>
            <w:noProof/>
            <w:webHidden/>
          </w:rPr>
          <w:t>134</w:t>
        </w:r>
        <w:r>
          <w:rPr>
            <w:noProof/>
            <w:webHidden/>
          </w:rPr>
          <w:fldChar w:fldCharType="end"/>
        </w:r>
      </w:hyperlink>
    </w:p>
    <w:p w14:paraId="3088C90F" w14:textId="0C74C03B" w:rsidR="00056FC5" w:rsidRDefault="00056FC5">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69625130" w:history="1">
        <w:r w:rsidRPr="007F3F71">
          <w:rPr>
            <w:rStyle w:val="Hyperlink"/>
            <w:noProof/>
          </w:rPr>
          <w:t>2.4.4.4. Calcare și șisturi verzi</w:t>
        </w:r>
        <w:r>
          <w:rPr>
            <w:noProof/>
            <w:webHidden/>
          </w:rPr>
          <w:tab/>
        </w:r>
        <w:r>
          <w:rPr>
            <w:noProof/>
            <w:webHidden/>
          </w:rPr>
          <w:fldChar w:fldCharType="begin"/>
        </w:r>
        <w:r>
          <w:rPr>
            <w:noProof/>
            <w:webHidden/>
          </w:rPr>
          <w:instrText xml:space="preserve"> PAGEREF _Toc169625130 \h </w:instrText>
        </w:r>
        <w:r>
          <w:rPr>
            <w:noProof/>
            <w:webHidden/>
          </w:rPr>
        </w:r>
        <w:r>
          <w:rPr>
            <w:noProof/>
            <w:webHidden/>
          </w:rPr>
          <w:fldChar w:fldCharType="separate"/>
        </w:r>
        <w:r>
          <w:rPr>
            <w:noProof/>
            <w:webHidden/>
          </w:rPr>
          <w:t>137</w:t>
        </w:r>
        <w:r>
          <w:rPr>
            <w:noProof/>
            <w:webHidden/>
          </w:rPr>
          <w:fldChar w:fldCharType="end"/>
        </w:r>
      </w:hyperlink>
    </w:p>
    <w:p w14:paraId="0A96239D" w14:textId="1D7F0949" w:rsidR="00056FC5" w:rsidRDefault="00056FC5">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69625131" w:history="1">
        <w:r w:rsidRPr="007F3F71">
          <w:rPr>
            <w:rStyle w:val="Hyperlink"/>
            <w:noProof/>
          </w:rPr>
          <w:t>2.4.4.5 Nisip</w:t>
        </w:r>
        <w:r>
          <w:rPr>
            <w:noProof/>
            <w:webHidden/>
          </w:rPr>
          <w:tab/>
        </w:r>
        <w:r>
          <w:rPr>
            <w:noProof/>
            <w:webHidden/>
          </w:rPr>
          <w:fldChar w:fldCharType="begin"/>
        </w:r>
        <w:r>
          <w:rPr>
            <w:noProof/>
            <w:webHidden/>
          </w:rPr>
          <w:instrText xml:space="preserve"> PAGEREF _Toc169625131 \h </w:instrText>
        </w:r>
        <w:r>
          <w:rPr>
            <w:noProof/>
            <w:webHidden/>
          </w:rPr>
        </w:r>
        <w:r>
          <w:rPr>
            <w:noProof/>
            <w:webHidden/>
          </w:rPr>
          <w:fldChar w:fldCharType="separate"/>
        </w:r>
        <w:r>
          <w:rPr>
            <w:noProof/>
            <w:webHidden/>
          </w:rPr>
          <w:t>137</w:t>
        </w:r>
        <w:r>
          <w:rPr>
            <w:noProof/>
            <w:webHidden/>
          </w:rPr>
          <w:fldChar w:fldCharType="end"/>
        </w:r>
      </w:hyperlink>
    </w:p>
    <w:p w14:paraId="3CE0E55F" w14:textId="01905AD5" w:rsidR="00056FC5" w:rsidRDefault="00056FC5">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69625132" w:history="1">
        <w:r w:rsidRPr="007F3F71">
          <w:rPr>
            <w:rStyle w:val="Hyperlink"/>
            <w:noProof/>
          </w:rPr>
          <w:t>2.4.4.6 Nămol sapropelic</w:t>
        </w:r>
        <w:r>
          <w:rPr>
            <w:noProof/>
            <w:webHidden/>
          </w:rPr>
          <w:tab/>
        </w:r>
        <w:r>
          <w:rPr>
            <w:noProof/>
            <w:webHidden/>
          </w:rPr>
          <w:fldChar w:fldCharType="begin"/>
        </w:r>
        <w:r>
          <w:rPr>
            <w:noProof/>
            <w:webHidden/>
          </w:rPr>
          <w:instrText xml:space="preserve"> PAGEREF _Toc169625132 \h </w:instrText>
        </w:r>
        <w:r>
          <w:rPr>
            <w:noProof/>
            <w:webHidden/>
          </w:rPr>
        </w:r>
        <w:r>
          <w:rPr>
            <w:noProof/>
            <w:webHidden/>
          </w:rPr>
          <w:fldChar w:fldCharType="separate"/>
        </w:r>
        <w:r>
          <w:rPr>
            <w:noProof/>
            <w:webHidden/>
          </w:rPr>
          <w:t>137</w:t>
        </w:r>
        <w:r>
          <w:rPr>
            <w:noProof/>
            <w:webHidden/>
          </w:rPr>
          <w:fldChar w:fldCharType="end"/>
        </w:r>
      </w:hyperlink>
    </w:p>
    <w:p w14:paraId="1ACC5537" w14:textId="6BDCE3F1" w:rsidR="00056FC5" w:rsidRDefault="00056FC5">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69625133" w:history="1">
        <w:r w:rsidRPr="007F3F71">
          <w:rPr>
            <w:rStyle w:val="Hyperlink"/>
            <w:noProof/>
          </w:rPr>
          <w:t>2.4.4.7 Ape mezotermale sulfuroase</w:t>
        </w:r>
        <w:r>
          <w:rPr>
            <w:noProof/>
            <w:webHidden/>
          </w:rPr>
          <w:tab/>
        </w:r>
        <w:r>
          <w:rPr>
            <w:noProof/>
            <w:webHidden/>
          </w:rPr>
          <w:fldChar w:fldCharType="begin"/>
        </w:r>
        <w:r>
          <w:rPr>
            <w:noProof/>
            <w:webHidden/>
          </w:rPr>
          <w:instrText xml:space="preserve"> PAGEREF _Toc169625133 \h </w:instrText>
        </w:r>
        <w:r>
          <w:rPr>
            <w:noProof/>
            <w:webHidden/>
          </w:rPr>
        </w:r>
        <w:r>
          <w:rPr>
            <w:noProof/>
            <w:webHidden/>
          </w:rPr>
          <w:fldChar w:fldCharType="separate"/>
        </w:r>
        <w:r>
          <w:rPr>
            <w:noProof/>
            <w:webHidden/>
          </w:rPr>
          <w:t>138</w:t>
        </w:r>
        <w:r>
          <w:rPr>
            <w:noProof/>
            <w:webHidden/>
          </w:rPr>
          <w:fldChar w:fldCharType="end"/>
        </w:r>
      </w:hyperlink>
    </w:p>
    <w:p w14:paraId="2BEDE172" w14:textId="4DF27108" w:rsidR="00056FC5" w:rsidRDefault="00056FC5">
      <w:pPr>
        <w:pStyle w:val="TOC3"/>
        <w:rPr>
          <w:rFonts w:asciiTheme="minorHAnsi" w:eastAsiaTheme="minorEastAsia" w:hAnsiTheme="minorHAnsi" w:cstheme="minorBidi"/>
          <w:noProof/>
          <w:sz w:val="22"/>
          <w:szCs w:val="22"/>
          <w:lang w:val="en-US"/>
          <w14:ligatures w14:val="standardContextual"/>
        </w:rPr>
      </w:pPr>
      <w:hyperlink w:anchor="_Toc169625134" w:history="1">
        <w:r w:rsidRPr="007F3F71">
          <w:rPr>
            <w:rStyle w:val="Hyperlink"/>
            <w:noProof/>
          </w:rPr>
          <w:t>2.4.5 Patrimoniul cultural</w:t>
        </w:r>
        <w:r>
          <w:rPr>
            <w:noProof/>
            <w:webHidden/>
          </w:rPr>
          <w:tab/>
        </w:r>
        <w:r>
          <w:rPr>
            <w:noProof/>
            <w:webHidden/>
          </w:rPr>
          <w:fldChar w:fldCharType="begin"/>
        </w:r>
        <w:r>
          <w:rPr>
            <w:noProof/>
            <w:webHidden/>
          </w:rPr>
          <w:instrText xml:space="preserve"> PAGEREF _Toc169625134 \h </w:instrText>
        </w:r>
        <w:r>
          <w:rPr>
            <w:noProof/>
            <w:webHidden/>
          </w:rPr>
        </w:r>
        <w:r>
          <w:rPr>
            <w:noProof/>
            <w:webHidden/>
          </w:rPr>
          <w:fldChar w:fldCharType="separate"/>
        </w:r>
        <w:r>
          <w:rPr>
            <w:noProof/>
            <w:webHidden/>
          </w:rPr>
          <w:t>138</w:t>
        </w:r>
        <w:r>
          <w:rPr>
            <w:noProof/>
            <w:webHidden/>
          </w:rPr>
          <w:fldChar w:fldCharType="end"/>
        </w:r>
      </w:hyperlink>
    </w:p>
    <w:p w14:paraId="5FEE8A4F" w14:textId="1A4B9848" w:rsidR="00056FC5" w:rsidRDefault="00056FC5">
      <w:pPr>
        <w:pStyle w:val="TOC3"/>
        <w:rPr>
          <w:rFonts w:asciiTheme="minorHAnsi" w:eastAsiaTheme="minorEastAsia" w:hAnsiTheme="minorHAnsi" w:cstheme="minorBidi"/>
          <w:noProof/>
          <w:sz w:val="22"/>
          <w:szCs w:val="22"/>
          <w:lang w:val="en-US"/>
          <w14:ligatures w14:val="standardContextual"/>
        </w:rPr>
      </w:pPr>
      <w:hyperlink w:anchor="_Toc169625135" w:history="1">
        <w:r w:rsidRPr="007F3F71">
          <w:rPr>
            <w:rStyle w:val="Hyperlink"/>
            <w:noProof/>
          </w:rPr>
          <w:t>2.4.6 Peisaj</w:t>
        </w:r>
        <w:r>
          <w:rPr>
            <w:noProof/>
            <w:webHidden/>
          </w:rPr>
          <w:tab/>
        </w:r>
        <w:r>
          <w:rPr>
            <w:noProof/>
            <w:webHidden/>
          </w:rPr>
          <w:fldChar w:fldCharType="begin"/>
        </w:r>
        <w:r>
          <w:rPr>
            <w:noProof/>
            <w:webHidden/>
          </w:rPr>
          <w:instrText xml:space="preserve"> PAGEREF _Toc169625135 \h </w:instrText>
        </w:r>
        <w:r>
          <w:rPr>
            <w:noProof/>
            <w:webHidden/>
          </w:rPr>
        </w:r>
        <w:r>
          <w:rPr>
            <w:noProof/>
            <w:webHidden/>
          </w:rPr>
          <w:fldChar w:fldCharType="separate"/>
        </w:r>
        <w:r>
          <w:rPr>
            <w:noProof/>
            <w:webHidden/>
          </w:rPr>
          <w:t>142</w:t>
        </w:r>
        <w:r>
          <w:rPr>
            <w:noProof/>
            <w:webHidden/>
          </w:rPr>
          <w:fldChar w:fldCharType="end"/>
        </w:r>
      </w:hyperlink>
    </w:p>
    <w:p w14:paraId="5D3CE5DE" w14:textId="2900BD38" w:rsidR="00056FC5" w:rsidRDefault="00056FC5">
      <w:pPr>
        <w:pStyle w:val="TOC3"/>
        <w:rPr>
          <w:rFonts w:asciiTheme="minorHAnsi" w:eastAsiaTheme="minorEastAsia" w:hAnsiTheme="minorHAnsi" w:cstheme="minorBidi"/>
          <w:noProof/>
          <w:sz w:val="22"/>
          <w:szCs w:val="22"/>
          <w:lang w:val="en-US"/>
          <w14:ligatures w14:val="standardContextual"/>
        </w:rPr>
      </w:pPr>
      <w:hyperlink w:anchor="_Toc169625136" w:history="1">
        <w:r w:rsidRPr="007F3F71">
          <w:rPr>
            <w:rStyle w:val="Hyperlink"/>
            <w:noProof/>
          </w:rPr>
          <w:t>2.4.7 Aspecte socio-demografice, stare actuală și tendințe</w:t>
        </w:r>
        <w:r>
          <w:rPr>
            <w:noProof/>
            <w:webHidden/>
          </w:rPr>
          <w:tab/>
        </w:r>
        <w:r>
          <w:rPr>
            <w:noProof/>
            <w:webHidden/>
          </w:rPr>
          <w:fldChar w:fldCharType="begin"/>
        </w:r>
        <w:r>
          <w:rPr>
            <w:noProof/>
            <w:webHidden/>
          </w:rPr>
          <w:instrText xml:space="preserve"> PAGEREF _Toc169625136 \h </w:instrText>
        </w:r>
        <w:r>
          <w:rPr>
            <w:noProof/>
            <w:webHidden/>
          </w:rPr>
        </w:r>
        <w:r>
          <w:rPr>
            <w:noProof/>
            <w:webHidden/>
          </w:rPr>
          <w:fldChar w:fldCharType="separate"/>
        </w:r>
        <w:r>
          <w:rPr>
            <w:noProof/>
            <w:webHidden/>
          </w:rPr>
          <w:t>145</w:t>
        </w:r>
        <w:r>
          <w:rPr>
            <w:noProof/>
            <w:webHidden/>
          </w:rPr>
          <w:fldChar w:fldCharType="end"/>
        </w:r>
      </w:hyperlink>
    </w:p>
    <w:p w14:paraId="044B6871" w14:textId="2F47F96B" w:rsidR="00056FC5" w:rsidRDefault="00056FC5">
      <w:pPr>
        <w:pStyle w:val="TOC3"/>
        <w:rPr>
          <w:rFonts w:asciiTheme="minorHAnsi" w:eastAsiaTheme="minorEastAsia" w:hAnsiTheme="minorHAnsi" w:cstheme="minorBidi"/>
          <w:noProof/>
          <w:sz w:val="22"/>
          <w:szCs w:val="22"/>
          <w:lang w:val="en-US"/>
          <w14:ligatures w14:val="standardContextual"/>
        </w:rPr>
      </w:pPr>
      <w:hyperlink w:anchor="_Toc169625137" w:history="1">
        <w:r w:rsidRPr="007F3F71">
          <w:rPr>
            <w:rStyle w:val="Hyperlink"/>
            <w:noProof/>
          </w:rPr>
          <w:t>2.4.8 Aspecte economice, stare actuală și tendințe</w:t>
        </w:r>
        <w:r>
          <w:rPr>
            <w:noProof/>
            <w:webHidden/>
          </w:rPr>
          <w:tab/>
        </w:r>
        <w:r>
          <w:rPr>
            <w:noProof/>
            <w:webHidden/>
          </w:rPr>
          <w:fldChar w:fldCharType="begin"/>
        </w:r>
        <w:r>
          <w:rPr>
            <w:noProof/>
            <w:webHidden/>
          </w:rPr>
          <w:instrText xml:space="preserve"> PAGEREF _Toc169625137 \h </w:instrText>
        </w:r>
        <w:r>
          <w:rPr>
            <w:noProof/>
            <w:webHidden/>
          </w:rPr>
        </w:r>
        <w:r>
          <w:rPr>
            <w:noProof/>
            <w:webHidden/>
          </w:rPr>
          <w:fldChar w:fldCharType="separate"/>
        </w:r>
        <w:r>
          <w:rPr>
            <w:noProof/>
            <w:webHidden/>
          </w:rPr>
          <w:t>146</w:t>
        </w:r>
        <w:r>
          <w:rPr>
            <w:noProof/>
            <w:webHidden/>
          </w:rPr>
          <w:fldChar w:fldCharType="end"/>
        </w:r>
      </w:hyperlink>
    </w:p>
    <w:p w14:paraId="5BF27504" w14:textId="22EAD812" w:rsidR="00056FC5" w:rsidRDefault="00056FC5">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69625138" w:history="1">
        <w:r w:rsidRPr="007F3F71">
          <w:rPr>
            <w:rStyle w:val="Hyperlink"/>
            <w:noProof/>
          </w:rPr>
          <w:t>2.4.8.1 Turism</w:t>
        </w:r>
        <w:r>
          <w:rPr>
            <w:noProof/>
            <w:webHidden/>
          </w:rPr>
          <w:tab/>
        </w:r>
        <w:r>
          <w:rPr>
            <w:noProof/>
            <w:webHidden/>
          </w:rPr>
          <w:fldChar w:fldCharType="begin"/>
        </w:r>
        <w:r>
          <w:rPr>
            <w:noProof/>
            <w:webHidden/>
          </w:rPr>
          <w:instrText xml:space="preserve"> PAGEREF _Toc169625138 \h </w:instrText>
        </w:r>
        <w:r>
          <w:rPr>
            <w:noProof/>
            <w:webHidden/>
          </w:rPr>
        </w:r>
        <w:r>
          <w:rPr>
            <w:noProof/>
            <w:webHidden/>
          </w:rPr>
          <w:fldChar w:fldCharType="separate"/>
        </w:r>
        <w:r>
          <w:rPr>
            <w:noProof/>
            <w:webHidden/>
          </w:rPr>
          <w:t>146</w:t>
        </w:r>
        <w:r>
          <w:rPr>
            <w:noProof/>
            <w:webHidden/>
          </w:rPr>
          <w:fldChar w:fldCharType="end"/>
        </w:r>
      </w:hyperlink>
    </w:p>
    <w:p w14:paraId="7F7FFC9B" w14:textId="555698F8" w:rsidR="00056FC5" w:rsidRDefault="00056FC5">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69625139" w:history="1">
        <w:r w:rsidRPr="007F3F71">
          <w:rPr>
            <w:rStyle w:val="Hyperlink"/>
            <w:noProof/>
          </w:rPr>
          <w:t>4.8.2 Pescuit și acvacultură</w:t>
        </w:r>
        <w:r>
          <w:rPr>
            <w:noProof/>
            <w:webHidden/>
          </w:rPr>
          <w:tab/>
        </w:r>
        <w:r>
          <w:rPr>
            <w:noProof/>
            <w:webHidden/>
          </w:rPr>
          <w:fldChar w:fldCharType="begin"/>
        </w:r>
        <w:r>
          <w:rPr>
            <w:noProof/>
            <w:webHidden/>
          </w:rPr>
          <w:instrText xml:space="preserve"> PAGEREF _Toc169625139 \h </w:instrText>
        </w:r>
        <w:r>
          <w:rPr>
            <w:noProof/>
            <w:webHidden/>
          </w:rPr>
        </w:r>
        <w:r>
          <w:rPr>
            <w:noProof/>
            <w:webHidden/>
          </w:rPr>
          <w:fldChar w:fldCharType="separate"/>
        </w:r>
        <w:r>
          <w:rPr>
            <w:noProof/>
            <w:webHidden/>
          </w:rPr>
          <w:t>148</w:t>
        </w:r>
        <w:r>
          <w:rPr>
            <w:noProof/>
            <w:webHidden/>
          </w:rPr>
          <w:fldChar w:fldCharType="end"/>
        </w:r>
      </w:hyperlink>
    </w:p>
    <w:p w14:paraId="6C0AC48F" w14:textId="1507D443" w:rsidR="00056FC5" w:rsidRDefault="00056FC5">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69625140" w:history="1">
        <w:r w:rsidRPr="007F3F71">
          <w:rPr>
            <w:rStyle w:val="Hyperlink"/>
            <w:noProof/>
          </w:rPr>
          <w:t>2.4.8.3 Transport</w:t>
        </w:r>
        <w:r>
          <w:rPr>
            <w:noProof/>
            <w:webHidden/>
          </w:rPr>
          <w:tab/>
        </w:r>
        <w:r>
          <w:rPr>
            <w:noProof/>
            <w:webHidden/>
          </w:rPr>
          <w:fldChar w:fldCharType="begin"/>
        </w:r>
        <w:r>
          <w:rPr>
            <w:noProof/>
            <w:webHidden/>
          </w:rPr>
          <w:instrText xml:space="preserve"> PAGEREF _Toc169625140 \h </w:instrText>
        </w:r>
        <w:r>
          <w:rPr>
            <w:noProof/>
            <w:webHidden/>
          </w:rPr>
        </w:r>
        <w:r>
          <w:rPr>
            <w:noProof/>
            <w:webHidden/>
          </w:rPr>
          <w:fldChar w:fldCharType="separate"/>
        </w:r>
        <w:r>
          <w:rPr>
            <w:noProof/>
            <w:webHidden/>
          </w:rPr>
          <w:t>154</w:t>
        </w:r>
        <w:r>
          <w:rPr>
            <w:noProof/>
            <w:webHidden/>
          </w:rPr>
          <w:fldChar w:fldCharType="end"/>
        </w:r>
      </w:hyperlink>
    </w:p>
    <w:p w14:paraId="7423A4B2" w14:textId="45C36E85" w:rsidR="00056FC5" w:rsidRDefault="00056FC5">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69625141" w:history="1">
        <w:r w:rsidRPr="007F3F71">
          <w:rPr>
            <w:rStyle w:val="Hyperlink"/>
            <w:noProof/>
          </w:rPr>
          <w:t>2.4.8.4 Agricultura</w:t>
        </w:r>
        <w:r>
          <w:rPr>
            <w:noProof/>
            <w:webHidden/>
          </w:rPr>
          <w:tab/>
        </w:r>
        <w:r>
          <w:rPr>
            <w:noProof/>
            <w:webHidden/>
          </w:rPr>
          <w:fldChar w:fldCharType="begin"/>
        </w:r>
        <w:r>
          <w:rPr>
            <w:noProof/>
            <w:webHidden/>
          </w:rPr>
          <w:instrText xml:space="preserve"> PAGEREF _Toc169625141 \h </w:instrText>
        </w:r>
        <w:r>
          <w:rPr>
            <w:noProof/>
            <w:webHidden/>
          </w:rPr>
        </w:r>
        <w:r>
          <w:rPr>
            <w:noProof/>
            <w:webHidden/>
          </w:rPr>
          <w:fldChar w:fldCharType="separate"/>
        </w:r>
        <w:r>
          <w:rPr>
            <w:noProof/>
            <w:webHidden/>
          </w:rPr>
          <w:t>161</w:t>
        </w:r>
        <w:r>
          <w:rPr>
            <w:noProof/>
            <w:webHidden/>
          </w:rPr>
          <w:fldChar w:fldCharType="end"/>
        </w:r>
      </w:hyperlink>
    </w:p>
    <w:p w14:paraId="16723F85" w14:textId="77724B1F" w:rsidR="00056FC5" w:rsidRDefault="00056FC5">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69625142" w:history="1">
        <w:r w:rsidRPr="007F3F71">
          <w:rPr>
            <w:rStyle w:val="Hyperlink"/>
            <w:noProof/>
          </w:rPr>
          <w:t>2.4.8.5 Industrie</w:t>
        </w:r>
        <w:r>
          <w:rPr>
            <w:noProof/>
            <w:webHidden/>
          </w:rPr>
          <w:tab/>
        </w:r>
        <w:r>
          <w:rPr>
            <w:noProof/>
            <w:webHidden/>
          </w:rPr>
          <w:fldChar w:fldCharType="begin"/>
        </w:r>
        <w:r>
          <w:rPr>
            <w:noProof/>
            <w:webHidden/>
          </w:rPr>
          <w:instrText xml:space="preserve"> PAGEREF _Toc169625142 \h </w:instrText>
        </w:r>
        <w:r>
          <w:rPr>
            <w:noProof/>
            <w:webHidden/>
          </w:rPr>
        </w:r>
        <w:r>
          <w:rPr>
            <w:noProof/>
            <w:webHidden/>
          </w:rPr>
          <w:fldChar w:fldCharType="separate"/>
        </w:r>
        <w:r>
          <w:rPr>
            <w:noProof/>
            <w:webHidden/>
          </w:rPr>
          <w:t>165</w:t>
        </w:r>
        <w:r>
          <w:rPr>
            <w:noProof/>
            <w:webHidden/>
          </w:rPr>
          <w:fldChar w:fldCharType="end"/>
        </w:r>
      </w:hyperlink>
    </w:p>
    <w:p w14:paraId="37FB98B9" w14:textId="0D26E12F" w:rsidR="00056FC5" w:rsidRDefault="00056FC5">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69625143" w:history="1">
        <w:r w:rsidRPr="007F3F71">
          <w:rPr>
            <w:rStyle w:val="Hyperlink"/>
            <w:noProof/>
          </w:rPr>
          <w:t>2.4.8.6 Porturi și activități portuare</w:t>
        </w:r>
        <w:r>
          <w:rPr>
            <w:noProof/>
            <w:webHidden/>
          </w:rPr>
          <w:tab/>
        </w:r>
        <w:r>
          <w:rPr>
            <w:noProof/>
            <w:webHidden/>
          </w:rPr>
          <w:fldChar w:fldCharType="begin"/>
        </w:r>
        <w:r>
          <w:rPr>
            <w:noProof/>
            <w:webHidden/>
          </w:rPr>
          <w:instrText xml:space="preserve"> PAGEREF _Toc169625143 \h </w:instrText>
        </w:r>
        <w:r>
          <w:rPr>
            <w:noProof/>
            <w:webHidden/>
          </w:rPr>
        </w:r>
        <w:r>
          <w:rPr>
            <w:noProof/>
            <w:webHidden/>
          </w:rPr>
          <w:fldChar w:fldCharType="separate"/>
        </w:r>
        <w:r>
          <w:rPr>
            <w:noProof/>
            <w:webHidden/>
          </w:rPr>
          <w:t>168</w:t>
        </w:r>
        <w:r>
          <w:rPr>
            <w:noProof/>
            <w:webHidden/>
          </w:rPr>
          <w:fldChar w:fldCharType="end"/>
        </w:r>
      </w:hyperlink>
    </w:p>
    <w:p w14:paraId="4A1ECF04" w14:textId="0379B211" w:rsidR="00056FC5" w:rsidRDefault="00056FC5">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69625144" w:history="1">
        <w:r w:rsidRPr="007F3F71">
          <w:rPr>
            <w:rStyle w:val="Hyperlink"/>
            <w:noProof/>
          </w:rPr>
          <w:t>2.4.8.7 Producerea de energie</w:t>
        </w:r>
        <w:r>
          <w:rPr>
            <w:noProof/>
            <w:webHidden/>
          </w:rPr>
          <w:tab/>
        </w:r>
        <w:r>
          <w:rPr>
            <w:noProof/>
            <w:webHidden/>
          </w:rPr>
          <w:fldChar w:fldCharType="begin"/>
        </w:r>
        <w:r>
          <w:rPr>
            <w:noProof/>
            <w:webHidden/>
          </w:rPr>
          <w:instrText xml:space="preserve"> PAGEREF _Toc169625144 \h </w:instrText>
        </w:r>
        <w:r>
          <w:rPr>
            <w:noProof/>
            <w:webHidden/>
          </w:rPr>
        </w:r>
        <w:r>
          <w:rPr>
            <w:noProof/>
            <w:webHidden/>
          </w:rPr>
          <w:fldChar w:fldCharType="separate"/>
        </w:r>
        <w:r>
          <w:rPr>
            <w:noProof/>
            <w:webHidden/>
          </w:rPr>
          <w:t>174</w:t>
        </w:r>
        <w:r>
          <w:rPr>
            <w:noProof/>
            <w:webHidden/>
          </w:rPr>
          <w:fldChar w:fldCharType="end"/>
        </w:r>
      </w:hyperlink>
    </w:p>
    <w:p w14:paraId="1AF8B62E" w14:textId="6BA42B86" w:rsidR="00056FC5" w:rsidRDefault="00056FC5">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69625145" w:history="1">
        <w:r w:rsidRPr="007F3F71">
          <w:rPr>
            <w:rStyle w:val="Hyperlink"/>
            <w:noProof/>
          </w:rPr>
          <w:t>2.4.8.8 Planificare spațială și Dezvoltare urbană</w:t>
        </w:r>
        <w:r>
          <w:rPr>
            <w:noProof/>
            <w:webHidden/>
          </w:rPr>
          <w:tab/>
        </w:r>
        <w:r>
          <w:rPr>
            <w:noProof/>
            <w:webHidden/>
          </w:rPr>
          <w:fldChar w:fldCharType="begin"/>
        </w:r>
        <w:r>
          <w:rPr>
            <w:noProof/>
            <w:webHidden/>
          </w:rPr>
          <w:instrText xml:space="preserve"> PAGEREF _Toc169625145 \h </w:instrText>
        </w:r>
        <w:r>
          <w:rPr>
            <w:noProof/>
            <w:webHidden/>
          </w:rPr>
        </w:r>
        <w:r>
          <w:rPr>
            <w:noProof/>
            <w:webHidden/>
          </w:rPr>
          <w:fldChar w:fldCharType="separate"/>
        </w:r>
        <w:r>
          <w:rPr>
            <w:noProof/>
            <w:webHidden/>
          </w:rPr>
          <w:t>174</w:t>
        </w:r>
        <w:r>
          <w:rPr>
            <w:noProof/>
            <w:webHidden/>
          </w:rPr>
          <w:fldChar w:fldCharType="end"/>
        </w:r>
      </w:hyperlink>
    </w:p>
    <w:p w14:paraId="5271C180" w14:textId="7C930288" w:rsidR="00056FC5" w:rsidRDefault="00056FC5">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69625146" w:history="1">
        <w:r w:rsidRPr="007F3F71">
          <w:rPr>
            <w:rStyle w:val="Hyperlink"/>
            <w:noProof/>
          </w:rPr>
          <w:t>2.4.8.9 Infrastructura de utilități</w:t>
        </w:r>
        <w:r>
          <w:rPr>
            <w:noProof/>
            <w:webHidden/>
          </w:rPr>
          <w:tab/>
        </w:r>
        <w:r>
          <w:rPr>
            <w:noProof/>
            <w:webHidden/>
          </w:rPr>
          <w:fldChar w:fldCharType="begin"/>
        </w:r>
        <w:r>
          <w:rPr>
            <w:noProof/>
            <w:webHidden/>
          </w:rPr>
          <w:instrText xml:space="preserve"> PAGEREF _Toc169625146 \h </w:instrText>
        </w:r>
        <w:r>
          <w:rPr>
            <w:noProof/>
            <w:webHidden/>
          </w:rPr>
        </w:r>
        <w:r>
          <w:rPr>
            <w:noProof/>
            <w:webHidden/>
          </w:rPr>
          <w:fldChar w:fldCharType="separate"/>
        </w:r>
        <w:r>
          <w:rPr>
            <w:noProof/>
            <w:webHidden/>
          </w:rPr>
          <w:t>188</w:t>
        </w:r>
        <w:r>
          <w:rPr>
            <w:noProof/>
            <w:webHidden/>
          </w:rPr>
          <w:fldChar w:fldCharType="end"/>
        </w:r>
      </w:hyperlink>
    </w:p>
    <w:p w14:paraId="71192D94" w14:textId="3F181EA4" w:rsidR="00056FC5" w:rsidRDefault="00056FC5">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69625147" w:history="1">
        <w:r w:rsidRPr="007F3F71">
          <w:rPr>
            <w:rStyle w:val="Hyperlink"/>
            <w:noProof/>
          </w:rPr>
          <w:t>2.4.8.10 Gestionarea deșeurilor</w:t>
        </w:r>
        <w:r>
          <w:rPr>
            <w:noProof/>
            <w:webHidden/>
          </w:rPr>
          <w:tab/>
        </w:r>
        <w:r>
          <w:rPr>
            <w:noProof/>
            <w:webHidden/>
          </w:rPr>
          <w:fldChar w:fldCharType="begin"/>
        </w:r>
        <w:r>
          <w:rPr>
            <w:noProof/>
            <w:webHidden/>
          </w:rPr>
          <w:instrText xml:space="preserve"> PAGEREF _Toc169625147 \h </w:instrText>
        </w:r>
        <w:r>
          <w:rPr>
            <w:noProof/>
            <w:webHidden/>
          </w:rPr>
        </w:r>
        <w:r>
          <w:rPr>
            <w:noProof/>
            <w:webHidden/>
          </w:rPr>
          <w:fldChar w:fldCharType="separate"/>
        </w:r>
        <w:r>
          <w:rPr>
            <w:noProof/>
            <w:webHidden/>
          </w:rPr>
          <w:t>192</w:t>
        </w:r>
        <w:r>
          <w:rPr>
            <w:noProof/>
            <w:webHidden/>
          </w:rPr>
          <w:fldChar w:fldCharType="end"/>
        </w:r>
      </w:hyperlink>
    </w:p>
    <w:p w14:paraId="6DF67E0D" w14:textId="19ED9FE2" w:rsidR="00056FC5" w:rsidRDefault="00056FC5">
      <w:pPr>
        <w:pStyle w:val="TOC4"/>
        <w:tabs>
          <w:tab w:val="right" w:leader="dot" w:pos="9016"/>
        </w:tabs>
        <w:rPr>
          <w:rFonts w:asciiTheme="minorHAnsi" w:eastAsiaTheme="minorEastAsia" w:hAnsiTheme="minorHAnsi" w:cstheme="minorBidi"/>
          <w:noProof/>
          <w:sz w:val="22"/>
          <w:szCs w:val="22"/>
          <w:lang w:val="en-US"/>
          <w14:ligatures w14:val="standardContextual"/>
        </w:rPr>
      </w:pPr>
      <w:hyperlink w:anchor="_Toc169625148" w:history="1">
        <w:r w:rsidRPr="007F3F71">
          <w:rPr>
            <w:rStyle w:val="Hyperlink"/>
            <w:noProof/>
          </w:rPr>
          <w:t>2.4.8.11 Dragare și construcții hidrotehnice</w:t>
        </w:r>
        <w:r>
          <w:rPr>
            <w:noProof/>
            <w:webHidden/>
          </w:rPr>
          <w:tab/>
        </w:r>
        <w:r>
          <w:rPr>
            <w:noProof/>
            <w:webHidden/>
          </w:rPr>
          <w:fldChar w:fldCharType="begin"/>
        </w:r>
        <w:r>
          <w:rPr>
            <w:noProof/>
            <w:webHidden/>
          </w:rPr>
          <w:instrText xml:space="preserve"> PAGEREF _Toc169625148 \h </w:instrText>
        </w:r>
        <w:r>
          <w:rPr>
            <w:noProof/>
            <w:webHidden/>
          </w:rPr>
        </w:r>
        <w:r>
          <w:rPr>
            <w:noProof/>
            <w:webHidden/>
          </w:rPr>
          <w:fldChar w:fldCharType="separate"/>
        </w:r>
        <w:r>
          <w:rPr>
            <w:noProof/>
            <w:webHidden/>
          </w:rPr>
          <w:t>193</w:t>
        </w:r>
        <w:r>
          <w:rPr>
            <w:noProof/>
            <w:webHidden/>
          </w:rPr>
          <w:fldChar w:fldCharType="end"/>
        </w:r>
      </w:hyperlink>
    </w:p>
    <w:p w14:paraId="244E9928" w14:textId="101F9508" w:rsidR="00056FC5" w:rsidRDefault="00056FC5">
      <w:pPr>
        <w:pStyle w:val="TOC2"/>
        <w:rPr>
          <w:rFonts w:asciiTheme="minorHAnsi" w:eastAsiaTheme="minorEastAsia" w:hAnsiTheme="minorHAnsi" w:cstheme="minorBidi"/>
          <w:noProof/>
          <w:sz w:val="22"/>
          <w:szCs w:val="22"/>
          <w:lang w:val="en-US"/>
          <w14:ligatures w14:val="standardContextual"/>
        </w:rPr>
      </w:pPr>
      <w:hyperlink w:anchor="_Toc169625149" w:history="1">
        <w:r w:rsidRPr="007F3F71">
          <w:rPr>
            <w:rStyle w:val="Hyperlink"/>
            <w:noProof/>
          </w:rPr>
          <w:t>2.5. Presiunile și impactul acestora asupra zonei costiere:</w:t>
        </w:r>
        <w:r>
          <w:rPr>
            <w:noProof/>
            <w:webHidden/>
          </w:rPr>
          <w:tab/>
        </w:r>
        <w:r>
          <w:rPr>
            <w:noProof/>
            <w:webHidden/>
          </w:rPr>
          <w:fldChar w:fldCharType="begin"/>
        </w:r>
        <w:r>
          <w:rPr>
            <w:noProof/>
            <w:webHidden/>
          </w:rPr>
          <w:instrText xml:space="preserve"> PAGEREF _Toc169625149 \h </w:instrText>
        </w:r>
        <w:r>
          <w:rPr>
            <w:noProof/>
            <w:webHidden/>
          </w:rPr>
        </w:r>
        <w:r>
          <w:rPr>
            <w:noProof/>
            <w:webHidden/>
          </w:rPr>
          <w:fldChar w:fldCharType="separate"/>
        </w:r>
        <w:r>
          <w:rPr>
            <w:noProof/>
            <w:webHidden/>
          </w:rPr>
          <w:t>194</w:t>
        </w:r>
        <w:r>
          <w:rPr>
            <w:noProof/>
            <w:webHidden/>
          </w:rPr>
          <w:fldChar w:fldCharType="end"/>
        </w:r>
      </w:hyperlink>
    </w:p>
    <w:p w14:paraId="765664AD" w14:textId="39042989" w:rsidR="00056FC5" w:rsidRDefault="00056FC5">
      <w:pPr>
        <w:pStyle w:val="TOC3"/>
        <w:rPr>
          <w:rFonts w:asciiTheme="minorHAnsi" w:eastAsiaTheme="minorEastAsia" w:hAnsiTheme="minorHAnsi" w:cstheme="minorBidi"/>
          <w:noProof/>
          <w:sz w:val="22"/>
          <w:szCs w:val="22"/>
          <w:lang w:val="en-US"/>
          <w14:ligatures w14:val="standardContextual"/>
        </w:rPr>
      </w:pPr>
      <w:hyperlink w:anchor="_Toc169625150" w:history="1">
        <w:r w:rsidRPr="007F3F71">
          <w:rPr>
            <w:rStyle w:val="Hyperlink"/>
            <w:noProof/>
          </w:rPr>
          <w:t>2.5.1 Hazarde naturale și impactul lor asupra componentelor de mediu și socio-economice</w:t>
        </w:r>
        <w:r>
          <w:rPr>
            <w:noProof/>
            <w:webHidden/>
          </w:rPr>
          <w:tab/>
        </w:r>
        <w:r>
          <w:rPr>
            <w:noProof/>
            <w:webHidden/>
          </w:rPr>
          <w:fldChar w:fldCharType="begin"/>
        </w:r>
        <w:r>
          <w:rPr>
            <w:noProof/>
            <w:webHidden/>
          </w:rPr>
          <w:instrText xml:space="preserve"> PAGEREF _Toc169625150 \h </w:instrText>
        </w:r>
        <w:r>
          <w:rPr>
            <w:noProof/>
            <w:webHidden/>
          </w:rPr>
        </w:r>
        <w:r>
          <w:rPr>
            <w:noProof/>
            <w:webHidden/>
          </w:rPr>
          <w:fldChar w:fldCharType="separate"/>
        </w:r>
        <w:r>
          <w:rPr>
            <w:noProof/>
            <w:webHidden/>
          </w:rPr>
          <w:t>194</w:t>
        </w:r>
        <w:r>
          <w:rPr>
            <w:noProof/>
            <w:webHidden/>
          </w:rPr>
          <w:fldChar w:fldCharType="end"/>
        </w:r>
      </w:hyperlink>
    </w:p>
    <w:p w14:paraId="6B61362F" w14:textId="050625FB" w:rsidR="00056FC5" w:rsidRDefault="00056FC5">
      <w:pPr>
        <w:pStyle w:val="TOC3"/>
        <w:rPr>
          <w:rFonts w:asciiTheme="minorHAnsi" w:eastAsiaTheme="minorEastAsia" w:hAnsiTheme="minorHAnsi" w:cstheme="minorBidi"/>
          <w:noProof/>
          <w:sz w:val="22"/>
          <w:szCs w:val="22"/>
          <w:lang w:val="en-US"/>
          <w14:ligatures w14:val="standardContextual"/>
        </w:rPr>
      </w:pPr>
      <w:hyperlink w:anchor="_Toc169625151" w:history="1">
        <w:r w:rsidRPr="007F3F71">
          <w:rPr>
            <w:rStyle w:val="Hyperlink"/>
            <w:noProof/>
          </w:rPr>
          <w:t>2.5.2 Presiuni antropice</w:t>
        </w:r>
        <w:r>
          <w:rPr>
            <w:noProof/>
            <w:webHidden/>
          </w:rPr>
          <w:tab/>
        </w:r>
        <w:r>
          <w:rPr>
            <w:noProof/>
            <w:webHidden/>
          </w:rPr>
          <w:fldChar w:fldCharType="begin"/>
        </w:r>
        <w:r>
          <w:rPr>
            <w:noProof/>
            <w:webHidden/>
          </w:rPr>
          <w:instrText xml:space="preserve"> PAGEREF _Toc169625151 \h </w:instrText>
        </w:r>
        <w:r>
          <w:rPr>
            <w:noProof/>
            <w:webHidden/>
          </w:rPr>
        </w:r>
        <w:r>
          <w:rPr>
            <w:noProof/>
            <w:webHidden/>
          </w:rPr>
          <w:fldChar w:fldCharType="separate"/>
        </w:r>
        <w:r>
          <w:rPr>
            <w:noProof/>
            <w:webHidden/>
          </w:rPr>
          <w:t>203</w:t>
        </w:r>
        <w:r>
          <w:rPr>
            <w:noProof/>
            <w:webHidden/>
          </w:rPr>
          <w:fldChar w:fldCharType="end"/>
        </w:r>
      </w:hyperlink>
    </w:p>
    <w:p w14:paraId="0B68944D" w14:textId="18DD7113" w:rsidR="00056FC5" w:rsidRDefault="00056FC5">
      <w:pPr>
        <w:pStyle w:val="TOC2"/>
        <w:rPr>
          <w:rFonts w:asciiTheme="minorHAnsi" w:eastAsiaTheme="minorEastAsia" w:hAnsiTheme="minorHAnsi" w:cstheme="minorBidi"/>
          <w:noProof/>
          <w:sz w:val="22"/>
          <w:szCs w:val="22"/>
          <w:lang w:val="en-US"/>
          <w14:ligatures w14:val="standardContextual"/>
        </w:rPr>
      </w:pPr>
      <w:hyperlink w:anchor="_Toc169625152" w:history="1">
        <w:r w:rsidRPr="007F3F71">
          <w:rPr>
            <w:rStyle w:val="Hyperlink"/>
            <w:noProof/>
          </w:rPr>
          <w:t>2.6. Scopul și obiectivele planului de management</w:t>
        </w:r>
        <w:r>
          <w:rPr>
            <w:noProof/>
            <w:webHidden/>
          </w:rPr>
          <w:tab/>
        </w:r>
        <w:r>
          <w:rPr>
            <w:noProof/>
            <w:webHidden/>
          </w:rPr>
          <w:fldChar w:fldCharType="begin"/>
        </w:r>
        <w:r>
          <w:rPr>
            <w:noProof/>
            <w:webHidden/>
          </w:rPr>
          <w:instrText xml:space="preserve"> PAGEREF _Toc169625152 \h </w:instrText>
        </w:r>
        <w:r>
          <w:rPr>
            <w:noProof/>
            <w:webHidden/>
          </w:rPr>
        </w:r>
        <w:r>
          <w:rPr>
            <w:noProof/>
            <w:webHidden/>
          </w:rPr>
          <w:fldChar w:fldCharType="separate"/>
        </w:r>
        <w:r>
          <w:rPr>
            <w:noProof/>
            <w:webHidden/>
          </w:rPr>
          <w:t>227</w:t>
        </w:r>
        <w:r>
          <w:rPr>
            <w:noProof/>
            <w:webHidden/>
          </w:rPr>
          <w:fldChar w:fldCharType="end"/>
        </w:r>
      </w:hyperlink>
    </w:p>
    <w:p w14:paraId="460DFEC0" w14:textId="20D22995" w:rsidR="00056FC5" w:rsidRDefault="00056FC5">
      <w:pPr>
        <w:pStyle w:val="TOC2"/>
        <w:rPr>
          <w:rFonts w:asciiTheme="minorHAnsi" w:eastAsiaTheme="minorEastAsia" w:hAnsiTheme="minorHAnsi" w:cstheme="minorBidi"/>
          <w:noProof/>
          <w:sz w:val="22"/>
          <w:szCs w:val="22"/>
          <w:lang w:val="en-US"/>
          <w14:ligatures w14:val="standardContextual"/>
        </w:rPr>
      </w:pPr>
      <w:hyperlink w:anchor="_Toc169625153" w:history="1">
        <w:r w:rsidRPr="007F3F71">
          <w:rPr>
            <w:rStyle w:val="Hyperlink"/>
            <w:noProof/>
          </w:rPr>
          <w:t>2.7. Programe de măsuri</w:t>
        </w:r>
        <w:r>
          <w:rPr>
            <w:noProof/>
            <w:webHidden/>
          </w:rPr>
          <w:tab/>
        </w:r>
        <w:r>
          <w:rPr>
            <w:noProof/>
            <w:webHidden/>
          </w:rPr>
          <w:fldChar w:fldCharType="begin"/>
        </w:r>
        <w:r>
          <w:rPr>
            <w:noProof/>
            <w:webHidden/>
          </w:rPr>
          <w:instrText xml:space="preserve"> PAGEREF _Toc169625153 \h </w:instrText>
        </w:r>
        <w:r>
          <w:rPr>
            <w:noProof/>
            <w:webHidden/>
          </w:rPr>
        </w:r>
        <w:r>
          <w:rPr>
            <w:noProof/>
            <w:webHidden/>
          </w:rPr>
          <w:fldChar w:fldCharType="separate"/>
        </w:r>
        <w:r>
          <w:rPr>
            <w:noProof/>
            <w:webHidden/>
          </w:rPr>
          <w:t>230</w:t>
        </w:r>
        <w:r>
          <w:rPr>
            <w:noProof/>
            <w:webHidden/>
          </w:rPr>
          <w:fldChar w:fldCharType="end"/>
        </w:r>
      </w:hyperlink>
    </w:p>
    <w:p w14:paraId="21F2EF1B" w14:textId="37E3259C" w:rsidR="00056FC5" w:rsidRDefault="00056FC5">
      <w:pPr>
        <w:pStyle w:val="TOC2"/>
        <w:rPr>
          <w:rFonts w:asciiTheme="minorHAnsi" w:eastAsiaTheme="minorEastAsia" w:hAnsiTheme="minorHAnsi" w:cstheme="minorBidi"/>
          <w:noProof/>
          <w:sz w:val="22"/>
          <w:szCs w:val="22"/>
          <w:lang w:val="en-US"/>
          <w14:ligatures w14:val="standardContextual"/>
        </w:rPr>
      </w:pPr>
      <w:hyperlink w:anchor="_Toc169625154" w:history="1">
        <w:r w:rsidRPr="007F3F71">
          <w:rPr>
            <w:rStyle w:val="Hyperlink"/>
            <w:noProof/>
          </w:rPr>
          <w:t>2.8. Plan de activități</w:t>
        </w:r>
        <w:r>
          <w:rPr>
            <w:noProof/>
            <w:webHidden/>
          </w:rPr>
          <w:tab/>
        </w:r>
        <w:r>
          <w:rPr>
            <w:noProof/>
            <w:webHidden/>
          </w:rPr>
          <w:fldChar w:fldCharType="begin"/>
        </w:r>
        <w:r>
          <w:rPr>
            <w:noProof/>
            <w:webHidden/>
          </w:rPr>
          <w:instrText xml:space="preserve"> PAGEREF _Toc169625154 \h </w:instrText>
        </w:r>
        <w:r>
          <w:rPr>
            <w:noProof/>
            <w:webHidden/>
          </w:rPr>
        </w:r>
        <w:r>
          <w:rPr>
            <w:noProof/>
            <w:webHidden/>
          </w:rPr>
          <w:fldChar w:fldCharType="separate"/>
        </w:r>
        <w:r>
          <w:rPr>
            <w:noProof/>
            <w:webHidden/>
          </w:rPr>
          <w:t>249</w:t>
        </w:r>
        <w:r>
          <w:rPr>
            <w:noProof/>
            <w:webHidden/>
          </w:rPr>
          <w:fldChar w:fldCharType="end"/>
        </w:r>
      </w:hyperlink>
    </w:p>
    <w:p w14:paraId="7FCBB319" w14:textId="49E1FCD7" w:rsidR="00056FC5" w:rsidRDefault="00056FC5">
      <w:pPr>
        <w:pStyle w:val="TOC2"/>
        <w:rPr>
          <w:rFonts w:asciiTheme="minorHAnsi" w:eastAsiaTheme="minorEastAsia" w:hAnsiTheme="minorHAnsi" w:cstheme="minorBidi"/>
          <w:noProof/>
          <w:sz w:val="22"/>
          <w:szCs w:val="22"/>
          <w:lang w:val="en-US"/>
          <w14:ligatures w14:val="standardContextual"/>
        </w:rPr>
      </w:pPr>
      <w:hyperlink w:anchor="_Toc169625155" w:history="1">
        <w:r w:rsidRPr="007F3F71">
          <w:rPr>
            <w:rStyle w:val="Hyperlink"/>
            <w:noProof/>
          </w:rPr>
          <w:t>2.9. Consolidarea/întărirea capacității instituționale</w:t>
        </w:r>
        <w:r>
          <w:rPr>
            <w:noProof/>
            <w:webHidden/>
          </w:rPr>
          <w:tab/>
        </w:r>
        <w:r>
          <w:rPr>
            <w:noProof/>
            <w:webHidden/>
          </w:rPr>
          <w:fldChar w:fldCharType="begin"/>
        </w:r>
        <w:r>
          <w:rPr>
            <w:noProof/>
            <w:webHidden/>
          </w:rPr>
          <w:instrText xml:space="preserve"> PAGEREF _Toc169625155 \h </w:instrText>
        </w:r>
        <w:r>
          <w:rPr>
            <w:noProof/>
            <w:webHidden/>
          </w:rPr>
        </w:r>
        <w:r>
          <w:rPr>
            <w:noProof/>
            <w:webHidden/>
          </w:rPr>
          <w:fldChar w:fldCharType="separate"/>
        </w:r>
        <w:r>
          <w:rPr>
            <w:noProof/>
            <w:webHidden/>
          </w:rPr>
          <w:t>284</w:t>
        </w:r>
        <w:r>
          <w:rPr>
            <w:noProof/>
            <w:webHidden/>
          </w:rPr>
          <w:fldChar w:fldCharType="end"/>
        </w:r>
      </w:hyperlink>
    </w:p>
    <w:p w14:paraId="44A2D38C" w14:textId="2E51688A" w:rsidR="00056FC5" w:rsidRDefault="00056FC5">
      <w:pPr>
        <w:pStyle w:val="TOC2"/>
        <w:rPr>
          <w:rFonts w:asciiTheme="minorHAnsi" w:eastAsiaTheme="minorEastAsia" w:hAnsiTheme="minorHAnsi" w:cstheme="minorBidi"/>
          <w:noProof/>
          <w:sz w:val="22"/>
          <w:szCs w:val="22"/>
          <w:lang w:val="en-US"/>
          <w14:ligatures w14:val="standardContextual"/>
        </w:rPr>
      </w:pPr>
      <w:hyperlink w:anchor="_Toc169625156" w:history="1">
        <w:r w:rsidRPr="007F3F71">
          <w:rPr>
            <w:rStyle w:val="Hyperlink"/>
            <w:noProof/>
          </w:rPr>
          <w:t>2.10. Consultarea și participarea publicului în contextul Planului de Management Integrat al zonei costiere</w:t>
        </w:r>
        <w:r>
          <w:rPr>
            <w:noProof/>
            <w:webHidden/>
          </w:rPr>
          <w:tab/>
        </w:r>
        <w:r>
          <w:rPr>
            <w:noProof/>
            <w:webHidden/>
          </w:rPr>
          <w:fldChar w:fldCharType="begin"/>
        </w:r>
        <w:r>
          <w:rPr>
            <w:noProof/>
            <w:webHidden/>
          </w:rPr>
          <w:instrText xml:space="preserve"> PAGEREF _Toc169625156 \h </w:instrText>
        </w:r>
        <w:r>
          <w:rPr>
            <w:noProof/>
            <w:webHidden/>
          </w:rPr>
        </w:r>
        <w:r>
          <w:rPr>
            <w:noProof/>
            <w:webHidden/>
          </w:rPr>
          <w:fldChar w:fldCharType="separate"/>
        </w:r>
        <w:r>
          <w:rPr>
            <w:noProof/>
            <w:webHidden/>
          </w:rPr>
          <w:t>289</w:t>
        </w:r>
        <w:r>
          <w:rPr>
            <w:noProof/>
            <w:webHidden/>
          </w:rPr>
          <w:fldChar w:fldCharType="end"/>
        </w:r>
      </w:hyperlink>
    </w:p>
    <w:p w14:paraId="359A794D" w14:textId="4A13577B" w:rsidR="00056FC5" w:rsidRDefault="00056FC5">
      <w:pPr>
        <w:pStyle w:val="TOC2"/>
        <w:rPr>
          <w:rFonts w:asciiTheme="minorHAnsi" w:eastAsiaTheme="minorEastAsia" w:hAnsiTheme="minorHAnsi" w:cstheme="minorBidi"/>
          <w:noProof/>
          <w:sz w:val="22"/>
          <w:szCs w:val="22"/>
          <w:lang w:val="en-US"/>
          <w14:ligatures w14:val="standardContextual"/>
        </w:rPr>
      </w:pPr>
      <w:hyperlink w:anchor="_Toc169625157" w:history="1">
        <w:r w:rsidRPr="007F3F71">
          <w:rPr>
            <w:rStyle w:val="Hyperlink"/>
            <w:noProof/>
          </w:rPr>
          <w:t>2.11. Plan de monitorizare al activităților</w:t>
        </w:r>
        <w:r>
          <w:rPr>
            <w:noProof/>
            <w:webHidden/>
          </w:rPr>
          <w:tab/>
        </w:r>
        <w:r>
          <w:rPr>
            <w:noProof/>
            <w:webHidden/>
          </w:rPr>
          <w:fldChar w:fldCharType="begin"/>
        </w:r>
        <w:r>
          <w:rPr>
            <w:noProof/>
            <w:webHidden/>
          </w:rPr>
          <w:instrText xml:space="preserve"> PAGEREF _Toc169625157 \h </w:instrText>
        </w:r>
        <w:r>
          <w:rPr>
            <w:noProof/>
            <w:webHidden/>
          </w:rPr>
        </w:r>
        <w:r>
          <w:rPr>
            <w:noProof/>
            <w:webHidden/>
          </w:rPr>
          <w:fldChar w:fldCharType="separate"/>
        </w:r>
        <w:r>
          <w:rPr>
            <w:noProof/>
            <w:webHidden/>
          </w:rPr>
          <w:t>296</w:t>
        </w:r>
        <w:r>
          <w:rPr>
            <w:noProof/>
            <w:webHidden/>
          </w:rPr>
          <w:fldChar w:fldCharType="end"/>
        </w:r>
      </w:hyperlink>
    </w:p>
    <w:p w14:paraId="022C57D7" w14:textId="5CDA6994" w:rsidR="00056FC5" w:rsidRDefault="00056FC5">
      <w:pPr>
        <w:pStyle w:val="TOC2"/>
        <w:rPr>
          <w:rFonts w:asciiTheme="minorHAnsi" w:eastAsiaTheme="minorEastAsia" w:hAnsiTheme="minorHAnsi" w:cstheme="minorBidi"/>
          <w:noProof/>
          <w:sz w:val="22"/>
          <w:szCs w:val="22"/>
          <w:lang w:val="en-US"/>
          <w14:ligatures w14:val="standardContextual"/>
        </w:rPr>
      </w:pPr>
      <w:hyperlink w:anchor="_Toc169625158" w:history="1">
        <w:r w:rsidRPr="007F3F71">
          <w:rPr>
            <w:rStyle w:val="Hyperlink"/>
            <w:noProof/>
          </w:rPr>
          <w:t>Bibliografie</w:t>
        </w:r>
        <w:r>
          <w:rPr>
            <w:noProof/>
            <w:webHidden/>
          </w:rPr>
          <w:tab/>
        </w:r>
        <w:r>
          <w:rPr>
            <w:noProof/>
            <w:webHidden/>
          </w:rPr>
          <w:fldChar w:fldCharType="begin"/>
        </w:r>
        <w:r>
          <w:rPr>
            <w:noProof/>
            <w:webHidden/>
          </w:rPr>
          <w:instrText xml:space="preserve"> PAGEREF _Toc169625158 \h </w:instrText>
        </w:r>
        <w:r>
          <w:rPr>
            <w:noProof/>
            <w:webHidden/>
          </w:rPr>
        </w:r>
        <w:r>
          <w:rPr>
            <w:noProof/>
            <w:webHidden/>
          </w:rPr>
          <w:fldChar w:fldCharType="separate"/>
        </w:r>
        <w:r>
          <w:rPr>
            <w:noProof/>
            <w:webHidden/>
          </w:rPr>
          <w:t>315</w:t>
        </w:r>
        <w:r>
          <w:rPr>
            <w:noProof/>
            <w:webHidden/>
          </w:rPr>
          <w:fldChar w:fldCharType="end"/>
        </w:r>
      </w:hyperlink>
    </w:p>
    <w:p w14:paraId="7A3296EA" w14:textId="312952EF" w:rsidR="00056FC5" w:rsidRDefault="00056FC5">
      <w:pPr>
        <w:pStyle w:val="TOC2"/>
        <w:rPr>
          <w:rFonts w:asciiTheme="minorHAnsi" w:eastAsiaTheme="minorEastAsia" w:hAnsiTheme="minorHAnsi" w:cstheme="minorBidi"/>
          <w:noProof/>
          <w:sz w:val="22"/>
          <w:szCs w:val="22"/>
          <w:lang w:val="en-US"/>
          <w14:ligatures w14:val="standardContextual"/>
        </w:rPr>
      </w:pPr>
      <w:hyperlink w:anchor="_Toc169625159" w:history="1">
        <w:r w:rsidRPr="007F3F71">
          <w:rPr>
            <w:rStyle w:val="Hyperlink"/>
            <w:noProof/>
          </w:rPr>
          <w:t>Anexa 1</w:t>
        </w:r>
        <w:r>
          <w:rPr>
            <w:noProof/>
            <w:webHidden/>
          </w:rPr>
          <w:tab/>
        </w:r>
        <w:r>
          <w:rPr>
            <w:noProof/>
            <w:webHidden/>
          </w:rPr>
          <w:fldChar w:fldCharType="begin"/>
        </w:r>
        <w:r>
          <w:rPr>
            <w:noProof/>
            <w:webHidden/>
          </w:rPr>
          <w:instrText xml:space="preserve"> PAGEREF _Toc169625159 \h </w:instrText>
        </w:r>
        <w:r>
          <w:rPr>
            <w:noProof/>
            <w:webHidden/>
          </w:rPr>
        </w:r>
        <w:r>
          <w:rPr>
            <w:noProof/>
            <w:webHidden/>
          </w:rPr>
          <w:fldChar w:fldCharType="separate"/>
        </w:r>
        <w:r>
          <w:rPr>
            <w:noProof/>
            <w:webHidden/>
          </w:rPr>
          <w:t>319</w:t>
        </w:r>
        <w:r>
          <w:rPr>
            <w:noProof/>
            <w:webHidden/>
          </w:rPr>
          <w:fldChar w:fldCharType="end"/>
        </w:r>
      </w:hyperlink>
    </w:p>
    <w:p w14:paraId="01D4779D" w14:textId="1C280204" w:rsidR="00056FC5" w:rsidRDefault="00056FC5">
      <w:pPr>
        <w:pStyle w:val="TOC2"/>
        <w:rPr>
          <w:rFonts w:asciiTheme="minorHAnsi" w:eastAsiaTheme="minorEastAsia" w:hAnsiTheme="minorHAnsi" w:cstheme="minorBidi"/>
          <w:noProof/>
          <w:sz w:val="22"/>
          <w:szCs w:val="22"/>
          <w:lang w:val="en-US"/>
          <w14:ligatures w14:val="standardContextual"/>
        </w:rPr>
      </w:pPr>
      <w:hyperlink w:anchor="_Toc169625160" w:history="1">
        <w:r w:rsidRPr="007F3F71">
          <w:rPr>
            <w:rStyle w:val="Hyperlink"/>
            <w:noProof/>
          </w:rPr>
          <w:t>Anexa 2</w:t>
        </w:r>
        <w:r>
          <w:rPr>
            <w:noProof/>
            <w:webHidden/>
          </w:rPr>
          <w:tab/>
        </w:r>
        <w:r>
          <w:rPr>
            <w:noProof/>
            <w:webHidden/>
          </w:rPr>
          <w:fldChar w:fldCharType="begin"/>
        </w:r>
        <w:r>
          <w:rPr>
            <w:noProof/>
            <w:webHidden/>
          </w:rPr>
          <w:instrText xml:space="preserve"> PAGEREF _Toc169625160 \h </w:instrText>
        </w:r>
        <w:r>
          <w:rPr>
            <w:noProof/>
            <w:webHidden/>
          </w:rPr>
        </w:r>
        <w:r>
          <w:rPr>
            <w:noProof/>
            <w:webHidden/>
          </w:rPr>
          <w:fldChar w:fldCharType="separate"/>
        </w:r>
        <w:r>
          <w:rPr>
            <w:noProof/>
            <w:webHidden/>
          </w:rPr>
          <w:t>340</w:t>
        </w:r>
        <w:r>
          <w:rPr>
            <w:noProof/>
            <w:webHidden/>
          </w:rPr>
          <w:fldChar w:fldCharType="end"/>
        </w:r>
      </w:hyperlink>
    </w:p>
    <w:p w14:paraId="4EFD7C1B" w14:textId="5CE3AF0E" w:rsidR="00056FC5" w:rsidRDefault="00056FC5">
      <w:pPr>
        <w:pStyle w:val="TOC2"/>
        <w:rPr>
          <w:rFonts w:asciiTheme="minorHAnsi" w:eastAsiaTheme="minorEastAsia" w:hAnsiTheme="minorHAnsi" w:cstheme="minorBidi"/>
          <w:noProof/>
          <w:sz w:val="22"/>
          <w:szCs w:val="22"/>
          <w:lang w:val="en-US"/>
          <w14:ligatures w14:val="standardContextual"/>
        </w:rPr>
      </w:pPr>
      <w:hyperlink w:anchor="_Toc169625161" w:history="1">
        <w:r w:rsidRPr="007F3F71">
          <w:rPr>
            <w:rStyle w:val="Hyperlink"/>
            <w:noProof/>
          </w:rPr>
          <w:t>Anexa 3</w:t>
        </w:r>
        <w:r>
          <w:rPr>
            <w:noProof/>
            <w:webHidden/>
          </w:rPr>
          <w:tab/>
        </w:r>
        <w:r>
          <w:rPr>
            <w:noProof/>
            <w:webHidden/>
          </w:rPr>
          <w:fldChar w:fldCharType="begin"/>
        </w:r>
        <w:r>
          <w:rPr>
            <w:noProof/>
            <w:webHidden/>
          </w:rPr>
          <w:instrText xml:space="preserve"> PAGEREF _Toc169625161 \h </w:instrText>
        </w:r>
        <w:r>
          <w:rPr>
            <w:noProof/>
            <w:webHidden/>
          </w:rPr>
        </w:r>
        <w:r>
          <w:rPr>
            <w:noProof/>
            <w:webHidden/>
          </w:rPr>
          <w:fldChar w:fldCharType="separate"/>
        </w:r>
        <w:r>
          <w:rPr>
            <w:noProof/>
            <w:webHidden/>
          </w:rPr>
          <w:t>358</w:t>
        </w:r>
        <w:r>
          <w:rPr>
            <w:noProof/>
            <w:webHidden/>
          </w:rPr>
          <w:fldChar w:fldCharType="end"/>
        </w:r>
      </w:hyperlink>
    </w:p>
    <w:p w14:paraId="6D8EE8E2" w14:textId="7ECD787C" w:rsidR="00056FC5" w:rsidRDefault="00056FC5">
      <w:pPr>
        <w:pStyle w:val="TOC2"/>
        <w:rPr>
          <w:rFonts w:asciiTheme="minorHAnsi" w:eastAsiaTheme="minorEastAsia" w:hAnsiTheme="minorHAnsi" w:cstheme="minorBidi"/>
          <w:noProof/>
          <w:sz w:val="22"/>
          <w:szCs w:val="22"/>
          <w:lang w:val="en-US"/>
          <w14:ligatures w14:val="standardContextual"/>
        </w:rPr>
      </w:pPr>
      <w:hyperlink w:anchor="_Toc169625162" w:history="1">
        <w:r w:rsidRPr="007F3F71">
          <w:rPr>
            <w:rStyle w:val="Hyperlink"/>
            <w:noProof/>
          </w:rPr>
          <w:t>Anexa 4</w:t>
        </w:r>
        <w:r>
          <w:rPr>
            <w:noProof/>
            <w:webHidden/>
          </w:rPr>
          <w:tab/>
        </w:r>
        <w:r>
          <w:rPr>
            <w:noProof/>
            <w:webHidden/>
          </w:rPr>
          <w:fldChar w:fldCharType="begin"/>
        </w:r>
        <w:r>
          <w:rPr>
            <w:noProof/>
            <w:webHidden/>
          </w:rPr>
          <w:instrText xml:space="preserve"> PAGEREF _Toc169625162 \h </w:instrText>
        </w:r>
        <w:r>
          <w:rPr>
            <w:noProof/>
            <w:webHidden/>
          </w:rPr>
        </w:r>
        <w:r>
          <w:rPr>
            <w:noProof/>
            <w:webHidden/>
          </w:rPr>
          <w:fldChar w:fldCharType="separate"/>
        </w:r>
        <w:r>
          <w:rPr>
            <w:noProof/>
            <w:webHidden/>
          </w:rPr>
          <w:t>364</w:t>
        </w:r>
        <w:r>
          <w:rPr>
            <w:noProof/>
            <w:webHidden/>
          </w:rPr>
          <w:fldChar w:fldCharType="end"/>
        </w:r>
      </w:hyperlink>
    </w:p>
    <w:p w14:paraId="1E89051D" w14:textId="5BE2F085" w:rsidR="00056FC5" w:rsidRDefault="00056FC5">
      <w:pPr>
        <w:pStyle w:val="TOC2"/>
        <w:rPr>
          <w:rFonts w:asciiTheme="minorHAnsi" w:eastAsiaTheme="minorEastAsia" w:hAnsiTheme="minorHAnsi" w:cstheme="minorBidi"/>
          <w:noProof/>
          <w:sz w:val="22"/>
          <w:szCs w:val="22"/>
          <w:lang w:val="en-US"/>
          <w14:ligatures w14:val="standardContextual"/>
        </w:rPr>
      </w:pPr>
      <w:hyperlink w:anchor="_Toc169625163" w:history="1">
        <w:r w:rsidRPr="007F3F71">
          <w:rPr>
            <w:rStyle w:val="Hyperlink"/>
            <w:noProof/>
          </w:rPr>
          <w:t>Anexa 5</w:t>
        </w:r>
        <w:r>
          <w:rPr>
            <w:noProof/>
            <w:webHidden/>
          </w:rPr>
          <w:tab/>
        </w:r>
        <w:r>
          <w:rPr>
            <w:noProof/>
            <w:webHidden/>
          </w:rPr>
          <w:fldChar w:fldCharType="begin"/>
        </w:r>
        <w:r>
          <w:rPr>
            <w:noProof/>
            <w:webHidden/>
          </w:rPr>
          <w:instrText xml:space="preserve"> PAGEREF _Toc169625163 \h </w:instrText>
        </w:r>
        <w:r>
          <w:rPr>
            <w:noProof/>
            <w:webHidden/>
          </w:rPr>
        </w:r>
        <w:r>
          <w:rPr>
            <w:noProof/>
            <w:webHidden/>
          </w:rPr>
          <w:fldChar w:fldCharType="separate"/>
        </w:r>
        <w:r>
          <w:rPr>
            <w:noProof/>
            <w:webHidden/>
          </w:rPr>
          <w:t>386</w:t>
        </w:r>
        <w:r>
          <w:rPr>
            <w:noProof/>
            <w:webHidden/>
          </w:rPr>
          <w:fldChar w:fldCharType="end"/>
        </w:r>
      </w:hyperlink>
    </w:p>
    <w:p w14:paraId="0995E94E" w14:textId="7FBD4DEB" w:rsidR="00056FC5" w:rsidRDefault="00056FC5">
      <w:pPr>
        <w:pStyle w:val="TOC2"/>
        <w:rPr>
          <w:rFonts w:asciiTheme="minorHAnsi" w:eastAsiaTheme="minorEastAsia" w:hAnsiTheme="minorHAnsi" w:cstheme="minorBidi"/>
          <w:noProof/>
          <w:sz w:val="22"/>
          <w:szCs w:val="22"/>
          <w:lang w:val="en-US"/>
          <w14:ligatures w14:val="standardContextual"/>
        </w:rPr>
      </w:pPr>
      <w:hyperlink w:anchor="_Toc169625164" w:history="1">
        <w:r w:rsidRPr="007F3F71">
          <w:rPr>
            <w:rStyle w:val="Hyperlink"/>
            <w:noProof/>
          </w:rPr>
          <w:t>Anexa 6</w:t>
        </w:r>
        <w:r>
          <w:rPr>
            <w:noProof/>
            <w:webHidden/>
          </w:rPr>
          <w:tab/>
        </w:r>
        <w:r>
          <w:rPr>
            <w:noProof/>
            <w:webHidden/>
          </w:rPr>
          <w:fldChar w:fldCharType="begin"/>
        </w:r>
        <w:r>
          <w:rPr>
            <w:noProof/>
            <w:webHidden/>
          </w:rPr>
          <w:instrText xml:space="preserve"> PAGEREF _Toc169625164 \h </w:instrText>
        </w:r>
        <w:r>
          <w:rPr>
            <w:noProof/>
            <w:webHidden/>
          </w:rPr>
        </w:r>
        <w:r>
          <w:rPr>
            <w:noProof/>
            <w:webHidden/>
          </w:rPr>
          <w:fldChar w:fldCharType="separate"/>
        </w:r>
        <w:r>
          <w:rPr>
            <w:noProof/>
            <w:webHidden/>
          </w:rPr>
          <w:t>387</w:t>
        </w:r>
        <w:r>
          <w:rPr>
            <w:noProof/>
            <w:webHidden/>
          </w:rPr>
          <w:fldChar w:fldCharType="end"/>
        </w:r>
      </w:hyperlink>
    </w:p>
    <w:p w14:paraId="5723F88D" w14:textId="366AE25E" w:rsidR="00056FC5" w:rsidRDefault="00056FC5">
      <w:pPr>
        <w:pStyle w:val="TOC2"/>
        <w:rPr>
          <w:rFonts w:asciiTheme="minorHAnsi" w:eastAsiaTheme="minorEastAsia" w:hAnsiTheme="minorHAnsi" w:cstheme="minorBidi"/>
          <w:noProof/>
          <w:sz w:val="22"/>
          <w:szCs w:val="22"/>
          <w:lang w:val="en-US"/>
          <w14:ligatures w14:val="standardContextual"/>
        </w:rPr>
      </w:pPr>
      <w:hyperlink w:anchor="_Toc169625165" w:history="1">
        <w:r w:rsidRPr="007F3F71">
          <w:rPr>
            <w:rStyle w:val="Hyperlink"/>
            <w:noProof/>
          </w:rPr>
          <w:t>Anexa 7</w:t>
        </w:r>
        <w:r>
          <w:rPr>
            <w:noProof/>
            <w:webHidden/>
          </w:rPr>
          <w:tab/>
        </w:r>
        <w:r>
          <w:rPr>
            <w:noProof/>
            <w:webHidden/>
          </w:rPr>
          <w:fldChar w:fldCharType="begin"/>
        </w:r>
        <w:r>
          <w:rPr>
            <w:noProof/>
            <w:webHidden/>
          </w:rPr>
          <w:instrText xml:space="preserve"> PAGEREF _Toc169625165 \h </w:instrText>
        </w:r>
        <w:r>
          <w:rPr>
            <w:noProof/>
            <w:webHidden/>
          </w:rPr>
        </w:r>
        <w:r>
          <w:rPr>
            <w:noProof/>
            <w:webHidden/>
          </w:rPr>
          <w:fldChar w:fldCharType="separate"/>
        </w:r>
        <w:r>
          <w:rPr>
            <w:noProof/>
            <w:webHidden/>
          </w:rPr>
          <w:t>388</w:t>
        </w:r>
        <w:r>
          <w:rPr>
            <w:noProof/>
            <w:webHidden/>
          </w:rPr>
          <w:fldChar w:fldCharType="end"/>
        </w:r>
      </w:hyperlink>
    </w:p>
    <w:p w14:paraId="1A03214D" w14:textId="5A9E2FDC" w:rsidR="00056FC5" w:rsidRDefault="00056FC5">
      <w:pPr>
        <w:pStyle w:val="TOC2"/>
        <w:rPr>
          <w:rFonts w:asciiTheme="minorHAnsi" w:eastAsiaTheme="minorEastAsia" w:hAnsiTheme="minorHAnsi" w:cstheme="minorBidi"/>
          <w:noProof/>
          <w:sz w:val="22"/>
          <w:szCs w:val="22"/>
          <w:lang w:val="en-US"/>
          <w14:ligatures w14:val="standardContextual"/>
        </w:rPr>
      </w:pPr>
      <w:hyperlink w:anchor="_Toc169625166" w:history="1">
        <w:r w:rsidRPr="007F3F71">
          <w:rPr>
            <w:rStyle w:val="Hyperlink"/>
            <w:noProof/>
          </w:rPr>
          <w:t>Anexa 8</w:t>
        </w:r>
        <w:r>
          <w:rPr>
            <w:noProof/>
            <w:webHidden/>
          </w:rPr>
          <w:tab/>
        </w:r>
        <w:r>
          <w:rPr>
            <w:noProof/>
            <w:webHidden/>
          </w:rPr>
          <w:fldChar w:fldCharType="begin"/>
        </w:r>
        <w:r>
          <w:rPr>
            <w:noProof/>
            <w:webHidden/>
          </w:rPr>
          <w:instrText xml:space="preserve"> PAGEREF _Toc169625166 \h </w:instrText>
        </w:r>
        <w:r>
          <w:rPr>
            <w:noProof/>
            <w:webHidden/>
          </w:rPr>
        </w:r>
        <w:r>
          <w:rPr>
            <w:noProof/>
            <w:webHidden/>
          </w:rPr>
          <w:fldChar w:fldCharType="separate"/>
        </w:r>
        <w:r>
          <w:rPr>
            <w:noProof/>
            <w:webHidden/>
          </w:rPr>
          <w:t>389</w:t>
        </w:r>
        <w:r>
          <w:rPr>
            <w:noProof/>
            <w:webHidden/>
          </w:rPr>
          <w:fldChar w:fldCharType="end"/>
        </w:r>
      </w:hyperlink>
    </w:p>
    <w:p w14:paraId="74FD974E" w14:textId="052145EB" w:rsidR="00D924A7" w:rsidRDefault="00D924A7" w:rsidP="00BC11DC">
      <w:pPr>
        <w:pStyle w:val="Heading2"/>
        <w:ind w:firstLine="567"/>
      </w:pPr>
      <w:r>
        <w:fldChar w:fldCharType="end"/>
      </w:r>
    </w:p>
    <w:p w14:paraId="3FA28B50" w14:textId="77777777" w:rsidR="00D924A7" w:rsidRDefault="00D924A7" w:rsidP="00BC11DC">
      <w:pPr>
        <w:pStyle w:val="Heading2"/>
        <w:ind w:firstLine="567"/>
      </w:pPr>
    </w:p>
    <w:p w14:paraId="59C75F31" w14:textId="77777777" w:rsidR="00D924A7" w:rsidRDefault="00D924A7" w:rsidP="00BC11DC">
      <w:pPr>
        <w:pStyle w:val="Heading2"/>
        <w:ind w:firstLine="567"/>
      </w:pPr>
    </w:p>
    <w:p w14:paraId="509BC08D" w14:textId="77777777" w:rsidR="00D924A7" w:rsidRDefault="00D924A7" w:rsidP="00BC11DC">
      <w:pPr>
        <w:pStyle w:val="Heading2"/>
        <w:ind w:firstLine="567"/>
      </w:pPr>
    </w:p>
    <w:p w14:paraId="7F9D44B3" w14:textId="77777777" w:rsidR="00D924A7" w:rsidRDefault="00D924A7" w:rsidP="00935E16">
      <w:pPr>
        <w:pStyle w:val="Heading2"/>
        <w:ind w:firstLine="0"/>
      </w:pPr>
    </w:p>
    <w:p w14:paraId="5ECA9EC1" w14:textId="77777777" w:rsidR="00935E16" w:rsidRDefault="00935E16" w:rsidP="00935E16">
      <w:pPr>
        <w:rPr>
          <w:lang w:val="ro-RO" w:eastAsia="en-GB"/>
        </w:rPr>
      </w:pPr>
    </w:p>
    <w:p w14:paraId="1E394308" w14:textId="77777777" w:rsidR="00935E16" w:rsidRDefault="00935E16" w:rsidP="00935E16">
      <w:pPr>
        <w:rPr>
          <w:lang w:val="ro-RO" w:eastAsia="en-GB"/>
        </w:rPr>
      </w:pPr>
    </w:p>
    <w:p w14:paraId="15CD597C" w14:textId="77777777" w:rsidR="00935E16" w:rsidRDefault="00935E16" w:rsidP="00935E16">
      <w:pPr>
        <w:rPr>
          <w:lang w:val="ro-RO" w:eastAsia="en-GB"/>
        </w:rPr>
      </w:pPr>
    </w:p>
    <w:p w14:paraId="01EE99C8" w14:textId="77777777" w:rsidR="00935E16" w:rsidRDefault="00935E16" w:rsidP="00935E16">
      <w:pPr>
        <w:rPr>
          <w:lang w:val="ro-RO" w:eastAsia="en-GB"/>
        </w:rPr>
      </w:pPr>
    </w:p>
    <w:p w14:paraId="398E35D2" w14:textId="77777777" w:rsidR="00935E16" w:rsidRDefault="00935E16" w:rsidP="00935E16">
      <w:pPr>
        <w:rPr>
          <w:lang w:val="ro-RO" w:eastAsia="en-GB"/>
        </w:rPr>
      </w:pPr>
    </w:p>
    <w:p w14:paraId="1FB37A8E" w14:textId="77777777" w:rsidR="00935E16" w:rsidRDefault="00935E16" w:rsidP="00935E16">
      <w:pPr>
        <w:rPr>
          <w:lang w:val="ro-RO" w:eastAsia="en-GB"/>
        </w:rPr>
      </w:pPr>
    </w:p>
    <w:p w14:paraId="147E1D2D" w14:textId="77777777" w:rsidR="00935E16" w:rsidRPr="00935E16" w:rsidRDefault="00935E16" w:rsidP="00935E16">
      <w:pPr>
        <w:ind w:firstLine="0"/>
        <w:rPr>
          <w:lang w:val="ro-RO" w:eastAsia="en-GB"/>
        </w:rPr>
      </w:pPr>
    </w:p>
    <w:p w14:paraId="7ED22EA0" w14:textId="725994FD" w:rsidR="008C6A37" w:rsidRPr="008C6A37" w:rsidRDefault="008C6A37" w:rsidP="00BC11DC">
      <w:pPr>
        <w:pStyle w:val="Heading2"/>
        <w:ind w:firstLine="567"/>
      </w:pPr>
      <w:bookmarkStart w:id="1" w:name="_Toc169625090"/>
      <w:r w:rsidRPr="008C6A37">
        <w:lastRenderedPageBreak/>
        <w:t>Listă de abrevieri</w:t>
      </w:r>
      <w:bookmarkEnd w:id="0"/>
      <w:bookmarkEnd w:id="1"/>
    </w:p>
    <w:p w14:paraId="60539BCC" w14:textId="77777777" w:rsidR="008C6A37" w:rsidRPr="008C6A37" w:rsidRDefault="008C6A37" w:rsidP="00BC11DC">
      <w:pPr>
        <w:ind w:firstLine="567"/>
        <w:rPr>
          <w:lang w:val="ro-RO"/>
        </w:rPr>
      </w:pPr>
    </w:p>
    <w:p w14:paraId="028CBBB4" w14:textId="77777777" w:rsidR="00074D16" w:rsidRPr="00074D16" w:rsidRDefault="00074D16" w:rsidP="00074D16">
      <w:pPr>
        <w:rPr>
          <w:rFonts w:eastAsia="Times New Roman" w:cs="Times New Roman"/>
          <w:lang w:val="ro-RO"/>
        </w:rPr>
      </w:pPr>
      <w:r w:rsidRPr="00074D16">
        <w:rPr>
          <w:rFonts w:eastAsia="Times New Roman" w:cs="Times New Roman"/>
        </w:rPr>
        <w:t xml:space="preserve">ABADL – </w:t>
      </w:r>
      <w:r w:rsidRPr="00074D16">
        <w:rPr>
          <w:rFonts w:eastAsia="Times New Roman" w:cs="Times New Roman"/>
          <w:lang w:val="ro-RO"/>
        </w:rPr>
        <w:t>Administrația Bazinală de Apă Dobrogea Litoral</w:t>
      </w:r>
    </w:p>
    <w:p w14:paraId="7ABD52EF" w14:textId="77777777" w:rsidR="00AF5CFF" w:rsidRPr="00074D16" w:rsidRDefault="00AF5CFF" w:rsidP="00AF5CFF">
      <w:pPr>
        <w:rPr>
          <w:rFonts w:eastAsia="Times New Roman" w:cs="Times New Roman"/>
          <w:lang w:val="ro-RO"/>
        </w:rPr>
      </w:pPr>
      <w:r w:rsidRPr="00074D16">
        <w:rPr>
          <w:rFonts w:eastAsia="Times New Roman" w:cs="Times New Roman"/>
          <w:lang w:val="ro-RO"/>
        </w:rPr>
        <w:t>AFDJ - Administrația Fluvială a Dunării de Jos</w:t>
      </w:r>
    </w:p>
    <w:p w14:paraId="6C098CA7" w14:textId="77777777" w:rsidR="00074D16" w:rsidRPr="00074D16" w:rsidRDefault="00074D16" w:rsidP="00074D16">
      <w:pPr>
        <w:rPr>
          <w:rFonts w:eastAsia="Times New Roman" w:cs="Times New Roman"/>
          <w:lang w:val="ro-RO"/>
        </w:rPr>
      </w:pPr>
      <w:r w:rsidRPr="00074D16">
        <w:rPr>
          <w:rFonts w:eastAsia="Times New Roman" w:cs="Times New Roman"/>
          <w:lang w:val="ro-RO"/>
        </w:rPr>
        <w:t xml:space="preserve">AGRIP -Programul pentru Promovarea Produselor Agricole </w:t>
      </w:r>
    </w:p>
    <w:p w14:paraId="703EF360" w14:textId="77777777" w:rsidR="00074D16" w:rsidRPr="00074D16" w:rsidRDefault="00074D16" w:rsidP="00074D16">
      <w:pPr>
        <w:rPr>
          <w:rFonts w:eastAsia="Times New Roman" w:cs="Times New Roman"/>
          <w:lang w:val="ro-RO"/>
        </w:rPr>
      </w:pPr>
      <w:r w:rsidRPr="00074D16">
        <w:rPr>
          <w:rFonts w:eastAsia="Times New Roman" w:cs="Times New Roman"/>
          <w:lang w:val="ro-RO"/>
        </w:rPr>
        <w:t>AFM - Administrația Fondului pentru Mediu</w:t>
      </w:r>
    </w:p>
    <w:p w14:paraId="3A0B9612" w14:textId="77777777" w:rsidR="00074D16" w:rsidRDefault="00074D16" w:rsidP="00074D16">
      <w:pPr>
        <w:rPr>
          <w:rFonts w:eastAsia="Times New Roman" w:cs="Times New Roman"/>
          <w:lang w:val="ro-RO"/>
        </w:rPr>
      </w:pPr>
      <w:r w:rsidRPr="00074D16">
        <w:rPr>
          <w:rFonts w:eastAsia="Times New Roman" w:cs="Times New Roman"/>
          <w:lang w:val="ro-RO"/>
        </w:rPr>
        <w:t>AJPM – Agenție Județeană de Protecție a Mediului</w:t>
      </w:r>
    </w:p>
    <w:p w14:paraId="09BD92CC" w14:textId="0812BE38" w:rsidR="00AF5CFF" w:rsidRPr="00074D16" w:rsidRDefault="00AF5CFF" w:rsidP="00074D16">
      <w:pPr>
        <w:rPr>
          <w:rFonts w:eastAsia="Times New Roman" w:cs="Times New Roman"/>
          <w:lang w:val="ro-RO"/>
        </w:rPr>
      </w:pPr>
      <w:r>
        <w:rPr>
          <w:rFonts w:eastAsia="Times New Roman" w:cs="Times New Roman"/>
          <w:lang w:val="ro-RO"/>
        </w:rPr>
        <w:t>alin. - alineat</w:t>
      </w:r>
    </w:p>
    <w:p w14:paraId="69891577" w14:textId="77777777" w:rsidR="00074D16" w:rsidRPr="00074D16" w:rsidRDefault="00074D16" w:rsidP="00074D16">
      <w:pPr>
        <w:rPr>
          <w:rFonts w:eastAsia="Times New Roman" w:cs="Times New Roman"/>
          <w:lang w:val="ro-RO"/>
        </w:rPr>
      </w:pPr>
      <w:r w:rsidRPr="00074D16">
        <w:rPr>
          <w:rFonts w:eastAsia="Times New Roman" w:cs="Times New Roman"/>
          <w:lang w:val="ro-RO"/>
        </w:rPr>
        <w:t>ANANP - Agenția Națională pentru Arii Naturale Protejate</w:t>
      </w:r>
    </w:p>
    <w:p w14:paraId="4B0969C5" w14:textId="77777777" w:rsidR="00074D16" w:rsidRPr="00074D16" w:rsidRDefault="00074D16" w:rsidP="00074D16">
      <w:pPr>
        <w:rPr>
          <w:rFonts w:eastAsia="Times New Roman" w:cs="Times New Roman"/>
          <w:lang w:val="ro-RO"/>
        </w:rPr>
      </w:pPr>
      <w:r w:rsidRPr="00074D16">
        <w:rPr>
          <w:rFonts w:eastAsia="Times New Roman" w:cs="Times New Roman"/>
          <w:lang w:val="ro-RO"/>
        </w:rPr>
        <w:t>ANAR – Administrația Națională „Apele Române”</w:t>
      </w:r>
    </w:p>
    <w:p w14:paraId="432B87DA" w14:textId="77777777" w:rsidR="00074D16" w:rsidRPr="00074D16" w:rsidRDefault="00074D16" w:rsidP="00074D16">
      <w:pPr>
        <w:rPr>
          <w:rFonts w:eastAsia="Times New Roman" w:cs="Times New Roman"/>
          <w:lang w:val="ro-RO"/>
        </w:rPr>
      </w:pPr>
      <w:r w:rsidRPr="00074D16">
        <w:rPr>
          <w:rFonts w:eastAsia="Times New Roman" w:cs="Times New Roman"/>
          <w:lang w:val="ro-RO"/>
        </w:rPr>
        <w:t>ANCPI – Agenția Națională de Cadastru și Publicitate Imobiliară</w:t>
      </w:r>
    </w:p>
    <w:p w14:paraId="78079580" w14:textId="77777777" w:rsidR="00074D16" w:rsidRPr="00074D16" w:rsidRDefault="00074D16" w:rsidP="00074D16">
      <w:pPr>
        <w:rPr>
          <w:rFonts w:eastAsia="Times New Roman" w:cs="Times New Roman"/>
          <w:lang w:val="ro-RO"/>
        </w:rPr>
      </w:pPr>
      <w:r w:rsidRPr="00074D16">
        <w:rPr>
          <w:rFonts w:eastAsia="Times New Roman" w:cs="Times New Roman"/>
          <w:lang w:val="ro-RO"/>
        </w:rPr>
        <w:t>ANM -</w:t>
      </w:r>
      <w:r w:rsidRPr="00074D16">
        <w:rPr>
          <w:lang w:val="ro-RO"/>
        </w:rPr>
        <w:t xml:space="preserve"> </w:t>
      </w:r>
      <w:r w:rsidRPr="00074D16">
        <w:rPr>
          <w:rFonts w:eastAsia="Times New Roman" w:cs="Times New Roman"/>
          <w:lang w:val="ro-RO"/>
        </w:rPr>
        <w:t xml:space="preserve">Administrația Națională de Meteorologie </w:t>
      </w:r>
    </w:p>
    <w:p w14:paraId="55FF5180" w14:textId="77777777" w:rsidR="00074D16" w:rsidRDefault="00074D16" w:rsidP="00074D16">
      <w:pPr>
        <w:rPr>
          <w:rFonts w:eastAsia="Times New Roman" w:cs="Times New Roman"/>
          <w:lang w:val="ro-RO"/>
        </w:rPr>
      </w:pPr>
      <w:r w:rsidRPr="00074D16">
        <w:rPr>
          <w:rFonts w:eastAsia="Times New Roman" w:cs="Times New Roman"/>
          <w:lang w:val="ro-RO"/>
        </w:rPr>
        <w:t>ANPA – Agenția Națională de Pescuit și Acvacultură</w:t>
      </w:r>
    </w:p>
    <w:p w14:paraId="521827C9" w14:textId="59A1D5E7" w:rsidR="00AF5CFF" w:rsidRPr="00074D16" w:rsidRDefault="00AF5CFF" w:rsidP="00074D16">
      <w:pPr>
        <w:rPr>
          <w:rFonts w:eastAsia="Times New Roman" w:cs="Times New Roman"/>
          <w:lang w:val="ro-RO"/>
        </w:rPr>
      </w:pPr>
      <w:r>
        <w:rPr>
          <w:rFonts w:eastAsia="Times New Roman" w:cs="Times New Roman"/>
          <w:lang w:val="ro-RO"/>
        </w:rPr>
        <w:t>ANPM – Agenția Națională de Protecție a Mediului</w:t>
      </w:r>
    </w:p>
    <w:p w14:paraId="3EE67B09" w14:textId="77777777" w:rsidR="00074D16" w:rsidRPr="00074D16" w:rsidRDefault="00074D16" w:rsidP="00074D16">
      <w:pPr>
        <w:rPr>
          <w:rFonts w:eastAsia="Times New Roman" w:cs="Times New Roman"/>
          <w:lang w:val="ro-RO"/>
        </w:rPr>
      </w:pPr>
      <w:r w:rsidRPr="00074D16">
        <w:rPr>
          <w:rFonts w:eastAsia="Times New Roman" w:cs="Times New Roman"/>
          <w:lang w:val="ro-RO"/>
        </w:rPr>
        <w:t>ANR – Autoritatea Navală Română</w:t>
      </w:r>
    </w:p>
    <w:p w14:paraId="2B0AD273" w14:textId="77777777" w:rsidR="00074D16" w:rsidRDefault="00074D16" w:rsidP="00074D16">
      <w:pPr>
        <w:rPr>
          <w:rFonts w:eastAsia="Times New Roman" w:cs="Times New Roman"/>
          <w:lang w:val="ro-RO"/>
        </w:rPr>
      </w:pPr>
      <w:r w:rsidRPr="00074D16">
        <w:rPr>
          <w:rFonts w:eastAsia="Times New Roman" w:cs="Times New Roman"/>
          <w:lang w:val="ro-RO"/>
        </w:rPr>
        <w:t>ANRM - Agenția Națională pentru Resurse Minerale</w:t>
      </w:r>
    </w:p>
    <w:p w14:paraId="4FFE12A2" w14:textId="1B67C003" w:rsidR="00AF5CFF" w:rsidRPr="00074D16" w:rsidRDefault="00AF5CFF" w:rsidP="00074D16">
      <w:pPr>
        <w:rPr>
          <w:rFonts w:eastAsia="Times New Roman" w:cs="Times New Roman"/>
          <w:lang w:val="ro-RO"/>
        </w:rPr>
      </w:pPr>
      <w:r w:rsidRPr="00AF5CFF">
        <w:rPr>
          <w:rFonts w:eastAsia="Times New Roman" w:cs="Times New Roman"/>
          <w:lang w:val="ro-RO"/>
        </w:rPr>
        <w:t>ANSVSA - Autoritatea Nationala Sanitara Veterinara si pentru Siguranța Alimentelor</w:t>
      </w:r>
    </w:p>
    <w:p w14:paraId="593858DF" w14:textId="77777777" w:rsidR="00074D16" w:rsidRDefault="00074D16" w:rsidP="00074D16">
      <w:pPr>
        <w:rPr>
          <w:rFonts w:eastAsia="Times New Roman" w:cs="Times New Roman"/>
          <w:lang w:val="ro-RO"/>
        </w:rPr>
      </w:pPr>
      <w:r w:rsidRPr="00074D16">
        <w:rPr>
          <w:rFonts w:eastAsia="Times New Roman" w:cs="Times New Roman"/>
          <w:lang w:val="ro-RO"/>
        </w:rPr>
        <w:t>ARBDD – Administrația Rezervației Biosferei Delta Dunării</w:t>
      </w:r>
    </w:p>
    <w:p w14:paraId="763DF361" w14:textId="74722AB4" w:rsidR="00AF5CFF" w:rsidRDefault="00AF5CFF" w:rsidP="00074D16">
      <w:pPr>
        <w:rPr>
          <w:rFonts w:eastAsia="Times New Roman" w:cs="Times New Roman"/>
          <w:lang w:val="ro-RO"/>
        </w:rPr>
      </w:pPr>
      <w:r>
        <w:rPr>
          <w:rFonts w:eastAsia="Times New Roman" w:cs="Times New Roman"/>
          <w:lang w:val="ro-RO"/>
        </w:rPr>
        <w:t>art. – articol</w:t>
      </w:r>
    </w:p>
    <w:p w14:paraId="6605C791" w14:textId="7AE01E22" w:rsidR="00AF5CFF" w:rsidRPr="00074D16" w:rsidRDefault="00AF5CFF" w:rsidP="00074D16">
      <w:pPr>
        <w:rPr>
          <w:rFonts w:eastAsia="Times New Roman" w:cs="Times New Roman"/>
          <w:lang w:val="ro-RO"/>
        </w:rPr>
      </w:pPr>
      <w:r>
        <w:rPr>
          <w:rFonts w:eastAsia="Times New Roman" w:cs="Times New Roman"/>
          <w:lang w:val="ro-RO"/>
        </w:rPr>
        <w:t>As- Arsen</w:t>
      </w:r>
    </w:p>
    <w:p w14:paraId="61B64DB5" w14:textId="77777777" w:rsidR="00074D16" w:rsidRDefault="00074D16" w:rsidP="00074D16">
      <w:pPr>
        <w:rPr>
          <w:rFonts w:eastAsia="Times New Roman" w:cs="Times New Roman"/>
          <w:lang w:val="ro-RO"/>
        </w:rPr>
      </w:pPr>
      <w:r w:rsidRPr="00074D16">
        <w:rPr>
          <w:rFonts w:eastAsia="Times New Roman" w:cs="Times New Roman"/>
          <w:lang w:val="ro-RO"/>
        </w:rPr>
        <w:t>AZA - zonă alocată pentru acvacultură</w:t>
      </w:r>
    </w:p>
    <w:p w14:paraId="6EF5A6D9" w14:textId="116C8164" w:rsidR="00AF5CFF" w:rsidRPr="00AF5CFF" w:rsidRDefault="00AF5CFF" w:rsidP="00AF5CFF">
      <w:pPr>
        <w:pBdr>
          <w:top w:val="nil"/>
          <w:left w:val="nil"/>
          <w:bottom w:val="nil"/>
          <w:right w:val="nil"/>
          <w:between w:val="nil"/>
        </w:pBdr>
        <w:rPr>
          <w:rFonts w:eastAsia="Times New Roman" w:cs="Times New Roman"/>
        </w:rPr>
      </w:pPr>
      <w:r>
        <w:rPr>
          <w:rFonts w:eastAsia="Times New Roman" w:cs="Times New Roman"/>
        </w:rPr>
        <w:t>BSC – Black Sea Commission (Comisia Mării Negre)</w:t>
      </w:r>
    </w:p>
    <w:p w14:paraId="29D00BC5" w14:textId="77777777" w:rsidR="00074D16" w:rsidRPr="00074D16" w:rsidRDefault="00074D16" w:rsidP="00074D16">
      <w:pPr>
        <w:ind w:left="1701" w:hanging="1162"/>
        <w:rPr>
          <w:rFonts w:eastAsia="Times New Roman" w:cs="Times New Roman"/>
          <w:lang w:val="ro-RO"/>
        </w:rPr>
      </w:pPr>
      <w:r w:rsidRPr="00074D16">
        <w:rPr>
          <w:rFonts w:eastAsia="Times New Roman" w:cs="Times New Roman"/>
          <w:lang w:val="ro-RO"/>
        </w:rPr>
        <w:t>BS SAP – Black Sea Strategic Action Plan (Planul strategic de acțiune la Marea  Neagră)</w:t>
      </w:r>
    </w:p>
    <w:p w14:paraId="2D605770" w14:textId="77777777" w:rsidR="00074D16" w:rsidRPr="00074D16" w:rsidRDefault="00074D16" w:rsidP="00074D16">
      <w:pPr>
        <w:rPr>
          <w:rFonts w:eastAsia="Times New Roman" w:cs="Times New Roman"/>
          <w:lang w:val="ro-RO"/>
        </w:rPr>
      </w:pPr>
      <w:r w:rsidRPr="00074D16">
        <w:rPr>
          <w:rFonts w:eastAsia="Times New Roman" w:cs="Times New Roman"/>
          <w:lang w:val="ro-RO"/>
        </w:rPr>
        <w:t>°C – grade Celsius</w:t>
      </w:r>
    </w:p>
    <w:p w14:paraId="6407397B" w14:textId="77777777" w:rsidR="00074D16" w:rsidRDefault="00074D16" w:rsidP="00074D16">
      <w:pPr>
        <w:rPr>
          <w:rFonts w:eastAsia="Times New Roman" w:cs="Times New Roman"/>
          <w:lang w:val="ro-RO"/>
        </w:rPr>
      </w:pPr>
      <w:r w:rsidRPr="00074D16">
        <w:rPr>
          <w:rFonts w:eastAsia="Times New Roman" w:cs="Times New Roman"/>
          <w:lang w:val="ro-RO"/>
        </w:rPr>
        <w:t>CATUC - Cod al Amenajării Teritoriului, Urbanismului și Construcțiilor</w:t>
      </w:r>
    </w:p>
    <w:p w14:paraId="04C2C81F" w14:textId="45D267B2" w:rsidR="00AF5CFF" w:rsidRPr="00AF5CFF" w:rsidRDefault="00AF5CFF" w:rsidP="00AF5CFF">
      <w:pPr>
        <w:pBdr>
          <w:top w:val="nil"/>
          <w:left w:val="nil"/>
          <w:bottom w:val="nil"/>
          <w:right w:val="nil"/>
          <w:between w:val="nil"/>
        </w:pBdr>
        <w:rPr>
          <w:rFonts w:eastAsia="Times New Roman" w:cs="Times New Roman"/>
        </w:rPr>
      </w:pPr>
      <w:r>
        <w:rPr>
          <w:rFonts w:eastAsia="Times New Roman" w:cs="Times New Roman"/>
        </w:rPr>
        <w:t>Cd - Cadmiu</w:t>
      </w:r>
    </w:p>
    <w:p w14:paraId="0434FCB4" w14:textId="77777777" w:rsidR="00074D16" w:rsidRPr="00074D16" w:rsidRDefault="00074D16" w:rsidP="00074D16">
      <w:pPr>
        <w:rPr>
          <w:rFonts w:eastAsia="Times New Roman" w:cs="Times New Roman"/>
          <w:lang w:val="ro-RO"/>
        </w:rPr>
      </w:pPr>
      <w:r w:rsidRPr="00074D16">
        <w:rPr>
          <w:rFonts w:eastAsia="Times New Roman" w:cs="Times New Roman"/>
          <w:lang w:val="ro-RO"/>
        </w:rPr>
        <w:t>CDI – Cercetare, Dezvoltare și Inovare</w:t>
      </w:r>
    </w:p>
    <w:p w14:paraId="7FCF30C5" w14:textId="77777777" w:rsidR="00074D16" w:rsidRPr="00074D16" w:rsidRDefault="00074D16" w:rsidP="00074D16">
      <w:pPr>
        <w:rPr>
          <w:rFonts w:eastAsia="Times New Roman" w:cs="Times New Roman"/>
          <w:lang w:val="ro-RO"/>
        </w:rPr>
      </w:pPr>
      <w:r w:rsidRPr="00074D16">
        <w:rPr>
          <w:rFonts w:eastAsia="Times New Roman" w:cs="Times New Roman"/>
          <w:lang w:val="ro-RO"/>
        </w:rPr>
        <w:t>CE – Comisia Europeană</w:t>
      </w:r>
    </w:p>
    <w:p w14:paraId="4A8EFC4A" w14:textId="77777777" w:rsidR="00074D16" w:rsidRPr="00074D16" w:rsidRDefault="00074D16" w:rsidP="00074D16">
      <w:pPr>
        <w:rPr>
          <w:rFonts w:eastAsia="Times New Roman" w:cs="Times New Roman"/>
          <w:lang w:val="ro-RO"/>
        </w:rPr>
      </w:pPr>
      <w:r w:rsidRPr="00074D16">
        <w:rPr>
          <w:rFonts w:eastAsia="Times New Roman" w:cs="Times New Roman"/>
          <w:lang w:val="ro-RO"/>
        </w:rPr>
        <w:t xml:space="preserve">cf. – conform </w:t>
      </w:r>
    </w:p>
    <w:p w14:paraId="6A716D22" w14:textId="77777777" w:rsidR="00074D16" w:rsidRPr="00074D16" w:rsidRDefault="00074D16" w:rsidP="00074D16">
      <w:pPr>
        <w:rPr>
          <w:rFonts w:eastAsia="Times New Roman" w:cs="Times New Roman"/>
          <w:lang w:val="ro-RO"/>
        </w:rPr>
      </w:pPr>
      <w:r w:rsidRPr="00074D16">
        <w:rPr>
          <w:rFonts w:eastAsia="Times New Roman" w:cs="Times New Roman"/>
          <w:lang w:val="ro-RO"/>
        </w:rPr>
        <w:t>C</w:t>
      </w:r>
      <w:r w:rsidRPr="00074D16">
        <w:rPr>
          <w:rFonts w:eastAsia="Times New Roman" w:cs="Times New Roman"/>
          <w:vertAlign w:val="subscript"/>
          <w:lang w:val="ro-RO"/>
        </w:rPr>
        <w:t>6</w:t>
      </w:r>
      <w:r w:rsidRPr="00074D16">
        <w:rPr>
          <w:rFonts w:eastAsia="Times New Roman" w:cs="Times New Roman"/>
          <w:lang w:val="ro-RO"/>
        </w:rPr>
        <w:t>H</w:t>
      </w:r>
      <w:r w:rsidRPr="00074D16">
        <w:rPr>
          <w:rFonts w:eastAsia="Times New Roman" w:cs="Times New Roman"/>
          <w:vertAlign w:val="subscript"/>
          <w:lang w:val="ro-RO"/>
        </w:rPr>
        <w:t>6</w:t>
      </w:r>
      <w:r w:rsidRPr="00074D16">
        <w:rPr>
          <w:rFonts w:eastAsia="Times New Roman" w:cs="Times New Roman"/>
          <w:lang w:val="ro-RO"/>
        </w:rPr>
        <w:t xml:space="preserve"> – Benzen</w:t>
      </w:r>
    </w:p>
    <w:p w14:paraId="1C74B1C8" w14:textId="77777777" w:rsidR="00074D16" w:rsidRDefault="00074D16" w:rsidP="00074D16">
      <w:pPr>
        <w:rPr>
          <w:rFonts w:eastAsia="Times New Roman" w:cs="Times New Roman"/>
          <w:lang w:val="ro-RO"/>
        </w:rPr>
      </w:pPr>
      <w:r w:rsidRPr="00074D16">
        <w:rPr>
          <w:rFonts w:eastAsia="Times New Roman" w:cs="Times New Roman"/>
          <w:lang w:val="ro-RO"/>
        </w:rPr>
        <w:t>CJ – Consiliu Județean</w:t>
      </w:r>
    </w:p>
    <w:p w14:paraId="33E0E91D" w14:textId="1E44DB10" w:rsidR="00AF5CFF" w:rsidRDefault="00AF5CFF" w:rsidP="00074D16">
      <w:pPr>
        <w:rPr>
          <w:rFonts w:eastAsia="Times New Roman" w:cs="Times New Roman"/>
          <w:lang w:val="ro-RO"/>
        </w:rPr>
      </w:pPr>
      <w:r>
        <w:rPr>
          <w:rFonts w:eastAsia="Times New Roman" w:cs="Times New Roman"/>
          <w:lang w:val="ro-RO"/>
        </w:rPr>
        <w:t>CLU – Combustibil Lichid Ușor</w:t>
      </w:r>
    </w:p>
    <w:p w14:paraId="5294AA76" w14:textId="5C768DAB" w:rsidR="00AF5CFF" w:rsidRDefault="00AF5CFF" w:rsidP="00074D16">
      <w:pPr>
        <w:rPr>
          <w:rFonts w:eastAsia="Times New Roman" w:cs="Times New Roman"/>
          <w:lang w:val="ro-RO"/>
        </w:rPr>
      </w:pPr>
      <w:r>
        <w:rPr>
          <w:rFonts w:eastAsia="Times New Roman" w:cs="Times New Roman"/>
          <w:lang w:val="ro-RO"/>
        </w:rPr>
        <w:lastRenderedPageBreak/>
        <w:t>cm. – centimetru</w:t>
      </w:r>
    </w:p>
    <w:p w14:paraId="23316AEE" w14:textId="0323B874" w:rsidR="00AF5CFF" w:rsidRPr="00AF5CFF" w:rsidRDefault="00AF5CFF" w:rsidP="00AF5CFF">
      <w:pPr>
        <w:pBdr>
          <w:top w:val="nil"/>
          <w:left w:val="nil"/>
          <w:bottom w:val="nil"/>
          <w:right w:val="nil"/>
          <w:between w:val="nil"/>
        </w:pBdr>
        <w:rPr>
          <w:rFonts w:eastAsia="Times New Roman" w:cs="Times New Roman"/>
        </w:rPr>
      </w:pPr>
      <w:r>
        <w:rPr>
          <w:rFonts w:eastAsia="Times New Roman" w:cs="Times New Roman"/>
        </w:rPr>
        <w:t>CN ACN – Compania Națională Administrația Canalelor Navigabile</w:t>
      </w:r>
    </w:p>
    <w:p w14:paraId="43D505DF" w14:textId="77777777" w:rsidR="00074D16" w:rsidRPr="00074D16" w:rsidRDefault="00074D16" w:rsidP="00074D16">
      <w:pPr>
        <w:rPr>
          <w:rFonts w:eastAsia="Times New Roman" w:cs="Times New Roman"/>
          <w:lang w:val="ro-RO"/>
        </w:rPr>
      </w:pPr>
      <w:r w:rsidRPr="00074D16">
        <w:rPr>
          <w:rFonts w:eastAsia="Times New Roman" w:cs="Times New Roman"/>
          <w:lang w:val="ro-RO"/>
        </w:rPr>
        <w:t>CN APM – Compania Națională Administrația Porturilor Maritime</w:t>
      </w:r>
    </w:p>
    <w:p w14:paraId="5E4F0909" w14:textId="77777777" w:rsidR="00074D16" w:rsidRPr="00074D16" w:rsidRDefault="00074D16" w:rsidP="00074D16">
      <w:pPr>
        <w:rPr>
          <w:rFonts w:eastAsia="Times New Roman" w:cs="Times New Roman"/>
          <w:lang w:val="ro-RO"/>
        </w:rPr>
      </w:pPr>
      <w:r w:rsidRPr="00074D16">
        <w:rPr>
          <w:rFonts w:eastAsia="Times New Roman" w:cs="Times New Roman"/>
          <w:lang w:val="ro-RO"/>
        </w:rPr>
        <w:t>CNZC – Comitetul Național al Zonei Costiere</w:t>
      </w:r>
    </w:p>
    <w:p w14:paraId="191A93FC" w14:textId="77777777" w:rsidR="00074D16" w:rsidRDefault="00074D16" w:rsidP="00074D16">
      <w:pPr>
        <w:rPr>
          <w:rFonts w:eastAsia="Times New Roman" w:cs="Times New Roman"/>
          <w:lang w:val="ro-RO"/>
        </w:rPr>
      </w:pPr>
      <w:r w:rsidRPr="00074D16">
        <w:rPr>
          <w:rFonts w:eastAsia="Times New Roman" w:cs="Times New Roman"/>
          <w:lang w:val="ro-RO"/>
        </w:rPr>
        <w:t>CO – monoxid de carbon</w:t>
      </w:r>
    </w:p>
    <w:p w14:paraId="1C91EEBC" w14:textId="618899A7" w:rsidR="00AF5CFF" w:rsidRDefault="00AF5CFF" w:rsidP="00074D16">
      <w:pPr>
        <w:rPr>
          <w:rFonts w:eastAsia="Times New Roman" w:cs="Times New Roman"/>
          <w:lang w:val="ro-RO"/>
        </w:rPr>
      </w:pPr>
      <w:r>
        <w:rPr>
          <w:rFonts w:eastAsia="Times New Roman" w:cs="Times New Roman"/>
          <w:lang w:val="ro-RO"/>
        </w:rPr>
        <w:t>com. - comună</w:t>
      </w:r>
    </w:p>
    <w:p w14:paraId="7FFF437B" w14:textId="0ECAFE7E" w:rsidR="00AF5CFF" w:rsidRPr="00AF5CFF" w:rsidRDefault="00AF5CFF" w:rsidP="00AF5CFF">
      <w:pPr>
        <w:pBdr>
          <w:top w:val="nil"/>
          <w:left w:val="nil"/>
          <w:bottom w:val="nil"/>
          <w:right w:val="nil"/>
          <w:between w:val="nil"/>
        </w:pBdr>
        <w:rPr>
          <w:rFonts w:eastAsia="Times New Roman" w:cs="Times New Roman"/>
        </w:rPr>
      </w:pPr>
      <w:r>
        <w:rPr>
          <w:rFonts w:eastAsia="Times New Roman" w:cs="Times New Roman"/>
        </w:rPr>
        <w:t>COV – Compuși Organici Volatili</w:t>
      </w:r>
    </w:p>
    <w:p w14:paraId="45BA5DAF" w14:textId="7A93C9F4" w:rsidR="00AF5CFF" w:rsidRDefault="00074D16" w:rsidP="00AF5CFF">
      <w:pPr>
        <w:rPr>
          <w:rFonts w:eastAsia="Times New Roman" w:cs="Times New Roman"/>
          <w:lang w:val="ro-RO"/>
        </w:rPr>
      </w:pPr>
      <w:r w:rsidRPr="00074D16">
        <w:rPr>
          <w:rFonts w:eastAsia="Times New Roman" w:cs="Times New Roman"/>
          <w:lang w:val="ro-RO"/>
        </w:rPr>
        <w:t>COVNM - compuși organici volatili nemetanici</w:t>
      </w:r>
    </w:p>
    <w:p w14:paraId="50B30B7D" w14:textId="72C494F7" w:rsidR="00AF5CFF" w:rsidRDefault="00AF5CFF" w:rsidP="00074D16">
      <w:pPr>
        <w:rPr>
          <w:rFonts w:eastAsia="Times New Roman" w:cs="Times New Roman"/>
          <w:lang w:val="ro-RO"/>
        </w:rPr>
      </w:pPr>
      <w:r>
        <w:rPr>
          <w:rFonts w:eastAsia="Times New Roman" w:cs="Times New Roman"/>
          <w:lang w:val="ro-RO"/>
        </w:rPr>
        <w:t>Cr – crom</w:t>
      </w:r>
    </w:p>
    <w:p w14:paraId="507B89A9" w14:textId="7FCCA388" w:rsidR="00AF5CFF" w:rsidRPr="00074D16" w:rsidRDefault="00AF5CFF" w:rsidP="00074D16">
      <w:pPr>
        <w:rPr>
          <w:rFonts w:eastAsia="Times New Roman" w:cs="Times New Roman"/>
          <w:lang w:val="ro-RO"/>
        </w:rPr>
      </w:pPr>
      <w:r>
        <w:rPr>
          <w:rFonts w:eastAsia="Times New Roman" w:cs="Times New Roman"/>
          <w:lang w:val="ro-RO"/>
        </w:rPr>
        <w:t>Cu - cupru</w:t>
      </w:r>
    </w:p>
    <w:p w14:paraId="7D7F662E" w14:textId="77777777" w:rsidR="00074D16" w:rsidRPr="00074D16" w:rsidRDefault="00074D16" w:rsidP="00074D16">
      <w:pPr>
        <w:rPr>
          <w:rFonts w:eastAsia="Times New Roman" w:cs="Times New Roman"/>
          <w:lang w:val="ro-RO"/>
        </w:rPr>
      </w:pPr>
      <w:r w:rsidRPr="00074D16">
        <w:rPr>
          <w:rFonts w:eastAsia="Times New Roman" w:cs="Times New Roman"/>
          <w:lang w:val="ro-RO"/>
        </w:rPr>
        <w:t>DCA – Directiva Cadru Ape</w:t>
      </w:r>
    </w:p>
    <w:p w14:paraId="1B7FFF94" w14:textId="77777777" w:rsidR="00074D16" w:rsidRPr="00074D16" w:rsidRDefault="00074D16" w:rsidP="00074D16">
      <w:pPr>
        <w:rPr>
          <w:rFonts w:eastAsia="Times New Roman" w:cs="Times New Roman"/>
          <w:lang w:val="ro-RO"/>
        </w:rPr>
      </w:pPr>
      <w:r w:rsidRPr="00074D16">
        <w:rPr>
          <w:rFonts w:eastAsia="Times New Roman" w:cs="Times New Roman"/>
          <w:lang w:val="ro-RO"/>
        </w:rPr>
        <w:t>DCSMM - Directiva Cadru privind Strategia pentru Mediul Marin</w:t>
      </w:r>
    </w:p>
    <w:p w14:paraId="187C96D4" w14:textId="77777777" w:rsidR="00074D16" w:rsidRPr="00074D16" w:rsidRDefault="00074D16" w:rsidP="00074D16">
      <w:pPr>
        <w:rPr>
          <w:rFonts w:eastAsia="Times New Roman" w:cs="Times New Roman"/>
          <w:lang w:val="ro-RO"/>
        </w:rPr>
      </w:pPr>
      <w:r w:rsidRPr="00074D16">
        <w:rPr>
          <w:rFonts w:eastAsia="Times New Roman" w:cs="Times New Roman"/>
          <w:lang w:val="ro-RO"/>
        </w:rPr>
        <w:t>DHM - Direcția Hidrografică Maritimă</w:t>
      </w:r>
    </w:p>
    <w:p w14:paraId="263BE564" w14:textId="77777777" w:rsidR="00AF5CFF" w:rsidRDefault="00074D16" w:rsidP="00074D16">
      <w:pPr>
        <w:rPr>
          <w:rFonts w:eastAsia="Times New Roman" w:cs="Times New Roman"/>
          <w:lang w:val="ro-RO"/>
        </w:rPr>
      </w:pPr>
      <w:r w:rsidRPr="00074D16">
        <w:rPr>
          <w:rFonts w:eastAsia="Times New Roman" w:cs="Times New Roman"/>
          <w:lang w:val="ro-RO"/>
        </w:rPr>
        <w:t>EC – European Commission</w:t>
      </w:r>
    </w:p>
    <w:p w14:paraId="7EB2F01E" w14:textId="6DFD57F2" w:rsidR="00074D16" w:rsidRPr="00074D16" w:rsidRDefault="00AF5CFF" w:rsidP="00074D16">
      <w:pPr>
        <w:rPr>
          <w:rFonts w:eastAsia="Times New Roman" w:cs="Times New Roman"/>
          <w:lang w:val="ro-RO"/>
        </w:rPr>
      </w:pPr>
      <w:r w:rsidRPr="00AF5CFF">
        <w:rPr>
          <w:rFonts w:eastAsia="Times New Roman" w:cs="Times New Roman"/>
          <w:lang w:val="ro-RO"/>
        </w:rPr>
        <w:t>EEA – European Environmental Agency (Agenția Europeană de Mediu)</w:t>
      </w:r>
      <w:r w:rsidR="00074D16" w:rsidRPr="00074D16">
        <w:rPr>
          <w:rFonts w:eastAsia="Times New Roman" w:cs="Times New Roman"/>
          <w:lang w:val="ro-RO"/>
        </w:rPr>
        <w:t xml:space="preserve"> </w:t>
      </w:r>
    </w:p>
    <w:p w14:paraId="31B2BC70" w14:textId="77777777" w:rsidR="00074D16" w:rsidRPr="00074D16" w:rsidRDefault="00074D16" w:rsidP="00074D16">
      <w:pPr>
        <w:rPr>
          <w:rFonts w:eastAsia="Times New Roman" w:cs="Times New Roman"/>
          <w:lang w:val="ro-RO"/>
        </w:rPr>
      </w:pPr>
      <w:r w:rsidRPr="00074D16">
        <w:rPr>
          <w:rFonts w:eastAsia="Times New Roman" w:cs="Times New Roman"/>
          <w:lang w:val="ro-RO"/>
        </w:rPr>
        <w:t>ERL – Effects Range Low</w:t>
      </w:r>
    </w:p>
    <w:p w14:paraId="30F3F32C" w14:textId="77777777" w:rsidR="00074D16" w:rsidRPr="00074D16" w:rsidRDefault="00074D16" w:rsidP="00074D16">
      <w:pPr>
        <w:rPr>
          <w:rFonts w:eastAsia="Times New Roman" w:cs="Times New Roman"/>
          <w:lang w:val="ro-RO"/>
        </w:rPr>
      </w:pPr>
      <w:r w:rsidRPr="00074D16">
        <w:rPr>
          <w:rFonts w:eastAsia="Times New Roman" w:cs="Times New Roman"/>
          <w:lang w:val="ro-RO"/>
        </w:rPr>
        <w:t>EQS - Environment Quality Standards (Standarde de calitate pentru mediu)</w:t>
      </w:r>
    </w:p>
    <w:p w14:paraId="19C4BAB3" w14:textId="77777777" w:rsidR="00074D16" w:rsidRPr="00074D16" w:rsidRDefault="00074D16" w:rsidP="00074D16">
      <w:pPr>
        <w:rPr>
          <w:rFonts w:eastAsia="Times New Roman" w:cs="Times New Roman"/>
          <w:lang w:val="ro-RO"/>
        </w:rPr>
      </w:pPr>
      <w:r w:rsidRPr="00074D16">
        <w:rPr>
          <w:rFonts w:eastAsia="Times New Roman" w:cs="Times New Roman"/>
          <w:lang w:val="ro-RO"/>
        </w:rPr>
        <w:t>EU – European Union</w:t>
      </w:r>
    </w:p>
    <w:p w14:paraId="2B3B2518" w14:textId="77777777" w:rsidR="00074D16" w:rsidRPr="00074D16" w:rsidRDefault="00074D16" w:rsidP="00074D16">
      <w:pPr>
        <w:rPr>
          <w:rFonts w:eastAsia="Times New Roman" w:cs="Times New Roman"/>
          <w:lang w:val="ro-RO"/>
        </w:rPr>
      </w:pPr>
      <w:r w:rsidRPr="00074D16">
        <w:rPr>
          <w:rFonts w:eastAsia="Times New Roman" w:cs="Times New Roman"/>
          <w:lang w:val="ro-RO"/>
        </w:rPr>
        <w:t>ex. – exemplu</w:t>
      </w:r>
    </w:p>
    <w:p w14:paraId="17D1EF11" w14:textId="42EA5422" w:rsidR="00AF5CFF" w:rsidRDefault="00AF5CFF" w:rsidP="00AF5CFF">
      <w:pPr>
        <w:ind w:left="567" w:hanging="28"/>
        <w:rPr>
          <w:rFonts w:eastAsia="Times New Roman" w:cs="Times New Roman"/>
          <w:lang w:val="ro-RO"/>
        </w:rPr>
      </w:pPr>
      <w:r w:rsidRPr="00AF5CFF">
        <w:rPr>
          <w:rFonts w:eastAsia="Times New Roman" w:cs="Times New Roman"/>
          <w:lang w:val="ro-RO"/>
        </w:rPr>
        <w:t>FAO – Food and Agriculture Organization of United Nations (Organizația Națiunilor Unite pentru Alimentație și Agricultură)</w:t>
      </w:r>
    </w:p>
    <w:p w14:paraId="170AC8D0" w14:textId="77777777" w:rsidR="00074D16" w:rsidRPr="00074D16" w:rsidRDefault="00074D16" w:rsidP="00074D16">
      <w:pPr>
        <w:rPr>
          <w:rFonts w:eastAsia="Times New Roman" w:cs="Times New Roman"/>
          <w:lang w:val="ro-RO"/>
        </w:rPr>
      </w:pPr>
      <w:r w:rsidRPr="00074D16">
        <w:rPr>
          <w:rFonts w:eastAsia="Times New Roman" w:cs="Times New Roman"/>
          <w:lang w:val="ro-RO"/>
        </w:rPr>
        <w:t>FEAMPA - Fondul european pentru afaceri maritime, pescuit și acvacultură</w:t>
      </w:r>
    </w:p>
    <w:p w14:paraId="13C684CB" w14:textId="77777777" w:rsidR="00074D16" w:rsidRDefault="00074D16" w:rsidP="00074D16">
      <w:pPr>
        <w:rPr>
          <w:rFonts w:eastAsia="Times New Roman" w:cs="Times New Roman"/>
          <w:lang w:val="ro-RO"/>
        </w:rPr>
      </w:pPr>
      <w:r w:rsidRPr="00074D16">
        <w:rPr>
          <w:rFonts w:eastAsia="Times New Roman" w:cs="Times New Roman"/>
          <w:lang w:val="ro-RO"/>
        </w:rPr>
        <w:t>FEDR – Fondul European de Dezvoltare Rurală</w:t>
      </w:r>
    </w:p>
    <w:p w14:paraId="7A336CCE" w14:textId="371FEBE9" w:rsidR="00AF5CFF" w:rsidRDefault="00AF5CFF" w:rsidP="00074D16">
      <w:pPr>
        <w:rPr>
          <w:rFonts w:eastAsia="Times New Roman" w:cs="Times New Roman"/>
          <w:lang w:val="ro-RO"/>
        </w:rPr>
      </w:pPr>
      <w:r>
        <w:rPr>
          <w:rFonts w:eastAsia="Times New Roman" w:cs="Times New Roman"/>
          <w:lang w:val="ro-RO"/>
        </w:rPr>
        <w:t>Fig. – figura</w:t>
      </w:r>
    </w:p>
    <w:p w14:paraId="616D3DA5" w14:textId="47213E57" w:rsidR="00AF5CFF" w:rsidRPr="00074D16" w:rsidRDefault="00AF5CFF" w:rsidP="00074D16">
      <w:pPr>
        <w:rPr>
          <w:rFonts w:eastAsia="Times New Roman" w:cs="Times New Roman"/>
          <w:lang w:val="ro-RO"/>
        </w:rPr>
      </w:pPr>
      <w:r w:rsidRPr="00AF5CFF">
        <w:rPr>
          <w:rFonts w:eastAsia="Times New Roman" w:cs="Times New Roman"/>
          <w:lang w:val="ro-RO"/>
        </w:rPr>
        <w:t>FMSY – Randamentul maxim durabil</w:t>
      </w:r>
    </w:p>
    <w:p w14:paraId="41E1202F" w14:textId="77777777" w:rsidR="00074D16" w:rsidRPr="00074D16" w:rsidRDefault="00074D16" w:rsidP="00FD7C34">
      <w:pPr>
        <w:ind w:left="567" w:firstLine="0"/>
        <w:rPr>
          <w:rFonts w:eastAsia="Times New Roman" w:cs="Times New Roman"/>
          <w:lang w:val="ro-RO"/>
        </w:rPr>
      </w:pPr>
      <w:r w:rsidRPr="00074D16">
        <w:rPr>
          <w:rFonts w:eastAsia="Times New Roman" w:cs="Times New Roman"/>
          <w:lang w:val="ro-RO"/>
        </w:rPr>
        <w:t>GFCM – General Fisheries Commission for the Mediterranean (Comisia generală de pescuit la Marea Mediterană)</w:t>
      </w:r>
    </w:p>
    <w:p w14:paraId="749C8D01" w14:textId="77777777" w:rsidR="00074D16" w:rsidRPr="00074D16" w:rsidRDefault="00074D16" w:rsidP="00074D16">
      <w:pPr>
        <w:rPr>
          <w:rFonts w:eastAsia="Times New Roman" w:cs="Times New Roman"/>
          <w:lang w:val="ro-RO"/>
        </w:rPr>
      </w:pPr>
      <w:r w:rsidRPr="00074D16">
        <w:rPr>
          <w:rFonts w:eastAsia="Times New Roman" w:cs="Times New Roman"/>
          <w:lang w:val="ro-RO"/>
        </w:rPr>
        <w:t>GNM – Garda Națională de Mediu</w:t>
      </w:r>
    </w:p>
    <w:p w14:paraId="34DA48B7" w14:textId="77777777" w:rsidR="00074D16" w:rsidRDefault="00074D16" w:rsidP="00074D16">
      <w:pPr>
        <w:rPr>
          <w:rFonts w:eastAsia="Times New Roman" w:cs="Times New Roman"/>
          <w:lang w:val="ro-RO"/>
        </w:rPr>
      </w:pPr>
      <w:r w:rsidRPr="00074D16">
        <w:rPr>
          <w:rFonts w:eastAsia="Times New Roman" w:cs="Times New Roman"/>
          <w:lang w:val="ro-RO"/>
        </w:rPr>
        <w:t>GPL – Gaz petrolier lichefiat</w:t>
      </w:r>
    </w:p>
    <w:p w14:paraId="73AF0E35" w14:textId="3DB41103" w:rsidR="00AF5CFF" w:rsidRPr="00AF5CFF" w:rsidRDefault="00AF5CFF" w:rsidP="00AF5CFF">
      <w:pPr>
        <w:pBdr>
          <w:top w:val="nil"/>
          <w:left w:val="nil"/>
          <w:bottom w:val="nil"/>
          <w:right w:val="nil"/>
          <w:between w:val="nil"/>
        </w:pBdr>
        <w:rPr>
          <w:rFonts w:eastAsia="Times New Roman" w:cs="Times New Roman"/>
        </w:rPr>
      </w:pPr>
      <w:r>
        <w:rPr>
          <w:rFonts w:eastAsia="Times New Roman" w:cs="Times New Roman"/>
        </w:rPr>
        <w:t>GT – Gross Tonnage (Tonaj brut)</w:t>
      </w:r>
    </w:p>
    <w:p w14:paraId="352456F1" w14:textId="77777777" w:rsidR="00074D16" w:rsidRPr="00074D16" w:rsidRDefault="00074D16" w:rsidP="00074D16">
      <w:pPr>
        <w:rPr>
          <w:rFonts w:eastAsia="Times New Roman" w:cs="Times New Roman"/>
          <w:lang w:val="ro-RO"/>
        </w:rPr>
      </w:pPr>
      <w:r w:rsidRPr="00074D16">
        <w:rPr>
          <w:rFonts w:eastAsia="Times New Roman" w:cs="Times New Roman"/>
          <w:lang w:val="ro-RO"/>
        </w:rPr>
        <w:t>GTP – Gas Treatment Plant (Stație de Tratare a Gezelor)</w:t>
      </w:r>
    </w:p>
    <w:p w14:paraId="6CE2FAAD" w14:textId="77777777" w:rsidR="00FD7C34" w:rsidRPr="00074D16" w:rsidRDefault="00FD7C34" w:rsidP="00FD7C34">
      <w:pPr>
        <w:rPr>
          <w:rFonts w:eastAsia="Times New Roman" w:cs="Times New Roman"/>
          <w:lang w:val="ro-RO"/>
        </w:rPr>
      </w:pPr>
      <w:r w:rsidRPr="00074D16">
        <w:rPr>
          <w:rFonts w:eastAsia="Times New Roman" w:cs="Times New Roman"/>
          <w:lang w:val="ro-RO"/>
        </w:rPr>
        <w:t>ha – hectare</w:t>
      </w:r>
    </w:p>
    <w:p w14:paraId="4E2839CF" w14:textId="77777777" w:rsidR="00074D16" w:rsidRDefault="00074D16" w:rsidP="00074D16">
      <w:pPr>
        <w:rPr>
          <w:rFonts w:eastAsia="Times New Roman" w:cs="Times New Roman"/>
          <w:lang w:val="ro-RO"/>
        </w:rPr>
      </w:pPr>
      <w:r w:rsidRPr="00074D16">
        <w:rPr>
          <w:rFonts w:eastAsia="Times New Roman" w:cs="Times New Roman"/>
          <w:lang w:val="ro-RO"/>
        </w:rPr>
        <w:lastRenderedPageBreak/>
        <w:t>HAP - Hidrocarburi aromatice policiclice</w:t>
      </w:r>
    </w:p>
    <w:p w14:paraId="777945B2" w14:textId="77777777" w:rsidR="00FD7C34" w:rsidRPr="00074D16" w:rsidRDefault="00FD7C34" w:rsidP="00FD7C34">
      <w:pPr>
        <w:rPr>
          <w:rFonts w:eastAsia="Times New Roman" w:cs="Times New Roman"/>
          <w:lang w:val="ro-RO"/>
        </w:rPr>
      </w:pPr>
      <w:r w:rsidRPr="00074D16">
        <w:rPr>
          <w:rFonts w:eastAsia="Times New Roman" w:cs="Times New Roman"/>
          <w:lang w:val="ro-RO"/>
        </w:rPr>
        <w:t>HCB - Hexaclorbenzen</w:t>
      </w:r>
    </w:p>
    <w:p w14:paraId="5AB7A987" w14:textId="46ECD465" w:rsidR="00FD7C34" w:rsidRDefault="00FD7C34" w:rsidP="00074D16">
      <w:pPr>
        <w:rPr>
          <w:rFonts w:eastAsia="Times New Roman" w:cs="Times New Roman"/>
          <w:lang w:val="ro-RO"/>
        </w:rPr>
      </w:pPr>
      <w:r w:rsidRPr="00FD7C34">
        <w:rPr>
          <w:rFonts w:eastAsia="Times New Roman" w:cs="Times New Roman"/>
          <w:lang w:val="ro-RO"/>
        </w:rPr>
        <w:t>HDPE - High Density Polyethylene</w:t>
      </w:r>
    </w:p>
    <w:p w14:paraId="783EA75E" w14:textId="77777777" w:rsidR="00074D16" w:rsidRDefault="00074D16" w:rsidP="00074D16">
      <w:pPr>
        <w:rPr>
          <w:rFonts w:eastAsia="Times New Roman" w:cs="Times New Roman"/>
          <w:lang w:val="ro-RO"/>
        </w:rPr>
      </w:pPr>
      <w:r>
        <w:rPr>
          <w:rFonts w:eastAsia="Times New Roman" w:cs="Times New Roman"/>
          <w:lang w:val="ro-RO"/>
        </w:rPr>
        <w:t>HG</w:t>
      </w:r>
      <w:r w:rsidRPr="00074D16">
        <w:rPr>
          <w:rFonts w:eastAsia="Times New Roman" w:cs="Times New Roman"/>
          <w:lang w:val="ro-RO"/>
        </w:rPr>
        <w:t xml:space="preserve"> – Hotărâre a guvernului</w:t>
      </w:r>
    </w:p>
    <w:p w14:paraId="0273A931" w14:textId="509C3C3A" w:rsidR="00FD7C34" w:rsidRPr="00074D16" w:rsidRDefault="00FD7C34" w:rsidP="00074D16">
      <w:pPr>
        <w:rPr>
          <w:rFonts w:eastAsia="Times New Roman" w:cs="Times New Roman"/>
          <w:lang w:val="ro-RO"/>
        </w:rPr>
      </w:pPr>
      <w:r>
        <w:rPr>
          <w:rFonts w:eastAsia="Times New Roman" w:cs="Times New Roman"/>
          <w:lang w:val="ro-RO"/>
        </w:rPr>
        <w:t>Hg - mercur</w:t>
      </w:r>
    </w:p>
    <w:p w14:paraId="1D543E11" w14:textId="77777777" w:rsidR="00074D16" w:rsidRPr="00074D16" w:rsidRDefault="00074D16" w:rsidP="00074D16">
      <w:pPr>
        <w:rPr>
          <w:rFonts w:eastAsia="Times New Roman" w:cs="Times New Roman"/>
          <w:lang w:val="ro-RO"/>
        </w:rPr>
      </w:pPr>
      <w:r w:rsidRPr="00074D16">
        <w:rPr>
          <w:rFonts w:eastAsia="Times New Roman" w:cs="Times New Roman"/>
          <w:lang w:val="ro-RO"/>
        </w:rPr>
        <w:t>IA – Inteligență Artificială</w:t>
      </w:r>
    </w:p>
    <w:p w14:paraId="43DDC820" w14:textId="77777777" w:rsidR="00074D16" w:rsidRPr="00074D16" w:rsidRDefault="00074D16" w:rsidP="00074D16">
      <w:pPr>
        <w:rPr>
          <w:rFonts w:eastAsia="Times New Roman" w:cs="Times New Roman"/>
          <w:lang w:val="ro-RO"/>
        </w:rPr>
      </w:pPr>
      <w:r w:rsidRPr="00074D16">
        <w:rPr>
          <w:rFonts w:eastAsia="Times New Roman" w:cs="Times New Roman"/>
          <w:lang w:val="ro-RO"/>
        </w:rPr>
        <w:t>ICEM – Institutul de Cercetări Eco-muzeale</w:t>
      </w:r>
    </w:p>
    <w:p w14:paraId="2E534513" w14:textId="77777777" w:rsidR="00074D16" w:rsidRPr="00074D16" w:rsidRDefault="00074D16" w:rsidP="00074D16">
      <w:pPr>
        <w:rPr>
          <w:rFonts w:eastAsia="Times New Roman" w:cs="Times New Roman"/>
          <w:lang w:val="ro-RO"/>
        </w:rPr>
      </w:pPr>
      <w:r w:rsidRPr="00074D16">
        <w:rPr>
          <w:rFonts w:eastAsia="Times New Roman" w:cs="Times New Roman"/>
          <w:lang w:val="ro-RO"/>
        </w:rPr>
        <w:t>ICZM – Integrated Coastal Zone Management</w:t>
      </w:r>
    </w:p>
    <w:p w14:paraId="4B8DAE63" w14:textId="66162793" w:rsidR="00074D16" w:rsidRDefault="00074D16" w:rsidP="00FD7C34">
      <w:pPr>
        <w:ind w:left="567" w:hanging="28"/>
        <w:rPr>
          <w:rFonts w:eastAsia="Times New Roman" w:cs="Times New Roman"/>
          <w:lang w:val="ro-RO"/>
        </w:rPr>
      </w:pPr>
      <w:r w:rsidRPr="00074D16">
        <w:rPr>
          <w:rFonts w:eastAsia="Times New Roman" w:cs="Times New Roman"/>
          <w:lang w:val="ro-RO"/>
        </w:rPr>
        <w:t xml:space="preserve">ICZM AG - Integrated Coastal Zone Management Advisory Group (Grupul Consultativ pentru Managementul Integrat al </w:t>
      </w:r>
      <w:r w:rsidR="00FD7C34">
        <w:rPr>
          <w:rFonts w:eastAsia="Times New Roman" w:cs="Times New Roman"/>
          <w:lang w:val="ro-RO"/>
        </w:rPr>
        <w:t>Zonei Costiere</w:t>
      </w:r>
    </w:p>
    <w:p w14:paraId="3069CE25" w14:textId="416F3DC4" w:rsidR="00FD7C34" w:rsidRPr="00074D16" w:rsidRDefault="00FD7C34" w:rsidP="00FD7C34">
      <w:pPr>
        <w:ind w:left="567" w:hanging="28"/>
        <w:rPr>
          <w:rFonts w:eastAsia="Times New Roman" w:cs="Times New Roman"/>
          <w:lang w:val="ro-RO"/>
        </w:rPr>
      </w:pPr>
      <w:r w:rsidRPr="00FD7C34">
        <w:rPr>
          <w:rFonts w:eastAsia="Times New Roman" w:cs="Times New Roman"/>
          <w:lang w:val="ro-RO"/>
        </w:rPr>
        <w:t>IGSU - Inspectoratul General pentru Situaţii de Urgenţă</w:t>
      </w:r>
    </w:p>
    <w:p w14:paraId="1567E68E" w14:textId="77777777" w:rsidR="00074D16" w:rsidRPr="00074D16" w:rsidRDefault="00074D16" w:rsidP="00074D16">
      <w:pPr>
        <w:rPr>
          <w:rFonts w:eastAsia="Times New Roman" w:cs="Times New Roman"/>
          <w:lang w:val="ro-RO"/>
        </w:rPr>
      </w:pPr>
      <w:r w:rsidRPr="00074D16">
        <w:rPr>
          <w:rFonts w:eastAsia="Times New Roman" w:cs="Times New Roman"/>
          <w:lang w:val="ro-RO"/>
        </w:rPr>
        <w:t>INCDDD - Institutul Național de Cercetare-Dezvoltare „Delta Dunării”</w:t>
      </w:r>
    </w:p>
    <w:p w14:paraId="4E04A037" w14:textId="77777777" w:rsidR="00074D16" w:rsidRPr="00074D16" w:rsidRDefault="00074D16" w:rsidP="00FD7C34">
      <w:pPr>
        <w:ind w:left="567" w:hanging="28"/>
        <w:rPr>
          <w:rFonts w:eastAsia="Times New Roman" w:cs="Times New Roman"/>
          <w:lang w:val="ro-RO"/>
        </w:rPr>
      </w:pPr>
      <w:r w:rsidRPr="00074D16">
        <w:rPr>
          <w:rFonts w:eastAsia="Times New Roman" w:cs="Times New Roman"/>
          <w:lang w:val="ro-RO"/>
        </w:rPr>
        <w:t>INCDM Grigore Antipa – Institutul Național de Cercetare-Dezvoltare Marină „Grigore Antipa”</w:t>
      </w:r>
    </w:p>
    <w:p w14:paraId="673B22FA" w14:textId="62B9C7BB" w:rsidR="00FD7C34" w:rsidRPr="00FD7C34" w:rsidRDefault="00074D16" w:rsidP="00FD7C34">
      <w:pPr>
        <w:ind w:left="567" w:hanging="28"/>
        <w:rPr>
          <w:rFonts w:eastAsia="Times New Roman" w:cs="Times New Roman"/>
          <w:lang w:val="ro-RO"/>
        </w:rPr>
      </w:pPr>
      <w:r w:rsidRPr="00FD7C34">
        <w:rPr>
          <w:rFonts w:eastAsia="Times New Roman" w:cs="Times New Roman"/>
          <w:lang w:val="ro-RO"/>
        </w:rPr>
        <w:t>INCD GeoEcoMar – Institutul Național de Cercetare-Dezvoltare pentru Geologie și Geoecologie Marină – GeoEcoMar</w:t>
      </w:r>
    </w:p>
    <w:p w14:paraId="0E4D399A" w14:textId="272230BA" w:rsidR="00FD7C34" w:rsidRPr="00FD7C34" w:rsidRDefault="00FD7C34" w:rsidP="00074D16">
      <w:pPr>
        <w:rPr>
          <w:rFonts w:eastAsia="Times New Roman" w:cs="Times New Roman"/>
          <w:lang w:val="ro-RO"/>
        </w:rPr>
      </w:pPr>
      <w:r w:rsidRPr="00FD7C34">
        <w:rPr>
          <w:rFonts w:eastAsia="Times New Roman" w:cs="Times New Roman"/>
          <w:lang w:val="ro-RO"/>
        </w:rPr>
        <w:t>INHGA – Institutul Național de Hidrologie și Gospodărirea Apelor</w:t>
      </w:r>
    </w:p>
    <w:p w14:paraId="0F3ECCDF" w14:textId="77777777" w:rsidR="00FD7C34" w:rsidRPr="00074D16" w:rsidRDefault="00FD7C34" w:rsidP="00FD7C34">
      <w:pPr>
        <w:rPr>
          <w:rFonts w:eastAsia="Times New Roman" w:cs="Times New Roman"/>
          <w:lang w:val="ro-RO"/>
        </w:rPr>
      </w:pPr>
      <w:r w:rsidRPr="00074D16">
        <w:rPr>
          <w:rFonts w:eastAsia="Times New Roman" w:cs="Times New Roman"/>
          <w:lang w:val="ro-RO"/>
        </w:rPr>
        <w:t>IMM – Întreprinderi mici și mijlocii</w:t>
      </w:r>
    </w:p>
    <w:p w14:paraId="4AE2DD28" w14:textId="77777777" w:rsidR="00FD7C34" w:rsidRPr="00074D16" w:rsidRDefault="00FD7C34" w:rsidP="00FD7C34">
      <w:pPr>
        <w:rPr>
          <w:rFonts w:eastAsia="Times New Roman" w:cs="Times New Roman"/>
          <w:lang w:val="ro-RO"/>
        </w:rPr>
      </w:pPr>
      <w:r w:rsidRPr="00074D16">
        <w:rPr>
          <w:rFonts w:eastAsia="Times New Roman" w:cs="Times New Roman"/>
          <w:lang w:val="ro-RO"/>
        </w:rPr>
        <w:t>IMTA - Integrated multitrophic aquaculture</w:t>
      </w:r>
    </w:p>
    <w:p w14:paraId="1E82CAA7" w14:textId="77777777" w:rsidR="00074D16" w:rsidRPr="00074D16" w:rsidRDefault="00074D16" w:rsidP="00074D16">
      <w:pPr>
        <w:rPr>
          <w:rFonts w:eastAsia="Times New Roman" w:cs="Times New Roman"/>
          <w:lang w:val="ro-RO"/>
        </w:rPr>
      </w:pPr>
      <w:r w:rsidRPr="00074D16">
        <w:rPr>
          <w:rFonts w:eastAsia="Times New Roman" w:cs="Times New Roman"/>
          <w:lang w:val="ro-RO"/>
        </w:rPr>
        <w:t>INP – Institutul Național al Patrimoniului</w:t>
      </w:r>
    </w:p>
    <w:p w14:paraId="63A155FA" w14:textId="77777777" w:rsidR="00FD7C34" w:rsidRDefault="00074D16" w:rsidP="00074D16">
      <w:pPr>
        <w:rPr>
          <w:rFonts w:eastAsia="Times New Roman" w:cs="Times New Roman"/>
          <w:lang w:val="ro-RO"/>
        </w:rPr>
      </w:pPr>
      <w:r w:rsidRPr="00074D16">
        <w:rPr>
          <w:rFonts w:eastAsia="Times New Roman" w:cs="Times New Roman"/>
          <w:lang w:val="ro-RO"/>
        </w:rPr>
        <w:t>INSSE – Institutul național de Statistică</w:t>
      </w:r>
    </w:p>
    <w:p w14:paraId="1AA53792" w14:textId="7041BBDC" w:rsidR="00074D16" w:rsidRPr="00074D16" w:rsidRDefault="00FD7C34" w:rsidP="00074D16">
      <w:pPr>
        <w:rPr>
          <w:rFonts w:eastAsia="Times New Roman" w:cs="Times New Roman"/>
          <w:lang w:val="ro-RO"/>
        </w:rPr>
      </w:pPr>
      <w:r w:rsidRPr="00FD7C34">
        <w:rPr>
          <w:rFonts w:eastAsia="Times New Roman" w:cs="Times New Roman"/>
          <w:lang w:val="ro-RO"/>
        </w:rPr>
        <w:t>JRC – Joint Research Center</w:t>
      </w:r>
    </w:p>
    <w:p w14:paraId="24D0C9FB" w14:textId="2415FD82" w:rsidR="00FD7C34" w:rsidRDefault="00FD7C34" w:rsidP="00074D16">
      <w:pPr>
        <w:rPr>
          <w:rFonts w:eastAsia="Times New Roman" w:cs="Times New Roman"/>
          <w:lang w:val="ro-RO"/>
        </w:rPr>
      </w:pPr>
      <w:r>
        <w:rPr>
          <w:rFonts w:eastAsia="Times New Roman" w:cs="Times New Roman"/>
          <w:lang w:val="ro-RO"/>
        </w:rPr>
        <w:t>Kg. - kilogram</w:t>
      </w:r>
    </w:p>
    <w:p w14:paraId="588714F5" w14:textId="77777777" w:rsidR="00074D16" w:rsidRPr="00074D16" w:rsidRDefault="00074D16" w:rsidP="00074D16">
      <w:pPr>
        <w:rPr>
          <w:rFonts w:eastAsia="Times New Roman" w:cs="Times New Roman"/>
          <w:lang w:val="ro-RO"/>
        </w:rPr>
      </w:pPr>
      <w:r w:rsidRPr="00074D16">
        <w:rPr>
          <w:rFonts w:eastAsia="Times New Roman" w:cs="Times New Roman"/>
          <w:lang w:val="ro-RO"/>
        </w:rPr>
        <w:t>Km – kilometri</w:t>
      </w:r>
    </w:p>
    <w:p w14:paraId="513BD717" w14:textId="7E4BBF44" w:rsidR="00074D16" w:rsidRDefault="00074D16" w:rsidP="00074D16">
      <w:pPr>
        <w:rPr>
          <w:rFonts w:eastAsia="Times New Roman" w:cs="Times New Roman"/>
          <w:lang w:val="ro-RO"/>
        </w:rPr>
      </w:pPr>
      <w:r w:rsidRPr="00074D16">
        <w:rPr>
          <w:rFonts w:eastAsia="Times New Roman" w:cs="Times New Roman"/>
          <w:lang w:val="ro-RO"/>
        </w:rPr>
        <w:t xml:space="preserve">kV </w:t>
      </w:r>
      <w:r w:rsidR="00FD7C34">
        <w:rPr>
          <w:rFonts w:eastAsia="Times New Roman" w:cs="Times New Roman"/>
          <w:lang w:val="ro-RO"/>
        </w:rPr>
        <w:t>–</w:t>
      </w:r>
      <w:r w:rsidRPr="00074D16">
        <w:rPr>
          <w:rFonts w:eastAsia="Times New Roman" w:cs="Times New Roman"/>
          <w:lang w:val="ro-RO"/>
        </w:rPr>
        <w:t xml:space="preserve"> kilovolți</w:t>
      </w:r>
    </w:p>
    <w:p w14:paraId="7AAB2569" w14:textId="784C7311" w:rsidR="00FD7C34" w:rsidRPr="00074D16" w:rsidRDefault="00FD7C34" w:rsidP="00074D16">
      <w:pPr>
        <w:rPr>
          <w:rFonts w:eastAsia="Times New Roman" w:cs="Times New Roman"/>
          <w:lang w:val="ro-RO"/>
        </w:rPr>
      </w:pPr>
      <w:r>
        <w:rPr>
          <w:rFonts w:eastAsia="Times New Roman" w:cs="Times New Roman"/>
          <w:lang w:val="ro-RO"/>
        </w:rPr>
        <w:t>L - litru</w:t>
      </w:r>
    </w:p>
    <w:p w14:paraId="2ABBF7C5" w14:textId="77777777" w:rsidR="00FD7C34" w:rsidRPr="00074D16" w:rsidRDefault="00FD7C34" w:rsidP="00FD7C34">
      <w:pPr>
        <w:rPr>
          <w:rFonts w:eastAsia="Times New Roman" w:cs="Times New Roman"/>
          <w:lang w:val="ro-RO"/>
        </w:rPr>
      </w:pPr>
      <w:r w:rsidRPr="00074D16">
        <w:rPr>
          <w:rFonts w:eastAsia="Times New Roman" w:cs="Times New Roman"/>
          <w:lang w:val="ro-RO"/>
        </w:rPr>
        <w:t>LDPE – Polietilenă de joasă densitate</w:t>
      </w:r>
    </w:p>
    <w:p w14:paraId="7FB77042" w14:textId="77777777" w:rsidR="00074D16" w:rsidRPr="00074D16" w:rsidRDefault="00074D16" w:rsidP="00074D16">
      <w:pPr>
        <w:rPr>
          <w:rFonts w:eastAsia="Times New Roman" w:cs="Times New Roman"/>
          <w:lang w:val="ro-RO"/>
        </w:rPr>
      </w:pPr>
      <w:r w:rsidRPr="00074D16">
        <w:rPr>
          <w:rFonts w:eastAsia="Times New Roman" w:cs="Times New Roman"/>
          <w:lang w:val="ro-RO"/>
        </w:rPr>
        <w:t>LMI – Lista monumentelor istorice</w:t>
      </w:r>
    </w:p>
    <w:p w14:paraId="3B5A8B30" w14:textId="77777777" w:rsidR="00074D16" w:rsidRPr="00074D16" w:rsidRDefault="00074D16" w:rsidP="00074D16">
      <w:pPr>
        <w:rPr>
          <w:rFonts w:eastAsia="Times New Roman" w:cs="Times New Roman"/>
          <w:lang w:val="ro-RO"/>
        </w:rPr>
      </w:pPr>
      <w:r w:rsidRPr="00074D16">
        <w:rPr>
          <w:rFonts w:eastAsia="Times New Roman" w:cs="Times New Roman"/>
          <w:lang w:val="ro-RO"/>
        </w:rPr>
        <w:t>LNG - Liquefied natural gas (gaz natural lichefiat)</w:t>
      </w:r>
    </w:p>
    <w:p w14:paraId="1B9A89FB" w14:textId="77777777" w:rsidR="00074D16" w:rsidRPr="00074D16" w:rsidRDefault="00074D16" w:rsidP="00074D16">
      <w:pPr>
        <w:rPr>
          <w:rFonts w:eastAsia="Times New Roman" w:cs="Times New Roman"/>
          <w:lang w:val="ro-RO"/>
        </w:rPr>
      </w:pPr>
      <w:r w:rsidRPr="00074D16">
        <w:rPr>
          <w:rFonts w:eastAsia="Times New Roman" w:cs="Times New Roman"/>
          <w:lang w:val="ro-RO"/>
        </w:rPr>
        <w:t>loc. – locuitori</w:t>
      </w:r>
    </w:p>
    <w:p w14:paraId="081D0282" w14:textId="25A007B0" w:rsidR="00FD7C34" w:rsidRDefault="00FD7C34" w:rsidP="00074D16">
      <w:pPr>
        <w:rPr>
          <w:rFonts w:eastAsia="Times New Roman" w:cs="Times New Roman"/>
          <w:lang w:val="ro-RO"/>
        </w:rPr>
      </w:pPr>
      <w:r>
        <w:rPr>
          <w:rFonts w:eastAsia="Times New Roman" w:cs="Times New Roman"/>
          <w:lang w:val="ro-RO"/>
        </w:rPr>
        <w:t xml:space="preserve">LPG - </w:t>
      </w:r>
      <w:r w:rsidRPr="00FD7C34">
        <w:rPr>
          <w:rFonts w:eastAsia="Times New Roman" w:cs="Times New Roman"/>
          <w:lang w:val="ro-RO"/>
        </w:rPr>
        <w:t>Gaz petrolier lichefiat</w:t>
      </w:r>
    </w:p>
    <w:p w14:paraId="6F20E20E" w14:textId="77777777" w:rsidR="00074D16" w:rsidRPr="00074D16" w:rsidRDefault="00074D16" w:rsidP="00074D16">
      <w:pPr>
        <w:rPr>
          <w:rFonts w:eastAsia="Times New Roman" w:cs="Times New Roman"/>
          <w:lang w:val="ro-RO"/>
        </w:rPr>
      </w:pPr>
      <w:r w:rsidRPr="00074D16">
        <w:rPr>
          <w:rFonts w:eastAsia="Times New Roman" w:cs="Times New Roman"/>
          <w:lang w:val="ro-RO"/>
        </w:rPr>
        <w:t xml:space="preserve">MADR - Ministerul Agriculturii şi Dezvoltării Rurale </w:t>
      </w:r>
    </w:p>
    <w:p w14:paraId="5B8D262D" w14:textId="77777777" w:rsidR="00074D16" w:rsidRPr="00074D16" w:rsidRDefault="00074D16" w:rsidP="00074D16">
      <w:pPr>
        <w:rPr>
          <w:rFonts w:eastAsia="Times New Roman" w:cs="Times New Roman"/>
          <w:lang w:val="ro-RO"/>
        </w:rPr>
      </w:pPr>
      <w:r w:rsidRPr="00074D16">
        <w:rPr>
          <w:rFonts w:eastAsia="Times New Roman" w:cs="Times New Roman"/>
          <w:lang w:val="ro-RO"/>
        </w:rPr>
        <w:t>MAE – Ministerul Afacerilor Externe</w:t>
      </w:r>
    </w:p>
    <w:p w14:paraId="50FE6630" w14:textId="77777777" w:rsidR="00074D16" w:rsidRPr="00074D16" w:rsidRDefault="00074D16" w:rsidP="00074D16">
      <w:pPr>
        <w:rPr>
          <w:rFonts w:eastAsia="Times New Roman" w:cs="Times New Roman"/>
          <w:lang w:val="ro-RO"/>
        </w:rPr>
      </w:pPr>
      <w:r w:rsidRPr="00074D16">
        <w:rPr>
          <w:rFonts w:eastAsia="Times New Roman" w:cs="Times New Roman"/>
          <w:lang w:val="ro-RO"/>
        </w:rPr>
        <w:lastRenderedPageBreak/>
        <w:t>MAI – Ministerul Afacerilor Interne</w:t>
      </w:r>
    </w:p>
    <w:p w14:paraId="4AA3111C" w14:textId="77777777" w:rsidR="00074D16" w:rsidRPr="00074D16" w:rsidRDefault="00074D16" w:rsidP="00074D16">
      <w:pPr>
        <w:rPr>
          <w:rFonts w:eastAsia="Times New Roman" w:cs="Times New Roman"/>
          <w:lang w:val="ro-RO"/>
        </w:rPr>
      </w:pPr>
      <w:r w:rsidRPr="00074D16">
        <w:rPr>
          <w:rFonts w:eastAsia="Times New Roman" w:cs="Times New Roman"/>
          <w:lang w:val="ro-RO"/>
        </w:rPr>
        <w:t>MAP – Mediterranean Action Plan</w:t>
      </w:r>
    </w:p>
    <w:p w14:paraId="6CD4388F" w14:textId="77777777" w:rsidR="00074D16" w:rsidRPr="00074D16" w:rsidRDefault="00074D16" w:rsidP="00074D16">
      <w:pPr>
        <w:rPr>
          <w:rFonts w:eastAsia="Times New Roman" w:cs="Times New Roman"/>
          <w:lang w:val="ro-RO"/>
        </w:rPr>
      </w:pPr>
      <w:r w:rsidRPr="00074D16">
        <w:rPr>
          <w:rFonts w:eastAsia="Times New Roman" w:cs="Times New Roman"/>
          <w:lang w:val="ro-RO"/>
        </w:rPr>
        <w:t>MApN – Ministerul Apărării Naționale</w:t>
      </w:r>
    </w:p>
    <w:p w14:paraId="248ABA8A" w14:textId="77777777" w:rsidR="00074D16" w:rsidRDefault="00074D16" w:rsidP="00074D16">
      <w:pPr>
        <w:rPr>
          <w:rFonts w:eastAsia="Times New Roman" w:cs="Times New Roman"/>
          <w:lang w:val="ro-RO"/>
        </w:rPr>
      </w:pPr>
      <w:r w:rsidRPr="00074D16">
        <w:rPr>
          <w:rFonts w:eastAsia="Times New Roman" w:cs="Times New Roman"/>
          <w:lang w:val="ro-RO"/>
        </w:rPr>
        <w:t>MC – Ministerul Culturii</w:t>
      </w:r>
    </w:p>
    <w:p w14:paraId="0753BAAA" w14:textId="7572736C" w:rsidR="00FD7C34" w:rsidRPr="00074D16" w:rsidRDefault="00FD7C34" w:rsidP="00074D16">
      <w:pPr>
        <w:rPr>
          <w:rFonts w:eastAsia="Times New Roman" w:cs="Times New Roman"/>
          <w:lang w:val="ro-RO"/>
        </w:rPr>
      </w:pPr>
      <w:r>
        <w:rPr>
          <w:rFonts w:eastAsia="Times New Roman" w:cs="Times New Roman"/>
          <w:lang w:val="ro-RO"/>
        </w:rPr>
        <w:t>mc. – metru cub</w:t>
      </w:r>
    </w:p>
    <w:p w14:paraId="79230BE2" w14:textId="77777777" w:rsidR="00074D16" w:rsidRPr="00074D16" w:rsidRDefault="00074D16" w:rsidP="00074D16">
      <w:pPr>
        <w:rPr>
          <w:rFonts w:eastAsia="Times New Roman" w:cs="Times New Roman"/>
          <w:lang w:val="ro-RO"/>
        </w:rPr>
      </w:pPr>
      <w:r w:rsidRPr="00074D16">
        <w:rPr>
          <w:rFonts w:eastAsia="Times New Roman" w:cs="Times New Roman"/>
          <w:lang w:val="ro-RO"/>
        </w:rPr>
        <w:t>MCDI – Ministerul Cercetării, Digitalizării și Inovării</w:t>
      </w:r>
    </w:p>
    <w:p w14:paraId="508BCF71" w14:textId="77777777" w:rsidR="00074D16" w:rsidRPr="00074D16" w:rsidRDefault="00074D16" w:rsidP="00074D16">
      <w:pPr>
        <w:rPr>
          <w:rFonts w:eastAsia="Times New Roman" w:cs="Times New Roman"/>
          <w:lang w:val="ro-RO"/>
        </w:rPr>
      </w:pPr>
      <w:r w:rsidRPr="00074D16">
        <w:rPr>
          <w:rFonts w:eastAsia="Times New Roman" w:cs="Times New Roman"/>
          <w:lang w:val="ro-RO"/>
        </w:rPr>
        <w:t>MDLPA – Ministerul Dezvoltării, Lucrărilor Publice și Administrației</w:t>
      </w:r>
    </w:p>
    <w:p w14:paraId="1EA20316" w14:textId="77777777" w:rsidR="00074D16" w:rsidRPr="00074D16" w:rsidRDefault="00074D16" w:rsidP="00074D16">
      <w:pPr>
        <w:rPr>
          <w:rFonts w:eastAsia="Times New Roman" w:cs="Times New Roman"/>
          <w:lang w:val="ro-RO"/>
        </w:rPr>
      </w:pPr>
      <w:r w:rsidRPr="00074D16">
        <w:rPr>
          <w:rFonts w:eastAsia="Times New Roman" w:cs="Times New Roman"/>
          <w:lang w:val="ro-RO"/>
        </w:rPr>
        <w:t>ME – Ministerul Educației</w:t>
      </w:r>
    </w:p>
    <w:p w14:paraId="485D1F16" w14:textId="77777777" w:rsidR="00074D16" w:rsidRDefault="00074D16" w:rsidP="00074D16">
      <w:pPr>
        <w:rPr>
          <w:rFonts w:eastAsia="Times New Roman" w:cs="Times New Roman"/>
          <w:lang w:val="ro-RO"/>
        </w:rPr>
      </w:pPr>
      <w:r w:rsidRPr="00074D16">
        <w:rPr>
          <w:rFonts w:eastAsia="Times New Roman" w:cs="Times New Roman"/>
          <w:lang w:val="ro-RO"/>
        </w:rPr>
        <w:t>MEAT – Ministerul Economiei, Antreprenoriatului și Turismului</w:t>
      </w:r>
    </w:p>
    <w:p w14:paraId="42C2DCBD" w14:textId="09AF3394" w:rsidR="00FD7C34" w:rsidRPr="00074D16" w:rsidRDefault="00FD7C34" w:rsidP="00074D16">
      <w:pPr>
        <w:rPr>
          <w:rFonts w:eastAsia="Times New Roman" w:cs="Times New Roman"/>
          <w:lang w:val="ro-RO"/>
        </w:rPr>
      </w:pPr>
      <w:r>
        <w:rPr>
          <w:rFonts w:eastAsia="Times New Roman" w:cs="Times New Roman"/>
          <w:lang w:val="ro-RO"/>
        </w:rPr>
        <w:t>mg. - miligram</w:t>
      </w:r>
    </w:p>
    <w:p w14:paraId="102E0C55" w14:textId="77777777" w:rsidR="00FD7C34" w:rsidRPr="00074D16" w:rsidRDefault="00FD7C34" w:rsidP="00FD7C34">
      <w:pPr>
        <w:rPr>
          <w:rFonts w:eastAsia="Times New Roman" w:cs="Times New Roman"/>
          <w:lang w:val="ro-RO"/>
        </w:rPr>
      </w:pPr>
      <w:r w:rsidRPr="00074D16">
        <w:rPr>
          <w:rFonts w:eastAsia="Times New Roman" w:cs="Times New Roman"/>
          <w:lang w:val="ro-RO"/>
        </w:rPr>
        <w:t>mil. - milioane</w:t>
      </w:r>
    </w:p>
    <w:p w14:paraId="377E5C65" w14:textId="77777777" w:rsidR="00074D16" w:rsidRPr="00074D16" w:rsidRDefault="00074D16" w:rsidP="00074D16">
      <w:pPr>
        <w:rPr>
          <w:rFonts w:eastAsia="Times New Roman" w:cs="Times New Roman"/>
          <w:lang w:val="ro-RO"/>
        </w:rPr>
      </w:pPr>
      <w:r w:rsidRPr="00074D16">
        <w:rPr>
          <w:rFonts w:eastAsia="Times New Roman" w:cs="Times New Roman"/>
          <w:lang w:val="ro-RO"/>
        </w:rPr>
        <w:t>MINAC – Muzeul de istorie Națională și Arheologie Constanța</w:t>
      </w:r>
    </w:p>
    <w:p w14:paraId="05AB5A86" w14:textId="77777777" w:rsidR="00074D16" w:rsidRPr="00074D16" w:rsidRDefault="00074D16" w:rsidP="00074D16">
      <w:pPr>
        <w:rPr>
          <w:rFonts w:eastAsia="Times New Roman" w:cs="Times New Roman"/>
          <w:lang w:val="ro-RO"/>
        </w:rPr>
      </w:pPr>
      <w:r w:rsidRPr="00074D16">
        <w:rPr>
          <w:rFonts w:eastAsia="Times New Roman" w:cs="Times New Roman"/>
          <w:lang w:val="ro-RO"/>
        </w:rPr>
        <w:t>MIZC – Managementul Integrat al Zonei Costiere</w:t>
      </w:r>
    </w:p>
    <w:p w14:paraId="6D9EAE19" w14:textId="77777777" w:rsidR="00074D16" w:rsidRPr="00074D16" w:rsidRDefault="00074D16" w:rsidP="00074D16">
      <w:pPr>
        <w:rPr>
          <w:rFonts w:eastAsia="Times New Roman" w:cs="Times New Roman"/>
          <w:lang w:val="ro-RO"/>
        </w:rPr>
      </w:pPr>
      <w:r w:rsidRPr="00074D16">
        <w:rPr>
          <w:rFonts w:eastAsia="Times New Roman" w:cs="Times New Roman"/>
          <w:lang w:val="ro-RO"/>
        </w:rPr>
        <w:t>mld. - miliarde</w:t>
      </w:r>
    </w:p>
    <w:p w14:paraId="7B89F056" w14:textId="77777777" w:rsidR="00074D16" w:rsidRDefault="00074D16" w:rsidP="00074D16">
      <w:pPr>
        <w:rPr>
          <w:rFonts w:eastAsia="Times New Roman" w:cs="Times New Roman"/>
          <w:lang w:val="ro-RO"/>
        </w:rPr>
      </w:pPr>
      <w:r w:rsidRPr="00074D16">
        <w:rPr>
          <w:rFonts w:eastAsia="Times New Roman" w:cs="Times New Roman"/>
          <w:lang w:val="ro-RO"/>
        </w:rPr>
        <w:t>Mm. – mile marine</w:t>
      </w:r>
    </w:p>
    <w:p w14:paraId="519BD233" w14:textId="5A20C131" w:rsidR="00FD7C34" w:rsidRPr="00074D16" w:rsidRDefault="00FD7C34" w:rsidP="00074D16">
      <w:pPr>
        <w:rPr>
          <w:rFonts w:eastAsia="Times New Roman" w:cs="Times New Roman"/>
          <w:lang w:val="ro-RO"/>
        </w:rPr>
      </w:pPr>
      <w:r>
        <w:rPr>
          <w:rFonts w:eastAsia="Times New Roman" w:cs="Times New Roman"/>
          <w:lang w:val="ro-RO"/>
        </w:rPr>
        <w:t xml:space="preserve">mm. – milimetru </w:t>
      </w:r>
    </w:p>
    <w:p w14:paraId="75D60BCD" w14:textId="77777777" w:rsidR="00074D16" w:rsidRPr="00074D16" w:rsidRDefault="00074D16" w:rsidP="00074D16">
      <w:pPr>
        <w:rPr>
          <w:rFonts w:eastAsia="Times New Roman" w:cs="Times New Roman"/>
          <w:lang w:val="ro-RO"/>
        </w:rPr>
      </w:pPr>
      <w:r w:rsidRPr="00074D16">
        <w:rPr>
          <w:rFonts w:eastAsia="Times New Roman" w:cs="Times New Roman"/>
          <w:lang w:val="ro-RO"/>
        </w:rPr>
        <w:t>MMAP – Ministerul Mediului, Apelor și Pădurilor</w:t>
      </w:r>
    </w:p>
    <w:p w14:paraId="2F8F9B5A" w14:textId="77777777" w:rsidR="00074D16" w:rsidRPr="00074D16" w:rsidRDefault="00074D16" w:rsidP="00074D16">
      <w:pPr>
        <w:rPr>
          <w:rFonts w:eastAsia="Times New Roman" w:cs="Times New Roman"/>
          <w:lang w:val="ro-RO"/>
        </w:rPr>
      </w:pPr>
      <w:r w:rsidRPr="00074D16">
        <w:rPr>
          <w:rFonts w:eastAsia="Times New Roman" w:cs="Times New Roman"/>
          <w:lang w:val="ro-RO"/>
        </w:rPr>
        <w:t>M.O. - Monitorul Oficial al României</w:t>
      </w:r>
    </w:p>
    <w:p w14:paraId="3347AA7B" w14:textId="77777777" w:rsidR="00074D16" w:rsidRPr="00074D16" w:rsidRDefault="00074D16" w:rsidP="00074D16">
      <w:pPr>
        <w:rPr>
          <w:rFonts w:eastAsia="Times New Roman" w:cs="Times New Roman"/>
          <w:lang w:val="ro-RO"/>
        </w:rPr>
      </w:pPr>
      <w:r w:rsidRPr="00074D16">
        <w:rPr>
          <w:rFonts w:eastAsia="Times New Roman" w:cs="Times New Roman"/>
          <w:lang w:val="ro-RO"/>
        </w:rPr>
        <w:t>MS – Ministerul Sănătății</w:t>
      </w:r>
    </w:p>
    <w:p w14:paraId="700D7BD5" w14:textId="77777777" w:rsidR="00FD7C34" w:rsidRDefault="00074D16" w:rsidP="00074D16">
      <w:pPr>
        <w:rPr>
          <w:rFonts w:eastAsia="Times New Roman" w:cs="Times New Roman"/>
          <w:lang w:val="ro-RO"/>
        </w:rPr>
      </w:pPr>
      <w:r w:rsidRPr="00074D16">
        <w:rPr>
          <w:rFonts w:eastAsia="Times New Roman" w:cs="Times New Roman"/>
          <w:lang w:val="ro-RO"/>
        </w:rPr>
        <w:t>MT -</w:t>
      </w:r>
      <w:r w:rsidRPr="00074D16">
        <w:rPr>
          <w:lang w:val="ro-RO"/>
        </w:rPr>
        <w:t xml:space="preserve"> </w:t>
      </w:r>
      <w:r w:rsidRPr="00074D16">
        <w:rPr>
          <w:rFonts w:eastAsia="Times New Roman" w:cs="Times New Roman"/>
          <w:lang w:val="ro-RO"/>
        </w:rPr>
        <w:t>Ministerul Transporturilor</w:t>
      </w:r>
    </w:p>
    <w:p w14:paraId="1AA9F73A" w14:textId="48E125CB" w:rsidR="00074D16" w:rsidRPr="00074D16" w:rsidRDefault="00FD7C34" w:rsidP="00074D16">
      <w:pPr>
        <w:rPr>
          <w:rFonts w:eastAsia="Times New Roman" w:cs="Times New Roman"/>
          <w:lang w:val="ro-RO"/>
        </w:rPr>
      </w:pPr>
      <w:r>
        <w:rPr>
          <w:rFonts w:eastAsia="Times New Roman" w:cs="Times New Roman"/>
          <w:lang w:val="ro-RO"/>
        </w:rPr>
        <w:t xml:space="preserve">mun. – municipiu </w:t>
      </w:r>
      <w:r w:rsidR="00074D16" w:rsidRPr="00074D16">
        <w:rPr>
          <w:rFonts w:eastAsia="Times New Roman" w:cs="Times New Roman"/>
          <w:lang w:val="ro-RO"/>
        </w:rPr>
        <w:t xml:space="preserve"> </w:t>
      </w:r>
    </w:p>
    <w:p w14:paraId="723629E7" w14:textId="17417CD1" w:rsidR="00FD7C34" w:rsidRDefault="00FD7C34" w:rsidP="00FD7C34">
      <w:pPr>
        <w:rPr>
          <w:rFonts w:eastAsia="Times New Roman" w:cs="Times New Roman"/>
          <w:lang w:val="ro-RO"/>
        </w:rPr>
      </w:pPr>
      <w:r w:rsidRPr="00FD7C34">
        <w:rPr>
          <w:rFonts w:eastAsia="Times New Roman" w:cs="Times New Roman"/>
          <w:lang w:val="ro-RO"/>
        </w:rPr>
        <w:t>µg - microgram</w:t>
      </w:r>
    </w:p>
    <w:p w14:paraId="01F35B98" w14:textId="77777777" w:rsidR="00FD7C34" w:rsidRDefault="00FD7C34" w:rsidP="00FD7C34">
      <w:pPr>
        <w:rPr>
          <w:rFonts w:eastAsia="Times New Roman" w:cs="Times New Roman"/>
          <w:lang w:val="ro-RO"/>
        </w:rPr>
      </w:pPr>
      <w:r w:rsidRPr="00074D16">
        <w:rPr>
          <w:rFonts w:eastAsia="Times New Roman" w:cs="Times New Roman"/>
          <w:lang w:val="ro-RO"/>
        </w:rPr>
        <w:t xml:space="preserve">µg/g – microgram </w:t>
      </w:r>
      <w:r w:rsidRPr="00074D16">
        <w:rPr>
          <w:rFonts w:eastAsia="Times New Roman" w:cs="Times New Roman"/>
          <w:i/>
          <w:lang w:val="ro-RO"/>
        </w:rPr>
        <w:t>per</w:t>
      </w:r>
      <w:r w:rsidRPr="00074D16">
        <w:rPr>
          <w:rFonts w:eastAsia="Times New Roman" w:cs="Times New Roman"/>
          <w:lang w:val="ro-RO"/>
        </w:rPr>
        <w:t xml:space="preserve"> gram</w:t>
      </w:r>
    </w:p>
    <w:p w14:paraId="21105AA7" w14:textId="757C3E37" w:rsidR="00FD7C34" w:rsidRPr="00074D16" w:rsidRDefault="00FD7C34" w:rsidP="00FD7C34">
      <w:pPr>
        <w:rPr>
          <w:rFonts w:eastAsia="Times New Roman" w:cs="Times New Roman"/>
          <w:lang w:val="ro-RO"/>
        </w:rPr>
      </w:pPr>
      <w:r w:rsidRPr="00FD7C34">
        <w:rPr>
          <w:rFonts w:eastAsia="Times New Roman" w:cs="Times New Roman"/>
          <w:lang w:val="ro-RO"/>
        </w:rPr>
        <w:t>µM - micromol</w:t>
      </w:r>
    </w:p>
    <w:p w14:paraId="057E2CAA" w14:textId="77777777" w:rsidR="00074D16" w:rsidRDefault="00074D16" w:rsidP="00074D16">
      <w:pPr>
        <w:rPr>
          <w:rFonts w:eastAsia="Times New Roman" w:cs="Times New Roman"/>
          <w:lang w:val="ro-RO"/>
        </w:rPr>
      </w:pPr>
      <w:r w:rsidRPr="00074D16">
        <w:rPr>
          <w:rFonts w:eastAsia="Times New Roman" w:cs="Times New Roman"/>
          <w:lang w:val="ro-RO"/>
        </w:rPr>
        <w:t>N – Nitrogen (Azot)</w:t>
      </w:r>
    </w:p>
    <w:p w14:paraId="2D5E4642" w14:textId="30ABD422" w:rsidR="0033469D" w:rsidRDefault="0033469D" w:rsidP="00074D16">
      <w:pPr>
        <w:rPr>
          <w:rFonts w:eastAsia="Times New Roman" w:cs="Times New Roman"/>
          <w:lang w:val="ro-RO"/>
        </w:rPr>
      </w:pPr>
      <w:r w:rsidRPr="0033469D">
        <w:rPr>
          <w:rFonts w:eastAsia="Times New Roman" w:cs="Times New Roman"/>
          <w:lang w:val="ro-RO"/>
        </w:rPr>
        <w:t>NbS – Nature based solutions</w:t>
      </w:r>
    </w:p>
    <w:p w14:paraId="6F9D223E" w14:textId="77777777" w:rsidR="00FD7C34" w:rsidRDefault="00FD7C34" w:rsidP="00074D16">
      <w:pPr>
        <w:rPr>
          <w:rFonts w:eastAsia="Times New Roman" w:cs="Times New Roman"/>
          <w:lang w:val="ro-RO"/>
        </w:rPr>
      </w:pPr>
      <w:r>
        <w:rPr>
          <w:rFonts w:eastAsia="Times New Roman" w:cs="Times New Roman"/>
          <w:lang w:val="ro-RO"/>
        </w:rPr>
        <w:t>Ni – nichel</w:t>
      </w:r>
    </w:p>
    <w:p w14:paraId="346637CC" w14:textId="77777777" w:rsidR="00FD7C34" w:rsidRDefault="00FD7C34" w:rsidP="00FD7C34">
      <w:pPr>
        <w:ind w:firstLine="0"/>
        <w:rPr>
          <w:rFonts w:eastAsia="Times New Roman" w:cs="Times New Roman"/>
          <w:lang w:val="ro-RO"/>
        </w:rPr>
      </w:pPr>
    </w:p>
    <w:p w14:paraId="3A6BC203" w14:textId="14BD11F2" w:rsidR="00FD7C34" w:rsidRPr="00074D16" w:rsidRDefault="00FD7C34" w:rsidP="00FD7C34">
      <w:pPr>
        <w:ind w:left="567" w:firstLine="0"/>
        <w:rPr>
          <w:rFonts w:eastAsia="Times New Roman" w:cs="Times New Roman"/>
          <w:lang w:val="ro-RO"/>
        </w:rPr>
      </w:pPr>
      <w:r w:rsidRPr="00FD7C34">
        <w:rPr>
          <w:rFonts w:eastAsia="Times New Roman" w:cs="Times New Roman"/>
          <w:lang w:val="ro-RO"/>
        </w:rPr>
        <w:t>NMVOC – Non-methane volatile organic compound (Compuși organici volatili nemetanici)</w:t>
      </w:r>
    </w:p>
    <w:p w14:paraId="4BD80CD1" w14:textId="77777777" w:rsidR="00074D16" w:rsidRPr="00074D16" w:rsidRDefault="00074D16" w:rsidP="00074D16">
      <w:pPr>
        <w:rPr>
          <w:rFonts w:eastAsia="Times New Roman" w:cs="Times New Roman"/>
          <w:lang w:val="ro-RO"/>
        </w:rPr>
      </w:pPr>
      <w:r w:rsidRPr="00074D16">
        <w:rPr>
          <w:rFonts w:eastAsia="Times New Roman" w:cs="Times New Roman"/>
          <w:lang w:val="ro-RO"/>
        </w:rPr>
        <w:t>NO</w:t>
      </w:r>
      <w:r w:rsidRPr="00074D16">
        <w:rPr>
          <w:rFonts w:eastAsia="Times New Roman" w:cs="Times New Roman"/>
          <w:vertAlign w:val="subscript"/>
          <w:lang w:val="ro-RO"/>
        </w:rPr>
        <w:t>2</w:t>
      </w:r>
      <w:r w:rsidRPr="00074D16">
        <w:rPr>
          <w:rFonts w:eastAsia="Times New Roman" w:cs="Times New Roman"/>
          <w:lang w:val="ro-RO"/>
        </w:rPr>
        <w:t xml:space="preserve"> – dioxid de azot</w:t>
      </w:r>
    </w:p>
    <w:p w14:paraId="3A709D92" w14:textId="77777777" w:rsidR="00074D16" w:rsidRPr="00074D16" w:rsidRDefault="00074D16" w:rsidP="00074D16">
      <w:pPr>
        <w:rPr>
          <w:rFonts w:eastAsia="Times New Roman" w:cs="Times New Roman"/>
          <w:lang w:val="ro-RO"/>
        </w:rPr>
      </w:pPr>
      <w:r w:rsidRPr="00074D16">
        <w:rPr>
          <w:rFonts w:eastAsia="Times New Roman" w:cs="Times New Roman"/>
          <w:lang w:val="ro-RO"/>
        </w:rPr>
        <w:t>NO</w:t>
      </w:r>
      <w:r w:rsidRPr="00074D16">
        <w:rPr>
          <w:rFonts w:eastAsia="Times New Roman" w:cs="Times New Roman"/>
          <w:vertAlign w:val="subscript"/>
          <w:lang w:val="ro-RO"/>
        </w:rPr>
        <w:t xml:space="preserve">X </w:t>
      </w:r>
      <w:r w:rsidRPr="00074D16">
        <w:rPr>
          <w:rFonts w:eastAsia="Times New Roman" w:cs="Times New Roman"/>
          <w:lang w:val="ro-RO"/>
        </w:rPr>
        <w:t>- oxizi de azot</w:t>
      </w:r>
    </w:p>
    <w:p w14:paraId="0D59B63F" w14:textId="77777777" w:rsidR="00074D16" w:rsidRPr="00074D16" w:rsidRDefault="00074D16" w:rsidP="00074D16">
      <w:pPr>
        <w:rPr>
          <w:rFonts w:eastAsia="Times New Roman" w:cs="Times New Roman"/>
          <w:lang w:val="ro-RO"/>
        </w:rPr>
      </w:pPr>
      <w:r w:rsidRPr="00074D16">
        <w:rPr>
          <w:rFonts w:eastAsia="Times New Roman" w:cs="Times New Roman"/>
          <w:lang w:val="ro-RO"/>
        </w:rPr>
        <w:lastRenderedPageBreak/>
        <w:t>NOAA – National Ocean and Atmospheric Administration</w:t>
      </w:r>
    </w:p>
    <w:p w14:paraId="41F4607A" w14:textId="77777777" w:rsidR="0033469D" w:rsidRPr="00074D16" w:rsidRDefault="0033469D" w:rsidP="0033469D">
      <w:pPr>
        <w:rPr>
          <w:rFonts w:eastAsia="Times New Roman" w:cs="Times New Roman"/>
          <w:lang w:val="ro-RO"/>
        </w:rPr>
      </w:pPr>
      <w:r w:rsidRPr="00074D16">
        <w:rPr>
          <w:rFonts w:eastAsia="Times New Roman" w:cs="Times New Roman"/>
          <w:lang w:val="ro-RO"/>
        </w:rPr>
        <w:t>nr. – număr</w:t>
      </w:r>
    </w:p>
    <w:p w14:paraId="45B137F3" w14:textId="77777777" w:rsidR="00074D16" w:rsidRPr="00074D16" w:rsidRDefault="00074D16" w:rsidP="00074D16">
      <w:pPr>
        <w:rPr>
          <w:rFonts w:eastAsia="Times New Roman" w:cs="Times New Roman"/>
          <w:lang w:val="ro-RO"/>
        </w:rPr>
      </w:pPr>
      <w:r w:rsidRPr="00074D16">
        <w:rPr>
          <w:rFonts w:eastAsia="Times New Roman" w:cs="Times New Roman"/>
          <w:lang w:val="ro-RO"/>
        </w:rPr>
        <w:t>O. – Obiectiv general</w:t>
      </w:r>
    </w:p>
    <w:p w14:paraId="3ABC2D6F" w14:textId="77777777" w:rsidR="00074D16" w:rsidRPr="00074D16" w:rsidRDefault="00074D16" w:rsidP="00074D16">
      <w:pPr>
        <w:rPr>
          <w:rFonts w:eastAsia="Times New Roman" w:cs="Times New Roman"/>
          <w:lang w:val="ro-RO"/>
        </w:rPr>
      </w:pPr>
      <w:r w:rsidRPr="00074D16">
        <w:rPr>
          <w:rFonts w:eastAsia="Times New Roman" w:cs="Times New Roman"/>
          <w:lang w:val="ro-RO"/>
        </w:rPr>
        <w:t>Os. – Obiectiv specific</w:t>
      </w:r>
    </w:p>
    <w:p w14:paraId="6027D217" w14:textId="77777777" w:rsidR="00074D16" w:rsidRPr="00074D16" w:rsidRDefault="00074D16" w:rsidP="00074D16">
      <w:pPr>
        <w:rPr>
          <w:rFonts w:eastAsia="Times New Roman" w:cs="Times New Roman"/>
          <w:lang w:val="ro-RO"/>
        </w:rPr>
      </w:pPr>
      <w:r w:rsidRPr="00074D16">
        <w:rPr>
          <w:rFonts w:eastAsia="Times New Roman" w:cs="Times New Roman"/>
          <w:lang w:val="ro-RO"/>
        </w:rPr>
        <w:t>ODD – Obiectiv de dezvoltare durabilă</w:t>
      </w:r>
    </w:p>
    <w:p w14:paraId="72B3A33B" w14:textId="77777777" w:rsidR="00074D16" w:rsidRDefault="00074D16" w:rsidP="00074D16">
      <w:pPr>
        <w:rPr>
          <w:rFonts w:eastAsia="Times New Roman" w:cs="Times New Roman"/>
          <w:lang w:val="ro-RO"/>
        </w:rPr>
      </w:pPr>
      <w:r w:rsidRPr="00074D16">
        <w:rPr>
          <w:rFonts w:eastAsia="Times New Roman" w:cs="Times New Roman"/>
          <w:lang w:val="ro-RO"/>
        </w:rPr>
        <w:t>OECD – Organisation for Economic Co-operation and Development</w:t>
      </w:r>
    </w:p>
    <w:p w14:paraId="5725FAD1" w14:textId="44F7060D" w:rsidR="0033469D" w:rsidRPr="00074D16" w:rsidRDefault="0033469D" w:rsidP="00074D16">
      <w:pPr>
        <w:rPr>
          <w:rFonts w:eastAsia="Times New Roman" w:cs="Times New Roman"/>
          <w:lang w:val="ro-RO"/>
        </w:rPr>
      </w:pPr>
      <w:r>
        <w:rPr>
          <w:rFonts w:eastAsia="Times New Roman" w:cs="Times New Roman"/>
          <w:lang w:val="ro-RO"/>
        </w:rPr>
        <w:t>O.M – Ordin de ministru</w:t>
      </w:r>
    </w:p>
    <w:p w14:paraId="7089F755" w14:textId="77777777" w:rsidR="00074D16" w:rsidRPr="00074D16" w:rsidRDefault="00074D16" w:rsidP="00074D16">
      <w:pPr>
        <w:rPr>
          <w:rFonts w:eastAsia="Times New Roman" w:cs="Times New Roman"/>
          <w:lang w:val="ro-RO"/>
        </w:rPr>
      </w:pPr>
      <w:r w:rsidRPr="00074D16">
        <w:rPr>
          <w:rFonts w:eastAsia="Times New Roman" w:cs="Times New Roman"/>
          <w:lang w:val="ro-RO"/>
        </w:rPr>
        <w:t>ONG – Organizație non guvernamentală</w:t>
      </w:r>
    </w:p>
    <w:p w14:paraId="77E25D1B" w14:textId="77777777" w:rsidR="00074D16" w:rsidRPr="00074D16" w:rsidRDefault="00074D16" w:rsidP="00074D16">
      <w:pPr>
        <w:rPr>
          <w:rFonts w:eastAsia="Times New Roman" w:cs="Times New Roman"/>
          <w:lang w:val="ro-RO"/>
        </w:rPr>
      </w:pPr>
      <w:r w:rsidRPr="00074D16">
        <w:rPr>
          <w:rFonts w:eastAsia="Times New Roman" w:cs="Times New Roman"/>
          <w:lang w:val="ro-RO"/>
        </w:rPr>
        <w:t>OUG – Ordonanță de urgență a guvernului</w:t>
      </w:r>
    </w:p>
    <w:p w14:paraId="421ABDEF" w14:textId="77777777" w:rsidR="00074D16" w:rsidRPr="00074D16" w:rsidRDefault="00074D16" w:rsidP="00074D16">
      <w:pPr>
        <w:rPr>
          <w:rFonts w:eastAsia="Times New Roman" w:cs="Times New Roman"/>
          <w:lang w:val="ro-RO"/>
        </w:rPr>
      </w:pPr>
      <w:r w:rsidRPr="00074D16">
        <w:rPr>
          <w:rFonts w:eastAsia="Times New Roman" w:cs="Times New Roman"/>
          <w:lang w:val="ro-RO"/>
        </w:rPr>
        <w:t>P – Phosphorus (P)</w:t>
      </w:r>
    </w:p>
    <w:p w14:paraId="16F54DAC" w14:textId="77777777" w:rsidR="00074D16" w:rsidRPr="00074D16" w:rsidRDefault="00074D16" w:rsidP="00074D16">
      <w:pPr>
        <w:rPr>
          <w:rFonts w:eastAsia="Times New Roman" w:cs="Times New Roman"/>
          <w:lang w:val="ro-RO"/>
        </w:rPr>
      </w:pPr>
      <w:r w:rsidRPr="00074D16">
        <w:rPr>
          <w:rFonts w:eastAsia="Times New Roman" w:cs="Times New Roman"/>
          <w:lang w:val="ro-RO"/>
        </w:rPr>
        <w:t>PAC – Politica Agricolă Comună</w:t>
      </w:r>
    </w:p>
    <w:p w14:paraId="5BB17CC6" w14:textId="77777777" w:rsidR="00074D16" w:rsidRPr="00074D16" w:rsidRDefault="00074D16" w:rsidP="00074D16">
      <w:pPr>
        <w:rPr>
          <w:rFonts w:eastAsia="Times New Roman" w:cs="Times New Roman"/>
          <w:lang w:val="ro-RO"/>
        </w:rPr>
      </w:pPr>
      <w:r w:rsidRPr="00074D16">
        <w:rPr>
          <w:rFonts w:eastAsia="Times New Roman" w:cs="Times New Roman"/>
          <w:lang w:val="ro-RO"/>
        </w:rPr>
        <w:t>PAP – Programul de Pescuit și Acvacultură</w:t>
      </w:r>
    </w:p>
    <w:p w14:paraId="430CA819" w14:textId="77777777" w:rsidR="00074D16" w:rsidRPr="00074D16" w:rsidRDefault="00074D16" w:rsidP="00074D16">
      <w:pPr>
        <w:rPr>
          <w:rFonts w:eastAsia="Times New Roman" w:cs="Times New Roman"/>
          <w:lang w:val="ro-RO"/>
        </w:rPr>
      </w:pPr>
      <w:r w:rsidRPr="00074D16">
        <w:rPr>
          <w:rFonts w:eastAsia="Times New Roman" w:cs="Times New Roman"/>
          <w:lang w:val="ro-RO"/>
        </w:rPr>
        <w:t>PASM – Plan de Amenajare a Spațiului Maritim</w:t>
      </w:r>
    </w:p>
    <w:p w14:paraId="57999DB3" w14:textId="77777777" w:rsidR="00074D16" w:rsidRPr="00074D16" w:rsidRDefault="00074D16" w:rsidP="00074D16">
      <w:pPr>
        <w:rPr>
          <w:rFonts w:eastAsia="Times New Roman" w:cs="Times New Roman"/>
          <w:lang w:val="ro-RO"/>
        </w:rPr>
      </w:pPr>
      <w:r w:rsidRPr="00074D16">
        <w:rPr>
          <w:rFonts w:eastAsia="Times New Roman" w:cs="Times New Roman"/>
          <w:lang w:val="ro-RO"/>
        </w:rPr>
        <w:t>PAT - Programul de Asistență Tehnică</w:t>
      </w:r>
    </w:p>
    <w:p w14:paraId="3B43B4F8" w14:textId="77777777" w:rsidR="00074D16" w:rsidRPr="00074D16" w:rsidRDefault="00074D16" w:rsidP="00074D16">
      <w:pPr>
        <w:rPr>
          <w:rFonts w:eastAsia="Times New Roman" w:cs="Times New Roman"/>
          <w:lang w:val="ro-RO"/>
        </w:rPr>
      </w:pPr>
      <w:r w:rsidRPr="00074D16">
        <w:rPr>
          <w:rFonts w:eastAsia="Times New Roman" w:cs="Times New Roman"/>
          <w:lang w:val="ro-RO"/>
        </w:rPr>
        <w:t>PATN – Planul de Amenajare a Teritoriului Național</w:t>
      </w:r>
    </w:p>
    <w:p w14:paraId="2F8258E0" w14:textId="77777777" w:rsidR="00074D16" w:rsidRDefault="00074D16" w:rsidP="00074D16">
      <w:pPr>
        <w:rPr>
          <w:rFonts w:eastAsia="Times New Roman" w:cs="Times New Roman"/>
          <w:lang w:val="ro-RO"/>
        </w:rPr>
      </w:pPr>
      <w:r w:rsidRPr="00074D16">
        <w:rPr>
          <w:rFonts w:eastAsia="Times New Roman" w:cs="Times New Roman"/>
          <w:lang w:val="ro-RO"/>
        </w:rPr>
        <w:t>PATZ – Plan de Amenajare a Teritoriului Zonal</w:t>
      </w:r>
    </w:p>
    <w:p w14:paraId="53AFFD2F" w14:textId="5723D20B" w:rsidR="0033469D" w:rsidRDefault="0033469D" w:rsidP="00074D16">
      <w:pPr>
        <w:rPr>
          <w:rFonts w:eastAsia="Times New Roman" w:cs="Times New Roman"/>
          <w:lang w:val="ro-RO"/>
        </w:rPr>
      </w:pPr>
      <w:r>
        <w:rPr>
          <w:rFonts w:eastAsia="Times New Roman" w:cs="Times New Roman"/>
          <w:lang w:val="ro-RO"/>
        </w:rPr>
        <w:t>Pb – plumb</w:t>
      </w:r>
    </w:p>
    <w:p w14:paraId="4C0D121C" w14:textId="33FA26A1" w:rsidR="0033469D" w:rsidRPr="00074D16" w:rsidRDefault="0033469D" w:rsidP="00074D16">
      <w:pPr>
        <w:rPr>
          <w:rFonts w:eastAsia="Times New Roman" w:cs="Times New Roman"/>
          <w:lang w:val="ro-RO"/>
        </w:rPr>
      </w:pPr>
      <w:r>
        <w:rPr>
          <w:rFonts w:eastAsia="Times New Roman" w:cs="Times New Roman"/>
          <w:lang w:val="ro-RO"/>
        </w:rPr>
        <w:t xml:space="preserve">PCB - </w:t>
      </w:r>
      <w:r w:rsidRPr="0033469D">
        <w:rPr>
          <w:rFonts w:eastAsia="Times New Roman" w:cs="Times New Roman"/>
          <w:lang w:val="ro-RO"/>
        </w:rPr>
        <w:t>Bifenili policlorurați</w:t>
      </w:r>
    </w:p>
    <w:p w14:paraId="3698477E" w14:textId="77777777" w:rsidR="00074D16" w:rsidRDefault="00074D16" w:rsidP="00074D16">
      <w:pPr>
        <w:rPr>
          <w:rFonts w:eastAsia="Times New Roman" w:cs="Times New Roman"/>
          <w:lang w:val="ro-RO"/>
        </w:rPr>
      </w:pPr>
      <w:r w:rsidRPr="00074D16">
        <w:rPr>
          <w:rFonts w:eastAsia="Times New Roman" w:cs="Times New Roman"/>
          <w:lang w:val="ro-RO"/>
        </w:rPr>
        <w:t>PCP – Politica Comună în domeniul Pescuitului</w:t>
      </w:r>
    </w:p>
    <w:p w14:paraId="4CD207E9" w14:textId="5A234055" w:rsidR="0033469D" w:rsidRPr="00074D16" w:rsidRDefault="0033469D" w:rsidP="00074D16">
      <w:pPr>
        <w:rPr>
          <w:rFonts w:eastAsia="Times New Roman" w:cs="Times New Roman"/>
          <w:lang w:val="ro-RO"/>
        </w:rPr>
      </w:pPr>
      <w:r w:rsidRPr="0033469D">
        <w:rPr>
          <w:rFonts w:eastAsia="Times New Roman" w:cs="Times New Roman"/>
          <w:lang w:val="ro-RO"/>
        </w:rPr>
        <w:t>p.e. – person equivalent</w:t>
      </w:r>
    </w:p>
    <w:p w14:paraId="0AFB7682" w14:textId="77777777" w:rsidR="00074D16" w:rsidRDefault="00074D16" w:rsidP="00074D16">
      <w:pPr>
        <w:rPr>
          <w:rFonts w:eastAsia="Times New Roman" w:cs="Times New Roman"/>
          <w:lang w:val="ro-RO"/>
        </w:rPr>
      </w:pPr>
      <w:r w:rsidRPr="00074D16">
        <w:rPr>
          <w:rFonts w:eastAsia="Times New Roman" w:cs="Times New Roman"/>
          <w:lang w:val="ro-RO"/>
        </w:rPr>
        <w:t>PJDG - Plan Județean de Gestionare a Deșeurilor</w:t>
      </w:r>
    </w:p>
    <w:p w14:paraId="4EEC7CC0" w14:textId="6BECA756" w:rsidR="0033469D" w:rsidRDefault="0033469D" w:rsidP="00074D16">
      <w:pPr>
        <w:rPr>
          <w:rFonts w:eastAsia="Times New Roman" w:cs="Times New Roman"/>
          <w:lang w:val="ro-RO"/>
        </w:rPr>
      </w:pPr>
      <w:r w:rsidRPr="0033469D">
        <w:rPr>
          <w:rFonts w:eastAsia="Times New Roman" w:cs="Times New Roman"/>
          <w:lang w:val="ro-RO"/>
        </w:rPr>
        <w:t>PLI - Pollution Load Index</w:t>
      </w:r>
    </w:p>
    <w:p w14:paraId="57AAC4A9" w14:textId="5869D17C" w:rsidR="0033469D" w:rsidRPr="00074D16" w:rsidRDefault="0033469D" w:rsidP="00074D16">
      <w:pPr>
        <w:rPr>
          <w:rFonts w:eastAsia="Times New Roman" w:cs="Times New Roman"/>
          <w:lang w:val="ro-RO"/>
        </w:rPr>
      </w:pPr>
      <w:r w:rsidRPr="0033469D">
        <w:rPr>
          <w:rFonts w:eastAsia="Times New Roman" w:cs="Times New Roman"/>
          <w:lang w:val="ro-RO"/>
        </w:rPr>
        <w:t>PM – Particle matter (Particule în suspensie)</w:t>
      </w:r>
    </w:p>
    <w:p w14:paraId="6BFE0282" w14:textId="77777777" w:rsidR="00074D16" w:rsidRPr="00074D16" w:rsidRDefault="00074D16" w:rsidP="00074D16">
      <w:pPr>
        <w:rPr>
          <w:rFonts w:eastAsia="Times New Roman" w:cs="Times New Roman"/>
          <w:lang w:val="ro-RO"/>
        </w:rPr>
      </w:pPr>
      <w:r w:rsidRPr="00074D16">
        <w:rPr>
          <w:rFonts w:eastAsia="Times New Roman" w:cs="Times New Roman"/>
          <w:lang w:val="ro-RO"/>
        </w:rPr>
        <w:t>PNCDI - Planul Național de Cercetare, Dezvoltare și Inovare</w:t>
      </w:r>
    </w:p>
    <w:p w14:paraId="0AB338A8" w14:textId="77777777" w:rsidR="00074D16" w:rsidRPr="00074D16" w:rsidRDefault="00074D16" w:rsidP="00074D16">
      <w:pPr>
        <w:rPr>
          <w:rFonts w:eastAsia="Times New Roman" w:cs="Times New Roman"/>
          <w:lang w:val="ro-RO"/>
        </w:rPr>
      </w:pPr>
      <w:r w:rsidRPr="00074D16">
        <w:rPr>
          <w:rFonts w:eastAsia="Times New Roman" w:cs="Times New Roman"/>
          <w:lang w:val="ro-RO"/>
        </w:rPr>
        <w:t>PNIESC – Planul Național Integrat în domeniul Energiei și Schimbărilor Climatice</w:t>
      </w:r>
    </w:p>
    <w:p w14:paraId="18912939" w14:textId="77777777" w:rsidR="00074D16" w:rsidRDefault="00074D16" w:rsidP="00074D16">
      <w:pPr>
        <w:rPr>
          <w:rFonts w:eastAsia="Times New Roman" w:cs="Times New Roman"/>
          <w:lang w:val="ro-RO"/>
        </w:rPr>
      </w:pPr>
      <w:r w:rsidRPr="00074D16">
        <w:rPr>
          <w:rFonts w:eastAsia="Times New Roman" w:cs="Times New Roman"/>
          <w:lang w:val="ro-RO"/>
        </w:rPr>
        <w:t>PNRR - Planul Național de Redresare și Reziliență</w:t>
      </w:r>
    </w:p>
    <w:p w14:paraId="1D26F8E9" w14:textId="4967B55D" w:rsidR="0033469D" w:rsidRPr="00074D16" w:rsidRDefault="0033469D" w:rsidP="00074D16">
      <w:pPr>
        <w:rPr>
          <w:rFonts w:eastAsia="Times New Roman" w:cs="Times New Roman"/>
          <w:lang w:val="ro-RO"/>
        </w:rPr>
      </w:pPr>
      <w:r w:rsidRPr="0033469D">
        <w:rPr>
          <w:rFonts w:eastAsia="Times New Roman" w:cs="Times New Roman"/>
          <w:lang w:val="ro-RO"/>
        </w:rPr>
        <w:t>POCA - Programul Operațional Capacitate Administrativă</w:t>
      </w:r>
    </w:p>
    <w:p w14:paraId="13E73F49" w14:textId="77777777" w:rsidR="00074D16" w:rsidRPr="00074D16" w:rsidRDefault="00074D16" w:rsidP="00074D16">
      <w:pPr>
        <w:rPr>
          <w:rFonts w:eastAsia="Times New Roman" w:cs="Times New Roman"/>
          <w:lang w:val="ro-RO"/>
        </w:rPr>
      </w:pPr>
      <w:r w:rsidRPr="00074D16">
        <w:rPr>
          <w:rFonts w:eastAsia="Times New Roman" w:cs="Times New Roman"/>
          <w:lang w:val="ro-RO"/>
        </w:rPr>
        <w:t>POIM – Program Operațional Infrastructură Mare</w:t>
      </w:r>
    </w:p>
    <w:p w14:paraId="29738340" w14:textId="77777777" w:rsidR="00074D16" w:rsidRPr="00074D16" w:rsidRDefault="00074D16" w:rsidP="00074D16">
      <w:pPr>
        <w:rPr>
          <w:rFonts w:eastAsia="Times New Roman" w:cs="Times New Roman"/>
          <w:lang w:val="ro-RO"/>
        </w:rPr>
      </w:pPr>
      <w:r w:rsidRPr="00074D16">
        <w:rPr>
          <w:rFonts w:eastAsia="Times New Roman" w:cs="Times New Roman"/>
          <w:lang w:val="ro-RO"/>
        </w:rPr>
        <w:t>PP - Polipropilenă</w:t>
      </w:r>
    </w:p>
    <w:p w14:paraId="4F7EFCC6" w14:textId="77777777" w:rsidR="00074D16" w:rsidRPr="00074D16" w:rsidRDefault="00074D16" w:rsidP="00074D16">
      <w:pPr>
        <w:rPr>
          <w:rFonts w:eastAsia="Times New Roman" w:cs="Times New Roman"/>
          <w:lang w:val="ro-RO"/>
        </w:rPr>
      </w:pPr>
      <w:r w:rsidRPr="00074D16">
        <w:rPr>
          <w:rFonts w:eastAsia="Times New Roman" w:cs="Times New Roman"/>
          <w:lang w:val="ro-RO"/>
        </w:rPr>
        <w:t>PUG – Plan urbanistic general</w:t>
      </w:r>
    </w:p>
    <w:p w14:paraId="55B41F8E" w14:textId="77777777" w:rsidR="00074D16" w:rsidRPr="00074D16" w:rsidRDefault="00074D16" w:rsidP="00074D16">
      <w:pPr>
        <w:rPr>
          <w:rFonts w:eastAsia="Times New Roman" w:cs="Times New Roman"/>
          <w:lang w:val="ro-RO"/>
        </w:rPr>
      </w:pPr>
      <w:r w:rsidRPr="00074D16">
        <w:rPr>
          <w:rFonts w:eastAsia="Times New Roman" w:cs="Times New Roman"/>
          <w:lang w:val="ro-RO"/>
        </w:rPr>
        <w:t>PUZ – Plan urbanistic zonal</w:t>
      </w:r>
    </w:p>
    <w:p w14:paraId="7A2B6C70" w14:textId="77777777" w:rsidR="00074D16" w:rsidRPr="00074D16" w:rsidRDefault="00074D16" w:rsidP="00074D16">
      <w:pPr>
        <w:rPr>
          <w:rFonts w:eastAsia="Times New Roman" w:cs="Times New Roman"/>
          <w:lang w:val="ro-RO"/>
        </w:rPr>
      </w:pPr>
      <w:r w:rsidRPr="00074D16">
        <w:rPr>
          <w:rFonts w:eastAsia="Times New Roman" w:cs="Times New Roman"/>
          <w:lang w:val="ro-RO"/>
        </w:rPr>
        <w:t>PVE – Pactul Verde European</w:t>
      </w:r>
    </w:p>
    <w:p w14:paraId="6EEC0D6E" w14:textId="77777777" w:rsidR="00074D16" w:rsidRPr="00074D16" w:rsidRDefault="00074D16" w:rsidP="00074D16">
      <w:pPr>
        <w:rPr>
          <w:rFonts w:eastAsia="Times New Roman" w:cs="Times New Roman"/>
          <w:lang w:val="ro-RO"/>
        </w:rPr>
      </w:pPr>
      <w:r w:rsidRPr="00074D16">
        <w:rPr>
          <w:rFonts w:eastAsia="Times New Roman" w:cs="Times New Roman"/>
          <w:lang w:val="ro-RO"/>
        </w:rPr>
        <w:lastRenderedPageBreak/>
        <w:t>RAJA – Regia Autonomă Județeană de Apă</w:t>
      </w:r>
    </w:p>
    <w:p w14:paraId="70CC21D4" w14:textId="77777777" w:rsidR="00074D16" w:rsidRPr="00074D16" w:rsidRDefault="00074D16" w:rsidP="00074D16">
      <w:pPr>
        <w:rPr>
          <w:rFonts w:eastAsia="Times New Roman" w:cs="Times New Roman"/>
          <w:lang w:val="ro-RO"/>
        </w:rPr>
      </w:pPr>
      <w:r w:rsidRPr="00074D16">
        <w:rPr>
          <w:rFonts w:eastAsia="Times New Roman" w:cs="Times New Roman"/>
          <w:lang w:val="ro-RO"/>
        </w:rPr>
        <w:t>RBDD - Rezervația Biosferei Delta  Dunării</w:t>
      </w:r>
    </w:p>
    <w:p w14:paraId="623ABF5E" w14:textId="77777777" w:rsidR="00074D16" w:rsidRPr="00074D16" w:rsidRDefault="00074D16" w:rsidP="00074D16">
      <w:pPr>
        <w:rPr>
          <w:rFonts w:eastAsia="Times New Roman" w:cs="Times New Roman"/>
          <w:lang w:val="ro-RO"/>
        </w:rPr>
      </w:pPr>
      <w:r w:rsidRPr="00074D16">
        <w:rPr>
          <w:rFonts w:eastAsia="Times New Roman" w:cs="Times New Roman"/>
          <w:lang w:val="ro-RO"/>
        </w:rPr>
        <w:t>RGU – Regulament General de Urbanism</w:t>
      </w:r>
    </w:p>
    <w:p w14:paraId="02CC7502" w14:textId="77777777" w:rsidR="00074D16" w:rsidRPr="00074D16" w:rsidRDefault="00074D16" w:rsidP="00074D16">
      <w:pPr>
        <w:rPr>
          <w:rFonts w:eastAsia="Times New Roman" w:cs="Times New Roman"/>
          <w:lang w:val="ro-RO"/>
        </w:rPr>
      </w:pPr>
      <w:r w:rsidRPr="00074D16">
        <w:rPr>
          <w:rFonts w:eastAsia="Times New Roman" w:cs="Times New Roman"/>
          <w:lang w:val="ro-RO"/>
        </w:rPr>
        <w:t>RLU - Regulament Local de Urbanism</w:t>
      </w:r>
    </w:p>
    <w:p w14:paraId="78B18ADD" w14:textId="77777777" w:rsidR="00074D16" w:rsidRPr="00074D16" w:rsidRDefault="00074D16" w:rsidP="00074D16">
      <w:pPr>
        <w:rPr>
          <w:rFonts w:eastAsia="Times New Roman" w:cs="Times New Roman"/>
          <w:lang w:val="ro-RO"/>
        </w:rPr>
      </w:pPr>
      <w:r w:rsidRPr="00074D16">
        <w:rPr>
          <w:rFonts w:eastAsia="Times New Roman" w:cs="Times New Roman"/>
          <w:lang w:val="ro-RO"/>
        </w:rPr>
        <w:t>RPL - Recensământului Populației și Locuințelor</w:t>
      </w:r>
    </w:p>
    <w:p w14:paraId="4E2948E2" w14:textId="77777777" w:rsidR="00074D16" w:rsidRPr="00074D16" w:rsidRDefault="00074D16" w:rsidP="00074D16">
      <w:pPr>
        <w:rPr>
          <w:rFonts w:eastAsia="Times New Roman" w:cs="Times New Roman"/>
          <w:lang w:val="ro-RO"/>
        </w:rPr>
      </w:pPr>
      <w:r w:rsidRPr="00074D16">
        <w:rPr>
          <w:rFonts w:eastAsia="Times New Roman" w:cs="Times New Roman"/>
          <w:lang w:val="ro-RO"/>
        </w:rPr>
        <w:t>RST – Recomandări specifice de țară</w:t>
      </w:r>
    </w:p>
    <w:p w14:paraId="1A2F016F" w14:textId="77777777" w:rsidR="0033469D" w:rsidRPr="0033469D" w:rsidRDefault="0033469D" w:rsidP="0033469D">
      <w:pPr>
        <w:rPr>
          <w:rFonts w:eastAsia="Times New Roman" w:cs="Times New Roman"/>
          <w:lang w:val="ro-RO"/>
        </w:rPr>
      </w:pPr>
      <w:r w:rsidRPr="0033469D">
        <w:rPr>
          <w:rFonts w:eastAsia="Times New Roman" w:cs="Times New Roman"/>
          <w:lang w:val="ro-RO"/>
        </w:rPr>
        <w:t>S – Suprafață</w:t>
      </w:r>
    </w:p>
    <w:p w14:paraId="1856C72F" w14:textId="77777777" w:rsidR="0033469D" w:rsidRPr="0033469D" w:rsidRDefault="0033469D" w:rsidP="0033469D">
      <w:pPr>
        <w:rPr>
          <w:rFonts w:eastAsia="Times New Roman" w:cs="Times New Roman"/>
          <w:lang w:val="ro-RO"/>
        </w:rPr>
      </w:pPr>
      <w:r w:rsidRPr="0033469D">
        <w:rPr>
          <w:rFonts w:eastAsia="Times New Roman" w:cs="Times New Roman"/>
          <w:lang w:val="ro-RO"/>
        </w:rPr>
        <w:t>s – secundă</w:t>
      </w:r>
    </w:p>
    <w:p w14:paraId="542410F8" w14:textId="77777777" w:rsidR="0033469D" w:rsidRPr="0033469D" w:rsidRDefault="0033469D" w:rsidP="0033469D">
      <w:pPr>
        <w:rPr>
          <w:rFonts w:eastAsia="Times New Roman" w:cs="Times New Roman"/>
          <w:lang w:val="ro-RO"/>
        </w:rPr>
      </w:pPr>
      <w:r w:rsidRPr="0033469D">
        <w:rPr>
          <w:rFonts w:eastAsia="Times New Roman" w:cs="Times New Roman"/>
          <w:lang w:val="ro-RO"/>
        </w:rPr>
        <w:t>s.a. – substanță activă</w:t>
      </w:r>
    </w:p>
    <w:p w14:paraId="5BD91935" w14:textId="06ABCB18" w:rsidR="0033469D" w:rsidRDefault="0033469D" w:rsidP="0033469D">
      <w:pPr>
        <w:rPr>
          <w:rFonts w:eastAsia="Times New Roman" w:cs="Times New Roman"/>
          <w:lang w:val="ro-RO"/>
        </w:rPr>
      </w:pPr>
      <w:r w:rsidRPr="0033469D">
        <w:rPr>
          <w:rFonts w:eastAsia="Times New Roman" w:cs="Times New Roman"/>
          <w:lang w:val="ro-RO"/>
        </w:rPr>
        <w:t>SSB - Biomasa stocurilor de reproducători</w:t>
      </w:r>
    </w:p>
    <w:p w14:paraId="20DDD59A" w14:textId="77777777" w:rsidR="00074D16" w:rsidRPr="00074D16" w:rsidRDefault="00074D16" w:rsidP="00074D16">
      <w:pPr>
        <w:rPr>
          <w:rFonts w:eastAsia="Times New Roman" w:cs="Times New Roman"/>
          <w:lang w:val="ro-RO"/>
        </w:rPr>
      </w:pPr>
      <w:r w:rsidRPr="00074D16">
        <w:rPr>
          <w:rFonts w:eastAsia="Times New Roman" w:cs="Times New Roman"/>
          <w:lang w:val="ro-RO"/>
        </w:rPr>
        <w:t>SCI - Site of Community Importance (Site de importanță comunitară)</w:t>
      </w:r>
    </w:p>
    <w:p w14:paraId="79584411" w14:textId="77777777" w:rsidR="00074D16" w:rsidRPr="00074D16" w:rsidRDefault="00074D16" w:rsidP="00074D16">
      <w:pPr>
        <w:rPr>
          <w:rFonts w:eastAsia="Times New Roman" w:cs="Times New Roman"/>
          <w:lang w:val="ro-RO"/>
        </w:rPr>
      </w:pPr>
      <w:r w:rsidRPr="00074D16">
        <w:rPr>
          <w:rFonts w:eastAsia="Times New Roman" w:cs="Times New Roman"/>
          <w:lang w:val="ro-RO"/>
        </w:rPr>
        <w:t>SDTR – Strategia de Dezvoltare Teritorială a României</w:t>
      </w:r>
    </w:p>
    <w:p w14:paraId="4A38392F" w14:textId="77777777" w:rsidR="00074D16" w:rsidRPr="00074D16" w:rsidRDefault="00074D16" w:rsidP="00074D16">
      <w:pPr>
        <w:rPr>
          <w:rFonts w:eastAsia="Times New Roman" w:cs="Times New Roman"/>
          <w:lang w:val="ro-RO"/>
        </w:rPr>
      </w:pPr>
      <w:r w:rsidRPr="00074D16">
        <w:rPr>
          <w:rFonts w:eastAsia="Times New Roman" w:cs="Times New Roman"/>
          <w:lang w:val="ro-RO"/>
        </w:rPr>
        <w:t>SEB – Stare ecologică bună</w:t>
      </w:r>
    </w:p>
    <w:p w14:paraId="69F6A766" w14:textId="77777777" w:rsidR="00074D16" w:rsidRPr="00074D16" w:rsidRDefault="00074D16" w:rsidP="00074D16">
      <w:pPr>
        <w:rPr>
          <w:rFonts w:eastAsia="Times New Roman" w:cs="Times New Roman"/>
          <w:lang w:val="ro-RO"/>
        </w:rPr>
      </w:pPr>
      <w:r w:rsidRPr="00074D16">
        <w:rPr>
          <w:rFonts w:eastAsia="Times New Roman" w:cs="Times New Roman"/>
          <w:lang w:val="ro-RO"/>
        </w:rPr>
        <w:t>SNASC - Strategia Națională privind Adaptarea la Schimbările Climatice</w:t>
      </w:r>
    </w:p>
    <w:p w14:paraId="3680E067" w14:textId="77777777" w:rsidR="00074D16" w:rsidRPr="00074D16" w:rsidRDefault="00074D16" w:rsidP="00074D16">
      <w:pPr>
        <w:rPr>
          <w:rFonts w:eastAsia="Times New Roman" w:cs="Times New Roman"/>
          <w:lang w:val="ro-RO"/>
        </w:rPr>
      </w:pPr>
      <w:r w:rsidRPr="00074D16">
        <w:rPr>
          <w:rFonts w:eastAsia="Times New Roman" w:cs="Times New Roman"/>
          <w:lang w:val="ro-RO"/>
        </w:rPr>
        <w:t>SNCISI - Strategiei Națională de Cercetare, Inovare și Specializare Inteligentă</w:t>
      </w:r>
    </w:p>
    <w:p w14:paraId="092D9BEC" w14:textId="77777777" w:rsidR="00074D16" w:rsidRPr="00074D16" w:rsidRDefault="00074D16" w:rsidP="00074D16">
      <w:pPr>
        <w:rPr>
          <w:rFonts w:eastAsia="Times New Roman" w:cs="Times New Roman"/>
          <w:lang w:val="ro-RO"/>
        </w:rPr>
      </w:pPr>
      <w:r w:rsidRPr="00074D16">
        <w:rPr>
          <w:rFonts w:eastAsia="Times New Roman" w:cs="Times New Roman"/>
          <w:lang w:val="ro-RO"/>
        </w:rPr>
        <w:t>SNDDR – Strategia Națională de Dezvoltare Durabilă a României</w:t>
      </w:r>
    </w:p>
    <w:p w14:paraId="35C371AB" w14:textId="77777777" w:rsidR="00074D16" w:rsidRPr="00074D16" w:rsidRDefault="00074D16" w:rsidP="00074D16">
      <w:pPr>
        <w:rPr>
          <w:rFonts w:eastAsia="Times New Roman" w:cs="Times New Roman"/>
          <w:lang w:val="ro-RO"/>
        </w:rPr>
      </w:pPr>
      <w:r w:rsidRPr="00074D16">
        <w:rPr>
          <w:rFonts w:eastAsia="Times New Roman" w:cs="Times New Roman"/>
          <w:lang w:val="ro-RO"/>
        </w:rPr>
        <w:t>SNDU – Strategia Națională de Dezvoltare Urbană</w:t>
      </w:r>
    </w:p>
    <w:p w14:paraId="25EC8B28" w14:textId="77777777" w:rsidR="00074D16" w:rsidRPr="00074D16" w:rsidRDefault="00074D16" w:rsidP="00074D16">
      <w:pPr>
        <w:rPr>
          <w:rFonts w:eastAsia="Times New Roman" w:cs="Times New Roman"/>
          <w:lang w:val="ro-RO"/>
        </w:rPr>
      </w:pPr>
      <w:r w:rsidRPr="00074D16">
        <w:rPr>
          <w:rFonts w:eastAsia="Times New Roman" w:cs="Times New Roman"/>
          <w:lang w:val="ro-RO"/>
        </w:rPr>
        <w:t>SNPACB - Strategia Națională și Planul de Acțiune pentru conservarea biodiversității</w:t>
      </w:r>
    </w:p>
    <w:p w14:paraId="1CA17339" w14:textId="77777777" w:rsidR="0033469D" w:rsidRPr="00074D16" w:rsidRDefault="0033469D" w:rsidP="0033469D">
      <w:pPr>
        <w:rPr>
          <w:rFonts w:eastAsia="Times New Roman" w:cs="Times New Roman"/>
          <w:lang w:val="ro-RO"/>
        </w:rPr>
      </w:pPr>
      <w:r w:rsidRPr="0033469D">
        <w:rPr>
          <w:rFonts w:eastAsia="Times New Roman" w:cs="Times New Roman"/>
          <w:lang w:val="ro-RO"/>
        </w:rPr>
        <w:t>SNT – Sistemul Național de Transport</w:t>
      </w:r>
    </w:p>
    <w:p w14:paraId="7EA355CB" w14:textId="77777777" w:rsidR="00074D16" w:rsidRDefault="00074D16" w:rsidP="00074D16">
      <w:pPr>
        <w:rPr>
          <w:rFonts w:eastAsia="Times New Roman" w:cs="Times New Roman"/>
          <w:lang w:val="ro-RO"/>
        </w:rPr>
      </w:pPr>
      <w:r w:rsidRPr="00074D16">
        <w:rPr>
          <w:rFonts w:eastAsia="Times New Roman" w:cs="Times New Roman"/>
          <w:lang w:val="ro-RO"/>
        </w:rPr>
        <w:t>SO</w:t>
      </w:r>
      <w:r w:rsidRPr="00074D16">
        <w:rPr>
          <w:rFonts w:eastAsia="Times New Roman" w:cs="Times New Roman"/>
          <w:vertAlign w:val="subscript"/>
          <w:lang w:val="ro-RO"/>
        </w:rPr>
        <w:t>2</w:t>
      </w:r>
      <w:r w:rsidRPr="00074D16">
        <w:rPr>
          <w:rFonts w:eastAsia="Times New Roman" w:cs="Times New Roman"/>
          <w:lang w:val="ro-RO"/>
        </w:rPr>
        <w:t xml:space="preserve"> – dioxid de sulf</w:t>
      </w:r>
    </w:p>
    <w:p w14:paraId="5B1F4BE6" w14:textId="77777777" w:rsidR="00074D16" w:rsidRPr="00074D16" w:rsidRDefault="00074D16" w:rsidP="00074D16">
      <w:pPr>
        <w:rPr>
          <w:rFonts w:eastAsia="Times New Roman" w:cs="Times New Roman"/>
          <w:lang w:val="ro-RO"/>
        </w:rPr>
      </w:pPr>
      <w:r w:rsidRPr="00074D16">
        <w:rPr>
          <w:rFonts w:eastAsia="Times New Roman" w:cs="Times New Roman"/>
          <w:lang w:val="ro-RO"/>
        </w:rPr>
        <w:t>SPA – Special Protection Area (Zonă de protecție specială)</w:t>
      </w:r>
    </w:p>
    <w:p w14:paraId="5AAF99D5" w14:textId="77777777" w:rsidR="00074D16" w:rsidRPr="00074D16" w:rsidRDefault="00074D16" w:rsidP="00074D16">
      <w:pPr>
        <w:rPr>
          <w:rFonts w:eastAsia="Times New Roman" w:cs="Times New Roman"/>
          <w:lang w:val="ro-RO"/>
        </w:rPr>
      </w:pPr>
      <w:r w:rsidRPr="00074D16">
        <w:rPr>
          <w:rFonts w:eastAsia="Times New Roman" w:cs="Times New Roman"/>
          <w:lang w:val="ro-RO"/>
        </w:rPr>
        <w:t>STA-ZC – Secretariat technic administrativ al zonei costiere</w:t>
      </w:r>
    </w:p>
    <w:p w14:paraId="1DAD7412" w14:textId="77777777" w:rsidR="00074D16" w:rsidRPr="00074D16" w:rsidRDefault="00074D16" w:rsidP="00074D16">
      <w:pPr>
        <w:rPr>
          <w:rFonts w:eastAsia="Times New Roman" w:cs="Times New Roman"/>
          <w:lang w:val="ro-RO"/>
        </w:rPr>
      </w:pPr>
      <w:r w:rsidRPr="00074D16">
        <w:rPr>
          <w:rFonts w:eastAsia="Times New Roman" w:cs="Times New Roman"/>
          <w:lang w:val="ro-RO"/>
        </w:rPr>
        <w:t>STP-CNZC – Secretariat Tehnic Permanent al Comintetului Național al Zonei Costiere</w:t>
      </w:r>
    </w:p>
    <w:p w14:paraId="224A9B66" w14:textId="5D3E38C3" w:rsidR="00074D16" w:rsidRDefault="00074D16" w:rsidP="00074D16">
      <w:pPr>
        <w:rPr>
          <w:rFonts w:eastAsia="Times New Roman" w:cs="Times New Roman"/>
          <w:lang w:val="ro-RO"/>
        </w:rPr>
      </w:pPr>
      <w:r w:rsidRPr="00074D16">
        <w:rPr>
          <w:rFonts w:eastAsia="Times New Roman" w:cs="Times New Roman"/>
          <w:lang w:val="ro-RO"/>
        </w:rPr>
        <w:t xml:space="preserve">t </w:t>
      </w:r>
      <w:r w:rsidR="0033469D">
        <w:rPr>
          <w:rFonts w:eastAsia="Times New Roman" w:cs="Times New Roman"/>
          <w:lang w:val="ro-RO"/>
        </w:rPr>
        <w:t>–</w:t>
      </w:r>
      <w:r w:rsidRPr="00074D16">
        <w:rPr>
          <w:rFonts w:eastAsia="Times New Roman" w:cs="Times New Roman"/>
          <w:lang w:val="ro-RO"/>
        </w:rPr>
        <w:t xml:space="preserve"> tonă</w:t>
      </w:r>
    </w:p>
    <w:p w14:paraId="142DBC4A" w14:textId="50B28E73" w:rsidR="0033469D" w:rsidRPr="00074D16" w:rsidRDefault="0033469D" w:rsidP="00074D16">
      <w:pPr>
        <w:rPr>
          <w:rFonts w:eastAsia="Times New Roman" w:cs="Times New Roman"/>
          <w:lang w:val="ro-RO"/>
        </w:rPr>
      </w:pPr>
      <w:r w:rsidRPr="0033469D">
        <w:rPr>
          <w:rFonts w:eastAsia="Times New Roman" w:cs="Times New Roman"/>
          <w:lang w:val="ro-RO"/>
        </w:rPr>
        <w:t>TAC – Total Allowable Catch (capturi totale permise)</w:t>
      </w:r>
    </w:p>
    <w:p w14:paraId="23386F20" w14:textId="77777777" w:rsidR="00074D16" w:rsidRPr="00074D16" w:rsidRDefault="00074D16" w:rsidP="00074D16">
      <w:pPr>
        <w:rPr>
          <w:rFonts w:eastAsia="Times New Roman" w:cs="Times New Roman"/>
          <w:lang w:val="ro-RO"/>
        </w:rPr>
      </w:pPr>
      <w:r w:rsidRPr="00074D16">
        <w:rPr>
          <w:rFonts w:eastAsia="Times New Roman" w:cs="Times New Roman"/>
          <w:lang w:val="ro-RO"/>
        </w:rPr>
        <w:t>tdw – tone deadweight</w:t>
      </w:r>
    </w:p>
    <w:p w14:paraId="2BE9BCB9" w14:textId="77777777" w:rsidR="00074D16" w:rsidRPr="00074D16" w:rsidRDefault="00074D16" w:rsidP="00074D16">
      <w:pPr>
        <w:rPr>
          <w:rFonts w:eastAsia="Times New Roman" w:cs="Times New Roman"/>
          <w:lang w:val="ro-RO"/>
        </w:rPr>
      </w:pPr>
      <w:r w:rsidRPr="00074D16">
        <w:rPr>
          <w:rFonts w:eastAsia="Times New Roman" w:cs="Times New Roman"/>
          <w:lang w:val="ro-RO"/>
        </w:rPr>
        <w:t>TEN-T – Trans-European Transport Network (rețea de transport trans-europeană)</w:t>
      </w:r>
    </w:p>
    <w:p w14:paraId="40F9C592" w14:textId="77777777" w:rsidR="00074D16" w:rsidRPr="00074D16" w:rsidRDefault="00074D16" w:rsidP="00074D16">
      <w:pPr>
        <w:rPr>
          <w:rFonts w:eastAsia="Times New Roman" w:cs="Times New Roman"/>
          <w:lang w:val="ro-RO"/>
        </w:rPr>
      </w:pPr>
      <w:r w:rsidRPr="00074D16">
        <w:rPr>
          <w:rFonts w:eastAsia="Times New Roman" w:cs="Times New Roman"/>
          <w:lang w:val="ro-RO"/>
        </w:rPr>
        <w:t>UAIC- Universitatea Alexandru Ioan Cuza Iași</w:t>
      </w:r>
    </w:p>
    <w:p w14:paraId="491D4D00" w14:textId="77777777" w:rsidR="00074D16" w:rsidRPr="00074D16" w:rsidRDefault="00074D16" w:rsidP="00074D16">
      <w:pPr>
        <w:rPr>
          <w:rFonts w:eastAsia="Times New Roman" w:cs="Times New Roman"/>
          <w:lang w:val="ro-RO"/>
        </w:rPr>
      </w:pPr>
      <w:r w:rsidRPr="00074D16">
        <w:rPr>
          <w:rFonts w:eastAsia="Times New Roman" w:cs="Times New Roman"/>
          <w:lang w:val="ro-RO"/>
        </w:rPr>
        <w:t>UAT – Unitate administrativ teritorială</w:t>
      </w:r>
    </w:p>
    <w:p w14:paraId="041FE679" w14:textId="77777777" w:rsidR="00074D16" w:rsidRPr="00074D16" w:rsidRDefault="00074D16" w:rsidP="00074D16">
      <w:pPr>
        <w:rPr>
          <w:rFonts w:eastAsia="Times New Roman" w:cs="Times New Roman"/>
          <w:lang w:val="ro-RO"/>
        </w:rPr>
      </w:pPr>
      <w:r w:rsidRPr="00074D16">
        <w:rPr>
          <w:rFonts w:eastAsia="Times New Roman" w:cs="Times New Roman"/>
          <w:lang w:val="ro-RO"/>
        </w:rPr>
        <w:t>UB – Universitatea din București</w:t>
      </w:r>
    </w:p>
    <w:p w14:paraId="56D971E5" w14:textId="77777777" w:rsidR="00074D16" w:rsidRPr="00074D16" w:rsidRDefault="00074D16" w:rsidP="00074D16">
      <w:pPr>
        <w:rPr>
          <w:rFonts w:eastAsia="Times New Roman" w:cs="Times New Roman"/>
          <w:lang w:val="ro-RO"/>
        </w:rPr>
      </w:pPr>
      <w:r w:rsidRPr="00074D16">
        <w:rPr>
          <w:rFonts w:eastAsia="Times New Roman" w:cs="Times New Roman"/>
          <w:lang w:val="ro-RO"/>
        </w:rPr>
        <w:t>UE – Uniunea Europeană</w:t>
      </w:r>
    </w:p>
    <w:p w14:paraId="6EF33209" w14:textId="77777777" w:rsidR="00074D16" w:rsidRPr="00074D16" w:rsidRDefault="00074D16" w:rsidP="00074D16">
      <w:pPr>
        <w:rPr>
          <w:rFonts w:eastAsia="Times New Roman" w:cs="Times New Roman"/>
          <w:lang w:val="ro-RO"/>
        </w:rPr>
      </w:pPr>
      <w:r w:rsidRPr="00074D16">
        <w:rPr>
          <w:rFonts w:eastAsia="Times New Roman" w:cs="Times New Roman"/>
          <w:lang w:val="ro-RO"/>
        </w:rPr>
        <w:t>UNEP – United Nations Environment Programme</w:t>
      </w:r>
    </w:p>
    <w:p w14:paraId="02D366EE" w14:textId="77777777" w:rsidR="00074D16" w:rsidRPr="00074D16" w:rsidRDefault="00074D16" w:rsidP="00074D16">
      <w:pPr>
        <w:rPr>
          <w:rFonts w:eastAsia="Times New Roman" w:cs="Times New Roman"/>
          <w:lang w:val="ro-RO"/>
        </w:rPr>
      </w:pPr>
      <w:r w:rsidRPr="00074D16">
        <w:rPr>
          <w:rFonts w:eastAsia="Times New Roman" w:cs="Times New Roman"/>
          <w:lang w:val="ro-RO"/>
        </w:rPr>
        <w:lastRenderedPageBreak/>
        <w:t>UNESCO - United Nations Educational, Scientific and Cultural Organization</w:t>
      </w:r>
    </w:p>
    <w:p w14:paraId="03205C0E" w14:textId="77777777" w:rsidR="00074D16" w:rsidRDefault="00074D16" w:rsidP="00074D16">
      <w:pPr>
        <w:rPr>
          <w:rFonts w:eastAsia="Times New Roman" w:cs="Times New Roman"/>
          <w:lang w:val="ro-RO"/>
        </w:rPr>
      </w:pPr>
      <w:r w:rsidRPr="00074D16">
        <w:rPr>
          <w:rFonts w:eastAsia="Times New Roman" w:cs="Times New Roman"/>
          <w:lang w:val="ro-RO"/>
        </w:rPr>
        <w:t>UOC – Universitatea Ovidius Constanța</w:t>
      </w:r>
    </w:p>
    <w:p w14:paraId="0ECA0BF8" w14:textId="4414A30A" w:rsidR="0033469D" w:rsidRPr="00074D16" w:rsidRDefault="0033469D" w:rsidP="00074D16">
      <w:pPr>
        <w:rPr>
          <w:rFonts w:eastAsia="Times New Roman" w:cs="Times New Roman"/>
          <w:lang w:val="ro-RO"/>
        </w:rPr>
      </w:pPr>
      <w:r w:rsidRPr="0033469D">
        <w:rPr>
          <w:rFonts w:eastAsia="Times New Roman" w:cs="Times New Roman"/>
          <w:lang w:val="ro-RO"/>
        </w:rPr>
        <w:t>V - Volum</w:t>
      </w:r>
    </w:p>
    <w:p w14:paraId="0B784348" w14:textId="77777777" w:rsidR="008C6A37" w:rsidRDefault="00074D16" w:rsidP="00074D16">
      <w:pPr>
        <w:ind w:firstLine="567"/>
        <w:rPr>
          <w:rFonts w:eastAsia="Times New Roman" w:cs="Times New Roman"/>
          <w:lang w:val="ro-RO"/>
        </w:rPr>
      </w:pPr>
      <w:r w:rsidRPr="00074D16">
        <w:rPr>
          <w:rFonts w:eastAsia="Times New Roman" w:cs="Times New Roman"/>
          <w:lang w:val="ro-RO"/>
        </w:rPr>
        <w:t>WFD – Water Framework Directive (Directiva Cadru Apă 2000/60/CE)</w:t>
      </w:r>
    </w:p>
    <w:p w14:paraId="7156CC2A" w14:textId="77777777" w:rsidR="0033469D" w:rsidRDefault="0033469D" w:rsidP="0033469D">
      <w:pPr>
        <w:pBdr>
          <w:top w:val="nil"/>
          <w:left w:val="nil"/>
          <w:bottom w:val="nil"/>
          <w:right w:val="nil"/>
          <w:between w:val="nil"/>
        </w:pBdr>
        <w:spacing w:after="200"/>
        <w:rPr>
          <w:rFonts w:eastAsia="Times New Roman" w:cs="Times New Roman"/>
        </w:rPr>
      </w:pPr>
      <w:r>
        <w:rPr>
          <w:rFonts w:eastAsia="Times New Roman" w:cs="Times New Roman"/>
        </w:rPr>
        <w:t>Zn - Zinc</w:t>
      </w:r>
    </w:p>
    <w:p w14:paraId="609FE666" w14:textId="77777777" w:rsidR="0033469D" w:rsidRDefault="0033469D" w:rsidP="00074D16">
      <w:pPr>
        <w:ind w:firstLine="567"/>
        <w:rPr>
          <w:lang w:val="ro-RO"/>
        </w:rPr>
      </w:pPr>
    </w:p>
    <w:p w14:paraId="29E363CA" w14:textId="77777777" w:rsidR="0033469D" w:rsidRDefault="0033469D" w:rsidP="00074D16">
      <w:pPr>
        <w:ind w:firstLine="567"/>
        <w:rPr>
          <w:lang w:val="ro-RO"/>
        </w:rPr>
      </w:pPr>
    </w:p>
    <w:p w14:paraId="13781207" w14:textId="77777777" w:rsidR="0033469D" w:rsidRDefault="0033469D" w:rsidP="00074D16">
      <w:pPr>
        <w:ind w:firstLine="567"/>
        <w:rPr>
          <w:lang w:val="ro-RO"/>
        </w:rPr>
      </w:pPr>
    </w:p>
    <w:p w14:paraId="005861A0" w14:textId="77777777" w:rsidR="0033469D" w:rsidRDefault="0033469D" w:rsidP="00074D16">
      <w:pPr>
        <w:ind w:firstLine="567"/>
        <w:rPr>
          <w:lang w:val="ro-RO"/>
        </w:rPr>
      </w:pPr>
    </w:p>
    <w:p w14:paraId="59A5EAC0" w14:textId="77777777" w:rsidR="0033469D" w:rsidRDefault="0033469D" w:rsidP="00074D16">
      <w:pPr>
        <w:ind w:firstLine="567"/>
        <w:rPr>
          <w:lang w:val="ro-RO"/>
        </w:rPr>
      </w:pPr>
    </w:p>
    <w:p w14:paraId="4D2BA75C" w14:textId="77777777" w:rsidR="0033469D" w:rsidRDefault="0033469D" w:rsidP="00074D16">
      <w:pPr>
        <w:ind w:firstLine="567"/>
        <w:rPr>
          <w:lang w:val="ro-RO"/>
        </w:rPr>
      </w:pPr>
    </w:p>
    <w:p w14:paraId="1EC053F5" w14:textId="77777777" w:rsidR="0033469D" w:rsidRDefault="0033469D" w:rsidP="00074D16">
      <w:pPr>
        <w:ind w:firstLine="567"/>
        <w:rPr>
          <w:lang w:val="ro-RO"/>
        </w:rPr>
      </w:pPr>
    </w:p>
    <w:p w14:paraId="5361A82F" w14:textId="77777777" w:rsidR="0033469D" w:rsidRDefault="0033469D" w:rsidP="00074D16">
      <w:pPr>
        <w:ind w:firstLine="567"/>
        <w:rPr>
          <w:lang w:val="ro-RO"/>
        </w:rPr>
      </w:pPr>
    </w:p>
    <w:p w14:paraId="647DE62B" w14:textId="77777777" w:rsidR="0033469D" w:rsidRDefault="0033469D" w:rsidP="00074D16">
      <w:pPr>
        <w:ind w:firstLine="567"/>
        <w:rPr>
          <w:lang w:val="ro-RO"/>
        </w:rPr>
      </w:pPr>
    </w:p>
    <w:p w14:paraId="4CF3EA52" w14:textId="77777777" w:rsidR="0033469D" w:rsidRPr="00074D16" w:rsidRDefault="0033469D" w:rsidP="00074D16">
      <w:pPr>
        <w:ind w:firstLine="567"/>
        <w:rPr>
          <w:lang w:val="ro-RO"/>
        </w:rPr>
      </w:pPr>
    </w:p>
    <w:p w14:paraId="1FB9E27E" w14:textId="77777777" w:rsidR="00BC11DC" w:rsidRDefault="00BC11DC" w:rsidP="00BC11DC">
      <w:pPr>
        <w:ind w:firstLine="567"/>
        <w:rPr>
          <w:lang w:val="ro-RO"/>
        </w:rPr>
      </w:pPr>
    </w:p>
    <w:p w14:paraId="3932B69D" w14:textId="77777777" w:rsidR="00BC11DC" w:rsidRDefault="00BC11DC" w:rsidP="00BC11DC">
      <w:pPr>
        <w:ind w:firstLine="567"/>
        <w:rPr>
          <w:lang w:val="ro-RO"/>
        </w:rPr>
      </w:pPr>
    </w:p>
    <w:p w14:paraId="69946732" w14:textId="77777777" w:rsidR="00E441F9" w:rsidRDefault="00E441F9" w:rsidP="00BC11DC">
      <w:pPr>
        <w:ind w:firstLine="567"/>
        <w:rPr>
          <w:lang w:val="ro-RO"/>
        </w:rPr>
      </w:pPr>
    </w:p>
    <w:p w14:paraId="7D47D1E9" w14:textId="77777777" w:rsidR="00E441F9" w:rsidRDefault="00E441F9" w:rsidP="00BC11DC">
      <w:pPr>
        <w:ind w:firstLine="567"/>
        <w:rPr>
          <w:lang w:val="ro-RO"/>
        </w:rPr>
      </w:pPr>
    </w:p>
    <w:p w14:paraId="474CD54D" w14:textId="77777777" w:rsidR="00E441F9" w:rsidRDefault="00E441F9" w:rsidP="00BC11DC">
      <w:pPr>
        <w:ind w:firstLine="567"/>
        <w:rPr>
          <w:lang w:val="ro-RO"/>
        </w:rPr>
      </w:pPr>
    </w:p>
    <w:p w14:paraId="4531F0EF" w14:textId="77777777" w:rsidR="00935E16" w:rsidRDefault="00935E16" w:rsidP="00BC11DC">
      <w:pPr>
        <w:ind w:firstLine="567"/>
        <w:rPr>
          <w:lang w:val="ro-RO"/>
        </w:rPr>
      </w:pPr>
    </w:p>
    <w:p w14:paraId="28AB9EF5" w14:textId="77777777" w:rsidR="00935E16" w:rsidRDefault="00935E16" w:rsidP="00BC11DC">
      <w:pPr>
        <w:ind w:firstLine="567"/>
        <w:rPr>
          <w:lang w:val="ro-RO"/>
        </w:rPr>
      </w:pPr>
    </w:p>
    <w:p w14:paraId="5AFDED40" w14:textId="77777777" w:rsidR="00935E16" w:rsidRDefault="00935E16" w:rsidP="00BC11DC">
      <w:pPr>
        <w:ind w:firstLine="567"/>
        <w:rPr>
          <w:lang w:val="ro-RO"/>
        </w:rPr>
      </w:pPr>
    </w:p>
    <w:p w14:paraId="5A839EB1" w14:textId="77777777" w:rsidR="00935E16" w:rsidRDefault="00935E16" w:rsidP="00BC11DC">
      <w:pPr>
        <w:ind w:firstLine="567"/>
        <w:rPr>
          <w:lang w:val="ro-RO"/>
        </w:rPr>
      </w:pPr>
    </w:p>
    <w:p w14:paraId="066BE277" w14:textId="77777777" w:rsidR="00935E16" w:rsidRDefault="00935E16" w:rsidP="00BC11DC">
      <w:pPr>
        <w:ind w:firstLine="567"/>
        <w:rPr>
          <w:lang w:val="ro-RO"/>
        </w:rPr>
      </w:pPr>
    </w:p>
    <w:p w14:paraId="73DBB3DD" w14:textId="77777777" w:rsidR="00935E16" w:rsidRDefault="00935E16" w:rsidP="00BC11DC">
      <w:pPr>
        <w:ind w:firstLine="567"/>
        <w:rPr>
          <w:lang w:val="ro-RO"/>
        </w:rPr>
      </w:pPr>
    </w:p>
    <w:p w14:paraId="699FB5F9" w14:textId="77777777" w:rsidR="00BC11DC" w:rsidRPr="008C6A37" w:rsidRDefault="00BC11DC" w:rsidP="00BC11DC">
      <w:pPr>
        <w:ind w:firstLine="567"/>
        <w:rPr>
          <w:lang w:val="ro-RO"/>
        </w:rPr>
      </w:pPr>
    </w:p>
    <w:p w14:paraId="2F150AD8" w14:textId="77A13790" w:rsidR="008C6A37" w:rsidRDefault="0033469D" w:rsidP="0033469D">
      <w:pPr>
        <w:pStyle w:val="Heading1"/>
        <w:numPr>
          <w:ilvl w:val="0"/>
          <w:numId w:val="14"/>
        </w:numPr>
      </w:pPr>
      <w:bookmarkStart w:id="2" w:name="_Toc169625091"/>
      <w:r>
        <w:lastRenderedPageBreak/>
        <w:t>Strategia Națională</w:t>
      </w:r>
      <w:r w:rsidRPr="0033469D">
        <w:t xml:space="preserve"> privind gospodărirea integrată a zonei costiere</w:t>
      </w:r>
      <w:bookmarkEnd w:id="2"/>
      <w:r w:rsidR="008C6A37" w:rsidRPr="008C6A37">
        <w:t xml:space="preserve"> </w:t>
      </w:r>
    </w:p>
    <w:p w14:paraId="5902EB0B" w14:textId="60323AA3" w:rsidR="0033469D" w:rsidRPr="0033469D" w:rsidRDefault="0033469D" w:rsidP="005D2CE5">
      <w:pPr>
        <w:pStyle w:val="Heading2"/>
      </w:pPr>
      <w:bookmarkStart w:id="3" w:name="_Toc169625092"/>
      <w:r w:rsidRPr="0033469D">
        <w:t xml:space="preserve">1.1 </w:t>
      </w:r>
      <w:r w:rsidRPr="005D2CE5">
        <w:t>Introducere</w:t>
      </w:r>
      <w:bookmarkEnd w:id="3"/>
    </w:p>
    <w:p w14:paraId="554DBDD6" w14:textId="77777777" w:rsidR="008C6A37" w:rsidRPr="008C6A37" w:rsidRDefault="008C6A37" w:rsidP="00BC11DC">
      <w:pPr>
        <w:ind w:firstLine="567"/>
        <w:rPr>
          <w:lang w:val="ro-RO"/>
        </w:rPr>
      </w:pPr>
      <w:r w:rsidRPr="008C6A37">
        <w:rPr>
          <w:lang w:val="ro-RO"/>
        </w:rPr>
        <w:t>Managementul integrat al zonei costiere (MIZC) este unul dintre cele mai cunoscute și aplicate instrumente politice și legislative pentru zonele costiere, utilizat de factorii de decizie din întreaga lume și promovat de Comisia Europeană (Recomandarea Consiliului privind managementul integrat al zonelor de coastă din 2002, Protocolul Convenției de la Barcelona privind Managementul Integrat al Zonelor de Coastă, ratificat de UE în 2010 și noua inițiativă a CE privind planificarea spațiului maritim și managementul integrat al zonelor costiere din 2013) și alte organizații internaționale precum National Ocean and Atmospheric Administration (NOAA), United Nations Environment Programme (UNEP), Organisation for Economic Co-operation and Development (OECD), etc.</w:t>
      </w:r>
    </w:p>
    <w:p w14:paraId="22788B84" w14:textId="77777777" w:rsidR="008C6A37" w:rsidRPr="008C6A37" w:rsidRDefault="008C6A37" w:rsidP="00BC11DC">
      <w:pPr>
        <w:ind w:firstLine="567"/>
        <w:rPr>
          <w:lang w:val="ro-RO"/>
        </w:rPr>
      </w:pPr>
      <w:r w:rsidRPr="008C6A37">
        <w:rPr>
          <w:lang w:val="ro-RO"/>
        </w:rPr>
        <w:t xml:space="preserve">Există mai multe definiții ale managementului integrat al zonei costiere, una dintre cele mai relevante fiind cea din articolului 2 al Protocolului Convenției de la Barcelona privind Managementul Integrat al Zonelor de Coastă, adoptată și de Comisia Mării Negre, conform căreia MIZC este </w:t>
      </w:r>
      <w:r w:rsidRPr="008C6A37">
        <w:rPr>
          <w:b/>
          <w:i/>
          <w:lang w:val="ro-RO"/>
        </w:rPr>
        <w:t>„un proces dinamic de gestionare și utilizare durabilă a zonelor de coastă, ținând cont în același timp de fragilitatea ecosistemelor și a peisajelor costiere, de diversitatea activităților și utilizărilor, de interacțiunile acestora, de orientarea maritimă a anumitor activități și utilizări și de impactul acestora atât asupra părții maritime, cât și celei terestre”</w:t>
      </w:r>
      <w:r w:rsidRPr="008C6A37">
        <w:rPr>
          <w:lang w:val="ro-RO"/>
        </w:rPr>
        <w:t>.</w:t>
      </w:r>
    </w:p>
    <w:p w14:paraId="058D1974" w14:textId="77777777" w:rsidR="008C6A37" w:rsidRPr="008C6A37" w:rsidRDefault="008C6A37" w:rsidP="00BC11DC">
      <w:pPr>
        <w:ind w:firstLine="567"/>
        <w:rPr>
          <w:lang w:val="ro-RO"/>
        </w:rPr>
      </w:pPr>
      <w:r w:rsidRPr="008C6A37">
        <w:rPr>
          <w:lang w:val="ro-RO"/>
        </w:rPr>
        <w:t xml:space="preserve">Definirea zonei costiere este de o importanță deosebită în politicile publice ale MIZC, deși o definire clară a acesteia este destul de dificilă datorită naturii dinamice a zonelor costiere. Conform Ketchum (1972), </w:t>
      </w:r>
      <w:r w:rsidRPr="008C6A37">
        <w:rPr>
          <w:b/>
          <w:i/>
          <w:lang w:val="ro-RO"/>
        </w:rPr>
        <w:t>zona costieră este interfața dintre uscat și spațiul marin adiacent în care procesele terestre și utilizările terenurilor afectează direct procesele și utilizările maritime și invers</w:t>
      </w:r>
      <w:r w:rsidRPr="008C6A37">
        <w:rPr>
          <w:lang w:val="ro-RO"/>
        </w:rPr>
        <w:t xml:space="preserve">. </w:t>
      </w:r>
    </w:p>
    <w:p w14:paraId="11162A18" w14:textId="77777777" w:rsidR="008C6A37" w:rsidRPr="008C6A37" w:rsidRDefault="008C6A37" w:rsidP="00BC11DC">
      <w:pPr>
        <w:ind w:firstLine="567"/>
        <w:rPr>
          <w:lang w:val="ro-RO"/>
        </w:rPr>
      </w:pPr>
      <w:r w:rsidRPr="008C6A37">
        <w:rPr>
          <w:lang w:val="ro-RO"/>
        </w:rPr>
        <w:t xml:space="preserve">Zonele costiere sunt de mare importanță ecologică, socială, economică și culturală, dar în același timp foarte vulnerabile la schimbările climatice și presiunile antropice tot mai mari. Având în vedere aceste considerente, Comisia Europeană a inițiat în 1996 un program demonstrativ (EU Demonstrator Programme on ICZM) cuprinzând 35 de proiecte demonstrative și șase studii tematice, cu scopul de a evidenția problemele care afectează zonele costiere și identifica posibile măsuri de stopare / limitare a deteriorării acestora. </w:t>
      </w:r>
    </w:p>
    <w:p w14:paraId="1A59A1FA" w14:textId="77777777" w:rsidR="008C6A37" w:rsidRPr="008C6A37" w:rsidRDefault="008C6A37" w:rsidP="00BC11DC">
      <w:pPr>
        <w:ind w:firstLine="567"/>
        <w:rPr>
          <w:lang w:val="ro-RO"/>
        </w:rPr>
      </w:pPr>
      <w:r w:rsidRPr="008C6A37">
        <w:rPr>
          <w:lang w:val="ro-RO"/>
        </w:rPr>
        <w:t>În 2000, pe baza experiențelor și a rezultatelor acestui program demonstrativ, Comisia Europeană a adoptat două documente ce au pus bazele politicilor MIZC în Europa, și anume:</w:t>
      </w:r>
    </w:p>
    <w:p w14:paraId="7BA7C3B1" w14:textId="77777777" w:rsidR="008C6A37" w:rsidRPr="008C6A37" w:rsidRDefault="008C6A37" w:rsidP="00920C1F">
      <w:pPr>
        <w:numPr>
          <w:ilvl w:val="0"/>
          <w:numId w:val="9"/>
        </w:numPr>
        <w:ind w:firstLine="567"/>
        <w:rPr>
          <w:lang w:val="ro-RO"/>
        </w:rPr>
      </w:pPr>
      <w:r w:rsidRPr="008C6A37">
        <w:rPr>
          <w:lang w:val="ro-RO"/>
        </w:rPr>
        <w:t>o comunicare a Comisiei către Consiliul și Parlamentul European privind „Gestionarea integrată a zonelor costiere: o strategie pentru Europa” (COM/00/547 din 17.09.2000);</w:t>
      </w:r>
    </w:p>
    <w:p w14:paraId="6E0B4F44" w14:textId="77777777" w:rsidR="008C6A37" w:rsidRPr="008C6A37" w:rsidRDefault="008C6A37" w:rsidP="00920C1F">
      <w:pPr>
        <w:numPr>
          <w:ilvl w:val="0"/>
          <w:numId w:val="9"/>
        </w:numPr>
        <w:ind w:firstLine="567"/>
        <w:rPr>
          <w:lang w:val="ro-RO"/>
        </w:rPr>
      </w:pPr>
      <w:r w:rsidRPr="008C6A37">
        <w:rPr>
          <w:lang w:val="ro-RO"/>
        </w:rPr>
        <w:t xml:space="preserve">o recomandare a Parlamentului European și a Consiliului European privind implementarea managementului integrat al zonelor costiere în Europa (COM/00/545 </w:t>
      </w:r>
      <w:r w:rsidRPr="008C6A37">
        <w:rPr>
          <w:lang w:val="ro-RO"/>
        </w:rPr>
        <w:lastRenderedPageBreak/>
        <w:t>din 08.09.2000). Această recomandare (2002/413/CE) a fost adoptată de Consiliul și Parlamentul European la 30.05.2002.</w:t>
      </w:r>
    </w:p>
    <w:p w14:paraId="42ECC82F" w14:textId="77777777" w:rsidR="008C6A37" w:rsidRPr="008C6A37" w:rsidRDefault="008C6A37" w:rsidP="00BC11DC">
      <w:pPr>
        <w:ind w:firstLine="567"/>
        <w:rPr>
          <w:lang w:val="ro-RO"/>
        </w:rPr>
      </w:pPr>
      <w:r w:rsidRPr="008C6A37">
        <w:rPr>
          <w:lang w:val="ro-RO"/>
        </w:rPr>
        <w:t>O etapă deosebit de importantă în evoluția procesului MIZC la nivel european, cu implicații și pentru bazinul Mării Negre, începe odată cu semnarea la Madrid, în 2009, a Protocolului privind Managementul Integrat al Zonelor de Coastă la Marea Mediterană (ratificat și intrat în vigoare în 2011). În 2019, este adoptat un document ce stabilește Cadrul Comun Regional pentru implementarea MIZC la Marea Mediterană (UNEP/MAP/PAP, 2019), considerat un instrument strategic care facilitează implementarea Protocolului MIZC la Marea Mediterană.</w:t>
      </w:r>
    </w:p>
    <w:p w14:paraId="10C87CE2" w14:textId="77777777" w:rsidR="008C6A37" w:rsidRPr="008C6A37" w:rsidRDefault="008C6A37" w:rsidP="00BC11DC">
      <w:pPr>
        <w:ind w:firstLine="567"/>
        <w:rPr>
          <w:lang w:val="ro-RO"/>
        </w:rPr>
      </w:pPr>
      <w:r w:rsidRPr="008C6A37">
        <w:rPr>
          <w:lang w:val="ro-RO"/>
        </w:rPr>
        <w:t>Între timp, statele riverane Mării Negre urmăreau cu mare interes evoluțiile încurajatoare din Marea Mediterană, care a adoptat noul instrument obligatoriu din punct de vedere juridic sub forma Protocolului privind Managementul Integrat al Zonelor de Coastă la Marea Mediterană. Posibilitatea statelor riverane Mării Negre de a se angaja în adoptarea unui instrument similar din punct de vedere juridic, obligatoriu, într-o zonă marină semi închisă, regională, precum Marea Neagră a fost luată în considerare, identificându-se necesitatea  elaborării unui ghid ca o măsură provizorie până când dezvoltarea unui instrument juridic obligatoriu va deveni cu adevărat fezabilă la nivel regional. Această acțiune a fost inclusă în Planul Strategic de Acțiune pentru Protecția Mediului și Reabilitarea Mării Negre din 2009 ca obiectiv pe termen scurt (BS SAP, 2009). Pentru a oferi mijloacele pentru realizarea acestui obiectiv, în 2010, la solicitarea Comisiei Mării Negre, prin intermediul Secretariatului său, Comisia Europeană a fost de acord să introducă în cadrul proiectului european PEGASO dezvoltarea acestui ghid (</w:t>
      </w:r>
      <w:r w:rsidRPr="008C6A37">
        <w:rPr>
          <w:i/>
          <w:lang w:val="ro-RO"/>
        </w:rPr>
        <w:t>Guidelines on Integrated Coastal Zone Management in the Black Sea</w:t>
      </w:r>
      <w:r w:rsidRPr="008C6A37">
        <w:rPr>
          <w:lang w:val="ro-RO"/>
        </w:rPr>
        <w:t>) ca unul dintre rezultatele proiectului. Deoarece Protocolul privind Managementul Integrat al Zonelor de Coastă la Marea Mediterană era singurul exemplu al unui astfel de document legislativ internațional în vigoare, acest ghid a fost elaborat în jurul tematicilor principale acoperite de către Protocolul MIZC de la Marea Mediterană.</w:t>
      </w:r>
    </w:p>
    <w:p w14:paraId="766B9A5A" w14:textId="77777777" w:rsidR="008C6A37" w:rsidRPr="008C6A37" w:rsidRDefault="008C6A37" w:rsidP="00BC11DC">
      <w:pPr>
        <w:ind w:firstLine="567"/>
        <w:rPr>
          <w:lang w:val="ro-RO"/>
        </w:rPr>
      </w:pPr>
      <w:r w:rsidRPr="008C6A37">
        <w:rPr>
          <w:lang w:val="ro-RO"/>
        </w:rPr>
        <w:t>La nivelul Comisiei Mării Negre este constituit Grupul Consultativ pentru Managementul Integrat al Zonei Costiere (ICZM AG), care are rolul de a face recomandări privind managementul zonei costiere și de a elabora și implementa strategii, metodologii și instrumente de management integrat al zonei costiere, coordonate la nivel regional, în contextul dezvoltării durabile (BS SAP, 2009). De asemenea, acest grup este responsabil de elaborarea raportului anual al Comisiei Mării Negre privind managementul integrat al zonei costiere (</w:t>
      </w:r>
      <w:hyperlink r:id="rId12">
        <w:r w:rsidRPr="008C6A37">
          <w:rPr>
            <w:rStyle w:val="Hyperlink"/>
            <w:lang w:val="ro-RO"/>
          </w:rPr>
          <w:t>www.blacksea-commission.org</w:t>
        </w:r>
      </w:hyperlink>
      <w:r w:rsidRPr="008C6A37">
        <w:rPr>
          <w:lang w:val="ro-RO"/>
        </w:rPr>
        <w:t xml:space="preserve">) furnizând totodată, în mod regulat, date / informații în statele riverane Mării Negre. Datele raportate anual (la Agenția Europeană de Mediu) se referă la dezvoltarea de politici, proiecte și diferiți indicatori în domenii și sectoare precum: geografie și demografie, energie, ape și ape uzate, biodiversitate, eroziune costieră, economie, turism, transport, managementul deșeurilor solide, agricultură, industrie și schimbări climatice. </w:t>
      </w:r>
    </w:p>
    <w:p w14:paraId="190D6E00" w14:textId="77777777" w:rsidR="008C6A37" w:rsidRPr="008C6A37" w:rsidRDefault="008C6A37" w:rsidP="00BC11DC">
      <w:pPr>
        <w:ind w:firstLine="567"/>
        <w:rPr>
          <w:lang w:val="ro-RO"/>
        </w:rPr>
      </w:pPr>
      <w:r w:rsidRPr="008C6A37">
        <w:rPr>
          <w:lang w:val="ro-RO"/>
        </w:rPr>
        <w:t xml:space="preserve">România a fost printre primele țări din bazinul Mării Negre care a creat cadrul legislativ în vederea implementării managementului integrat al zonei costiere. Prin adoptarea Ordonanţei de Urgenţă a Guvernului nr. 202/2002 privind gospodărirea integrată a zonei costiere, aprobată cu modificări prin Legea nr. 280/2003, România a recunoscut că managementul integrat al zonei costiere reprezintă un instrument valoros care a creat structuri şi un cadru legal pentru a </w:t>
      </w:r>
      <w:r w:rsidRPr="008C6A37">
        <w:rPr>
          <w:lang w:val="ro-RO"/>
        </w:rPr>
        <w:lastRenderedPageBreak/>
        <w:t>promova implementarea acestuia în consens cu Recomandarea Parlamentului și a Consiliului European din 30.05.2002 privind implementarea MIZC în Europa (2002/413/EC).</w:t>
      </w:r>
    </w:p>
    <w:p w14:paraId="3341C0DB" w14:textId="77777777" w:rsidR="008C6A37" w:rsidRPr="008C6A37" w:rsidRDefault="008C6A37" w:rsidP="00BC11DC">
      <w:pPr>
        <w:ind w:firstLine="567"/>
        <w:rPr>
          <w:lang w:val="ro-RO"/>
        </w:rPr>
      </w:pPr>
      <w:r w:rsidRPr="008C6A37">
        <w:rPr>
          <w:lang w:val="ro-RO"/>
        </w:rPr>
        <w:t>În 2004, a fost înființat în baza Ordonanţei de Urgență nr. 202/2002 privind gospodărirea zonei costiere, aprobată cu modificări prin Legea nr. 280/2003, Comitetul Naţional al Zonei Costiere (CNZC), în scopul asigurării gospodăririi integrate a zonei costiere.</w:t>
      </w:r>
    </w:p>
    <w:p w14:paraId="7C9056A4" w14:textId="77777777" w:rsidR="008C6A37" w:rsidRPr="008C6A37" w:rsidRDefault="008C6A37" w:rsidP="00BC11DC">
      <w:pPr>
        <w:ind w:firstLine="567"/>
        <w:rPr>
          <w:lang w:val="ro-RO"/>
        </w:rPr>
      </w:pPr>
      <w:r w:rsidRPr="008C6A37">
        <w:rPr>
          <w:lang w:val="ro-RO"/>
        </w:rPr>
        <w:t xml:space="preserve">Cu toate acestea, Planul naţional privind gospodărirea integrată a zonei costiere nu a fost elaborat până în prezent din cauza funcţionalităţii necorespunzătoare a cadrului interinstituțional existent. Totodată, nu sunt stabilite zonele funcţionale şi inventarul componentelor de mediu ale zonei costiere, care reprezintă elemente de referinţă pentru respectarea principiilor stipulate în OUG 202/2002 privind gospodărirea integrată a zonei costiere, aprobată cu modificări prin Legea nr. 280/2003. Mai mult, integrarea politicilor de mediu în politicile și planurile sectoriale privind agricultura, energia, resursele minerale, industria, turismul, pescuitul şi acvacultura, transporturile şi dezvoltarea zonelor locuite este realizată doar parțial. De asemenea, în prezent, nu există o bază de date integrată sau un inventar național integrat privind zona costieră, iar raportările pe care România, ca stat membru al UE sau ca Parte a Convenției Mării Negre împotriva Poluării, are obligația să le transmită Comisiei Europene, respectiv Comisiei Mării Negre, sunt realizate prin intermediul punctelor focale naționale la nivel european sau din cadrul Comisiei Mării Negre. </w:t>
      </w:r>
    </w:p>
    <w:p w14:paraId="4858BD8D" w14:textId="5D9B61A3" w:rsidR="008C6A37" w:rsidRPr="008C6A37" w:rsidRDefault="008C6A37" w:rsidP="00BC11DC">
      <w:pPr>
        <w:ind w:firstLine="567"/>
        <w:rPr>
          <w:i/>
          <w:lang w:val="ro-RO"/>
        </w:rPr>
      </w:pPr>
      <w:r w:rsidRPr="008C6A37">
        <w:rPr>
          <w:b/>
          <w:i/>
          <w:lang w:val="ro-RO"/>
        </w:rPr>
        <w:t>Necesitatea elaborării Strategiei Naționale privind g</w:t>
      </w:r>
      <w:r w:rsidR="00E937B9">
        <w:rPr>
          <w:b/>
          <w:i/>
          <w:lang w:val="ro-RO"/>
        </w:rPr>
        <w:t>ospodărirea</w:t>
      </w:r>
      <w:r w:rsidRPr="008C6A37">
        <w:rPr>
          <w:b/>
          <w:i/>
          <w:lang w:val="ro-RO"/>
        </w:rPr>
        <w:t xml:space="preserve"> integrată a zonei costiere</w:t>
      </w:r>
    </w:p>
    <w:p w14:paraId="0F6C9A53" w14:textId="77777777" w:rsidR="008C6A37" w:rsidRPr="008C6A37" w:rsidRDefault="008C6A37" w:rsidP="00BC11DC">
      <w:pPr>
        <w:ind w:firstLine="567"/>
        <w:rPr>
          <w:lang w:val="ro-RO"/>
        </w:rPr>
      </w:pPr>
      <w:r w:rsidRPr="008C6A37">
        <w:rPr>
          <w:lang w:val="ro-RO"/>
        </w:rPr>
        <w:t>Zona costieră românească oferă o multitudine de utilizări, care sunt de-o importanță socio-economică considerabilă pentru societate. Cu toate acestea, diferitele interese sectoriale caută, cel mai adesea, accesul și utilizarea exclusivă a zonei și resurselor din zona costieră. Abordarea sectorială în planificarea dezvoltării și managementului a resurselor zonei costiere, amplificată de presiunea populației și de complexitatea activităților umane poate conduce la conflicte de utilizare și la efecte socio-economice și de mediu adverse. Astfel, este nevoie de un document politic intersectorial, care să furnizeze o viziune pe termen mediu și lung pentru utilizarea şi dezvoltarea durabilă a zonei costiere a României. Necesitatea elaborării Strategiei Naționale privind gospodărirea integrată a zonei costiere apare ca urmare a problemelor cu care zona costieră încă se confruntă, cele mai importante fiind listate mai jos:</w:t>
      </w:r>
    </w:p>
    <w:p w14:paraId="54691C4C" w14:textId="77777777" w:rsidR="008C6A37" w:rsidRPr="008C6A37" w:rsidRDefault="008C6A37" w:rsidP="00BC11DC">
      <w:pPr>
        <w:ind w:firstLine="567"/>
        <w:rPr>
          <w:lang w:val="ro-RO"/>
        </w:rPr>
      </w:pPr>
      <w:r w:rsidRPr="008C6A37">
        <w:rPr>
          <w:lang w:val="ro-RO"/>
        </w:rPr>
        <w:t>- dezvoltare costieră planificată și coordonată inadecvat,  ca urmare a unei abordări, de multe ori, sectoriale;</w:t>
      </w:r>
    </w:p>
    <w:p w14:paraId="5F6F67A6" w14:textId="77777777" w:rsidR="008C6A37" w:rsidRPr="008C6A37" w:rsidRDefault="008C6A37" w:rsidP="00BC11DC">
      <w:pPr>
        <w:ind w:firstLine="567"/>
        <w:rPr>
          <w:lang w:val="ro-RO"/>
        </w:rPr>
      </w:pPr>
      <w:r w:rsidRPr="008C6A37">
        <w:rPr>
          <w:lang w:val="ro-RO"/>
        </w:rPr>
        <w:t>- parteneriatul și cooperarea inadecvate între părțile interesate;</w:t>
      </w:r>
    </w:p>
    <w:p w14:paraId="4FE8358D" w14:textId="77777777" w:rsidR="008C6A37" w:rsidRPr="008C6A37" w:rsidRDefault="008C6A37" w:rsidP="00BC11DC">
      <w:pPr>
        <w:ind w:firstLine="567"/>
        <w:rPr>
          <w:lang w:val="ro-RO"/>
        </w:rPr>
      </w:pPr>
      <w:r w:rsidRPr="008C6A37">
        <w:rPr>
          <w:lang w:val="ro-RO"/>
        </w:rPr>
        <w:t>- cadrul instituțional și cel juridic nu abordează în mod adecvat problemele intersectoriale, în special în ceea ce privește mecanismele de coordonare și punere în aplicare;</w:t>
      </w:r>
    </w:p>
    <w:p w14:paraId="1A5B51CB" w14:textId="77777777" w:rsidR="008C6A37" w:rsidRPr="008C6A37" w:rsidRDefault="008C6A37" w:rsidP="00BC11DC">
      <w:pPr>
        <w:ind w:firstLine="567"/>
        <w:rPr>
          <w:lang w:val="ro-RO"/>
        </w:rPr>
      </w:pPr>
      <w:r w:rsidRPr="008C6A37">
        <w:rPr>
          <w:lang w:val="ro-RO"/>
        </w:rPr>
        <w:t>- participarea publicului, comunicarea, educația și conștientizarea încă inadecvate cu privire la problemele legate de managementul zonei costiere;</w:t>
      </w:r>
    </w:p>
    <w:p w14:paraId="3C5D9DFB" w14:textId="77777777" w:rsidR="008C6A37" w:rsidRPr="008C6A37" w:rsidRDefault="008C6A37" w:rsidP="00BC11DC">
      <w:pPr>
        <w:ind w:firstLine="567"/>
        <w:rPr>
          <w:lang w:val="ro-RO"/>
        </w:rPr>
      </w:pPr>
      <w:r w:rsidRPr="008C6A37">
        <w:rPr>
          <w:lang w:val="ro-RO"/>
        </w:rPr>
        <w:t>- mecanisme și instrumente insuficiente pentru abordarea problemelor emergente care afectează zona costieră (eroziunea costieră, furtuni extreme, seceta, inundații, etc.)</w:t>
      </w:r>
    </w:p>
    <w:p w14:paraId="6E8279BA" w14:textId="77777777" w:rsidR="008C6A37" w:rsidRPr="008C6A37" w:rsidRDefault="008C6A37" w:rsidP="00BC11DC">
      <w:pPr>
        <w:ind w:firstLine="567"/>
        <w:rPr>
          <w:lang w:val="ro-RO"/>
        </w:rPr>
      </w:pPr>
      <w:r w:rsidRPr="008C6A37">
        <w:rPr>
          <w:lang w:val="ro-RO"/>
        </w:rPr>
        <w:lastRenderedPageBreak/>
        <w:t>- mecanisme încă inadecvate pentru conservarea patrimoniului național cultural și natural și gestionarea activităților în siturile de patrimoniu.</w:t>
      </w:r>
    </w:p>
    <w:p w14:paraId="1E84C2B8" w14:textId="18721A6C" w:rsidR="008C6A37" w:rsidRPr="008C6A37" w:rsidRDefault="008C6A37" w:rsidP="00BC11DC">
      <w:pPr>
        <w:ind w:firstLine="567"/>
        <w:rPr>
          <w:lang w:val="ro-RO"/>
        </w:rPr>
      </w:pPr>
      <w:r w:rsidRPr="008C6A37">
        <w:rPr>
          <w:lang w:val="ro-RO"/>
        </w:rPr>
        <w:t>Managementul integrat al zonei costiere este cel mai potrivit proces pentru a anticipa și a răspunde preocupărilor și nevoilor pe termen lung, abordând în același timp provocările și oportunitățile actuale. Prin elaborarea și implementarea strategiei naționale privind g</w:t>
      </w:r>
      <w:r w:rsidR="00E937B9">
        <w:rPr>
          <w:lang w:val="ro-RO"/>
        </w:rPr>
        <w:t>ospodărirea</w:t>
      </w:r>
      <w:r w:rsidRPr="008C6A37">
        <w:rPr>
          <w:lang w:val="ro-RO"/>
        </w:rPr>
        <w:t xml:space="preserve"> integrată a zonei costiere, respectiv prin realizarea și implementarea unui plan de acțiune este stimulată și susținută creșterea economică durabilă (albastră / verde) a zonei costiere, utilizarea sustenabilă a resurselor, minimizând astfel degradarea sistemelor naturale, dar și conflictele dintre diverse utilizări ale zonei costiere. Strategia oferă un cadru de referință pentru managementul activităților multisectoriale, cât și opțiuni pentru viitoarele utilizări ale resurselor.</w:t>
      </w:r>
    </w:p>
    <w:p w14:paraId="662EC0EB" w14:textId="60EDC8DA" w:rsidR="008C6A37" w:rsidRPr="008C6A37" w:rsidRDefault="008C6A37" w:rsidP="00BC11DC">
      <w:pPr>
        <w:ind w:firstLine="567"/>
        <w:rPr>
          <w:lang w:val="ro-RO"/>
        </w:rPr>
      </w:pPr>
      <w:r w:rsidRPr="008C6A37">
        <w:rPr>
          <w:lang w:val="ro-RO"/>
        </w:rPr>
        <w:t>Perioada de implementare a strategiei naționale privind g</w:t>
      </w:r>
      <w:r w:rsidR="00E937B9">
        <w:rPr>
          <w:lang w:val="ro-RO"/>
        </w:rPr>
        <w:t>ospodărirea</w:t>
      </w:r>
      <w:r w:rsidRPr="008C6A37">
        <w:rPr>
          <w:lang w:val="ro-RO"/>
        </w:rPr>
        <w:t xml:space="preserve"> integrată a zonei costiere este din momentul aprobării până în 2040.</w:t>
      </w:r>
    </w:p>
    <w:p w14:paraId="2AABDA6E" w14:textId="77777777" w:rsidR="008C6A37" w:rsidRPr="008C6A37" w:rsidRDefault="008C6A37" w:rsidP="00BC11DC">
      <w:pPr>
        <w:ind w:firstLine="567"/>
        <w:rPr>
          <w:b/>
          <w:i/>
          <w:lang w:val="ro-RO"/>
        </w:rPr>
      </w:pPr>
      <w:r w:rsidRPr="008C6A37">
        <w:rPr>
          <w:b/>
          <w:i/>
          <w:lang w:val="ro-RO"/>
        </w:rPr>
        <w:t>Metodologia utilizată pentru elaborarea Strategiei</w:t>
      </w:r>
    </w:p>
    <w:p w14:paraId="1DE76662" w14:textId="77777777" w:rsidR="008C6A37" w:rsidRPr="008C6A37" w:rsidRDefault="008C6A37" w:rsidP="00BC11DC">
      <w:pPr>
        <w:ind w:firstLine="567"/>
        <w:rPr>
          <w:lang w:val="ro-RO"/>
        </w:rPr>
      </w:pPr>
      <w:r w:rsidRPr="008C6A37">
        <w:rPr>
          <w:lang w:val="ro-RO"/>
        </w:rPr>
        <w:t>Elaborarea strategiei s-a realizat în concordanță cu legislația în vigoare, respectiv Hotărârea de Guvern nr. 379/2022 privind aprobarea metodologiei de elaborare, implementare, monitorizare, evaluare și actualizare a strategiilor guvernamentale. Astfel, elaborarea acestei strategii este fundamentată pe următoarele principii:</w:t>
      </w:r>
    </w:p>
    <w:p w14:paraId="514F8ED3" w14:textId="77777777" w:rsidR="008C6A37" w:rsidRPr="008C6A37" w:rsidRDefault="008C6A37" w:rsidP="00BC11DC">
      <w:pPr>
        <w:ind w:firstLine="567"/>
        <w:rPr>
          <w:lang w:val="ro-RO"/>
        </w:rPr>
      </w:pPr>
      <w:r w:rsidRPr="008C6A37">
        <w:rPr>
          <w:lang w:val="ro-RO"/>
        </w:rPr>
        <w:t>- principiul participării care se referă la procesele consultative ce implică autorități ale administrației publice centrale și/sau locale, organizații neguvernamentale, parteneri sociali, asociaţii profesionale, reprezentanţi ai sectorului privat;</w:t>
      </w:r>
    </w:p>
    <w:p w14:paraId="74270A98" w14:textId="77777777" w:rsidR="008C6A37" w:rsidRPr="008C6A37" w:rsidRDefault="008C6A37" w:rsidP="00BC11DC">
      <w:pPr>
        <w:ind w:firstLine="567"/>
        <w:rPr>
          <w:lang w:val="ro-RO"/>
        </w:rPr>
      </w:pPr>
      <w:r w:rsidRPr="008C6A37">
        <w:rPr>
          <w:lang w:val="ro-RO"/>
        </w:rPr>
        <w:t>- principiul responsabilității se referă la asumarea de către autoritatea inițiatoare (MMAP) a unui set explicit de rezultate în cadrul unei alocări bugetare definite într-o perioadă de timp specificată;</w:t>
      </w:r>
    </w:p>
    <w:p w14:paraId="18CE502C" w14:textId="77777777" w:rsidR="008C6A37" w:rsidRPr="008C6A37" w:rsidRDefault="008C6A37" w:rsidP="00BC11DC">
      <w:pPr>
        <w:ind w:firstLine="567"/>
        <w:rPr>
          <w:lang w:val="ro-RO"/>
        </w:rPr>
      </w:pPr>
      <w:r w:rsidRPr="008C6A37">
        <w:rPr>
          <w:lang w:val="ro-RO"/>
        </w:rPr>
        <w:t>- principiul fundamentării ce asigură folosirea unor date/informații concrete, reale și validate în procesele de documentare și analize care preced elaborarea strategiilor;</w:t>
      </w:r>
    </w:p>
    <w:p w14:paraId="3DE671A4" w14:textId="77777777" w:rsidR="008C6A37" w:rsidRPr="008C6A37" w:rsidRDefault="008C6A37" w:rsidP="00BC11DC">
      <w:pPr>
        <w:ind w:firstLine="567"/>
        <w:rPr>
          <w:lang w:val="ro-RO"/>
        </w:rPr>
      </w:pPr>
      <w:r w:rsidRPr="008C6A37">
        <w:rPr>
          <w:lang w:val="ro-RO"/>
        </w:rPr>
        <w:t>- principiul sustenabilității se referă la ansamblul acțiunilor și deciziilor inițiatorilor care contribuie la îndeplinirea obiectivelor Agendei 2030 pentru dezvoltare durabilă;</w:t>
      </w:r>
    </w:p>
    <w:p w14:paraId="4CA26942" w14:textId="77777777" w:rsidR="008C6A37" w:rsidRPr="008C6A37" w:rsidRDefault="008C6A37" w:rsidP="00BC11DC">
      <w:pPr>
        <w:ind w:firstLine="567"/>
        <w:rPr>
          <w:lang w:val="ro-RO"/>
        </w:rPr>
      </w:pPr>
      <w:r w:rsidRPr="008C6A37">
        <w:rPr>
          <w:lang w:val="ro-RO"/>
        </w:rPr>
        <w:t>- principiul predictibilității se referă la acțiunile și deciziile inițiatorilor privind politicile publice și alocările bugetare stabilite în cadrul bugetar pe termen mediu și care contribuie la implementarea obiectivelor strategice și la obținerea rezultatelor asumate;</w:t>
      </w:r>
    </w:p>
    <w:p w14:paraId="0DACEA29" w14:textId="77777777" w:rsidR="008C6A37" w:rsidRPr="008C6A37" w:rsidRDefault="008C6A37" w:rsidP="00BC11DC">
      <w:pPr>
        <w:ind w:firstLine="567"/>
        <w:rPr>
          <w:lang w:val="ro-RO"/>
        </w:rPr>
      </w:pPr>
      <w:r w:rsidRPr="008C6A37">
        <w:rPr>
          <w:lang w:val="ro-RO"/>
        </w:rPr>
        <w:t>- principiul transparenței - respectarea informării publicului, asigurarea accesului la informații conform prevederilor legale, precum și consultarea societății civile în luarea deciziilor privind dezvoltarea de politici de mediu, a legislaţiei şi reglementărilor privind mediul şi emiterea de acorduri, autorizații  şi avize de mediu.</w:t>
      </w:r>
    </w:p>
    <w:p w14:paraId="3D9FF0ED" w14:textId="77777777" w:rsidR="008C6A37" w:rsidRPr="008C6A37" w:rsidRDefault="008C6A37" w:rsidP="00BC11DC">
      <w:pPr>
        <w:ind w:firstLine="567"/>
        <w:rPr>
          <w:lang w:val="ro-RO"/>
        </w:rPr>
      </w:pPr>
      <w:r w:rsidRPr="008C6A37">
        <w:rPr>
          <w:lang w:val="ro-RO"/>
        </w:rPr>
        <w:t xml:space="preserve">Elaborarea Strategiei a urmărit asigurarea concordanței depline între viziune, obiective general și cele specifice, respectiv furnizarea unui document realist, actual, fundamentat tehnic și corelat cu alte documente de planificare strategice. Strategia a fost elaborată în mai multe </w:t>
      </w:r>
      <w:r w:rsidRPr="008C6A37">
        <w:rPr>
          <w:lang w:val="ro-RO"/>
        </w:rPr>
        <w:lastRenderedPageBreak/>
        <w:t xml:space="preserve">etape distincte, derulate complementar și succesiv. Au fost elaborate cinci livrabile, primele două constituind suportul pe care a fost elaborată strategia. </w:t>
      </w:r>
    </w:p>
    <w:p w14:paraId="3BEA7942" w14:textId="77777777" w:rsidR="008C6A37" w:rsidRPr="008C6A37" w:rsidRDefault="008C6A37" w:rsidP="00BC11DC">
      <w:pPr>
        <w:ind w:firstLine="567"/>
        <w:rPr>
          <w:lang w:val="ro-RO"/>
        </w:rPr>
      </w:pPr>
      <w:r w:rsidRPr="008C6A37">
        <w:rPr>
          <w:lang w:val="ro-RO"/>
        </w:rPr>
        <w:t xml:space="preserve">Astfel, în Livrabilul 1 au fost prezentate aspecte privind starea actuală a zonei costiere (delimitarea zonei costiere, cadrul natural, starea actuală a calității mediului, biodiversității, patrimoniului cultural și peisajului, planificării teritoriale și a resurselor, starea actuală și tendințele referitoare la aspecte socio-demografice și economice, precum și principalele presiuni antropice și naturale din zona costieră și impactul acestora) și identificate principalele probleme cheie, vulnerabilitățile și nevoile în zona costieră. Tot în cadrul Livrabilului 1 au fost definite viziunea și obiectivele strategice și, de asemenea, analizate o serie de documente naționale adoptate sau aflate în curs de actualizare sau aprobare, ale căror principii, obiective și acțiuni sunt în concordanță cu Viziunea și Obiectivele Strategice definite anterior. </w:t>
      </w:r>
    </w:p>
    <w:p w14:paraId="2D3AA58E" w14:textId="77777777" w:rsidR="008C6A37" w:rsidRPr="008C6A37" w:rsidRDefault="008C6A37" w:rsidP="00BC11DC">
      <w:pPr>
        <w:ind w:firstLine="567"/>
        <w:rPr>
          <w:lang w:val="ro-RO"/>
        </w:rPr>
      </w:pPr>
      <w:r w:rsidRPr="008C6A37">
        <w:rPr>
          <w:lang w:val="ro-RO"/>
        </w:rPr>
        <w:t xml:space="preserve">Cel de-al doilea document suport, respectiv Livrabilului 2, conține informații referitoare la cadrul instituțional și legislativ, planul de acțiune al strategiei, cu descrierea acțiunilor propuse grupate în șase direcții de acțiune și monitorizare și evaluarea implementării strategiei. </w:t>
      </w:r>
    </w:p>
    <w:p w14:paraId="3DEE047D" w14:textId="77777777" w:rsidR="008C6A37" w:rsidRPr="008C6A37" w:rsidRDefault="008C6A37" w:rsidP="00BC11DC">
      <w:pPr>
        <w:ind w:firstLine="567"/>
        <w:rPr>
          <w:lang w:val="ro-RO"/>
        </w:rPr>
      </w:pPr>
      <w:r w:rsidRPr="008C6A37">
        <w:rPr>
          <w:lang w:val="ro-RO"/>
        </w:rPr>
        <w:t xml:space="preserve">În baza celor două documente suport a fost elaborată varianta draft a Strategiei, documentul a fost prezentat în cadrul a două evenimente publice </w:t>
      </w:r>
      <w:r w:rsidR="00074D16" w:rsidRPr="00074D16">
        <w:rPr>
          <w:lang w:val="ro-RO"/>
        </w:rPr>
        <w:t>(Ziua Internațională a Mării Negre 2023, Constanța, și Eveniment dedicat Zilei Mondiale a Urbanismului 2023, la Unive</w:t>
      </w:r>
      <w:r w:rsidR="00074D16">
        <w:rPr>
          <w:lang w:val="ro-RO"/>
        </w:rPr>
        <w:t>rsitatea Ovidius din Constanța)</w:t>
      </w:r>
      <w:r w:rsidRPr="008C6A37">
        <w:rPr>
          <w:lang w:val="ro-RO"/>
        </w:rPr>
        <w:t xml:space="preserve">, iar observațiile și comentariile factorilor interesați au fost analizate și incluse, după caz, în varianta draft consolidată a Strategiei. Ulterior procesului de evaluare strategică de mediu va fi definitivată forma finală a Strategiei naționale privind gospodărirea integrată a zonei costiere, care va fi supusă avizării interinstituționale, urmând să fie aprobată prin act normativ de către Guvernul României.        </w:t>
      </w:r>
    </w:p>
    <w:p w14:paraId="6F2F0952" w14:textId="77777777" w:rsidR="008C6A37" w:rsidRPr="008C6A37" w:rsidRDefault="008C6A37" w:rsidP="00BC11DC">
      <w:pPr>
        <w:ind w:firstLine="567"/>
        <w:rPr>
          <w:b/>
          <w:i/>
          <w:lang w:val="ro-RO"/>
        </w:rPr>
      </w:pPr>
      <w:r w:rsidRPr="008C6A37">
        <w:rPr>
          <w:b/>
          <w:i/>
          <w:lang w:val="ro-RO"/>
        </w:rPr>
        <w:t>Instituțiile implicate în elaborarea Strategiei</w:t>
      </w:r>
    </w:p>
    <w:p w14:paraId="7A858DCA" w14:textId="77777777" w:rsidR="008C6A37" w:rsidRPr="008C6A37" w:rsidRDefault="008C6A37" w:rsidP="00BC11DC">
      <w:pPr>
        <w:ind w:firstLine="567"/>
        <w:rPr>
          <w:lang w:val="ro-RO"/>
        </w:rPr>
      </w:pPr>
      <w:r w:rsidRPr="008C6A37">
        <w:rPr>
          <w:lang w:val="ro-RO"/>
        </w:rPr>
        <w:t>Livrabilele și conținutul strategiei au fost dezvoltate în cadrul proiectului „Îmbunătățirea capacității autorității publice centrale în domeniul protecției mediului marin în ceea ce privește monitorizarea, evaluarea, planificarea, implementarea și raportarea cerințelor stabilite în Directiva Cadru privind Strategia Marină pentru Mediul Marin și pentru gospodărirea integrată a zonei costiere”, cod SIPOCA 608 / MySmis 127598,</w:t>
      </w:r>
      <w:r w:rsidRPr="008C6A37">
        <w:rPr>
          <w:b/>
          <w:lang w:val="ro-RO"/>
        </w:rPr>
        <w:t xml:space="preserve"> </w:t>
      </w:r>
      <w:r w:rsidRPr="008C6A37">
        <w:rPr>
          <w:lang w:val="ro-RO"/>
        </w:rPr>
        <w:t xml:space="preserve">implementat de către Ministerul Mediului, Apelor și Pădurilor (MMAP) în calitate de Lider, având ca partener Administrația Națională ,,Apele Române” (ANAR) și Institutul Național de Cercetare și Dezvoltare Marină “Grigore Antipa”, Constanța. </w:t>
      </w:r>
    </w:p>
    <w:p w14:paraId="709D7A16" w14:textId="77777777" w:rsidR="008C6A37" w:rsidRPr="008C6A37" w:rsidRDefault="008C6A37" w:rsidP="00BC11DC">
      <w:pPr>
        <w:ind w:firstLine="567"/>
        <w:rPr>
          <w:lang w:val="ro-RO"/>
        </w:rPr>
      </w:pPr>
      <w:r w:rsidRPr="008C6A37">
        <w:rPr>
          <w:lang w:val="ro-RO"/>
        </w:rPr>
        <w:t>În cadrul acestui proiect, Ministerul Mediului, Apelor și Pădurilor a lansat procedura de achiziție servicii de consultanță și expertiză tehnică în vederea Elaborării Strategiei Naționale privind gospodărirea integrată a zonei costiere și a Planului de Management Integrat al zonei costiere. Câștigătoarea acestei proceduri de achiziție a fost declarată asocierea dintre Institutul Național de Cercetare-Dezvoltare pentru Geologie și Geoecologie Marină – GeoEcoMar, București (lider al asocierii) și Universitatea Ovidius Constanța.</w:t>
      </w:r>
    </w:p>
    <w:p w14:paraId="0F5DBD28" w14:textId="77777777" w:rsidR="00A92A31" w:rsidRPr="00A92A31" w:rsidRDefault="00A92A31" w:rsidP="00A92A31">
      <w:pPr>
        <w:spacing w:before="0"/>
        <w:ind w:firstLine="0"/>
        <w:rPr>
          <w:sz w:val="28"/>
          <w:lang w:val="ro-RO"/>
        </w:rPr>
      </w:pPr>
    </w:p>
    <w:p w14:paraId="1A2E6221" w14:textId="2EA01F25" w:rsidR="008C6A37" w:rsidRPr="0033469D" w:rsidRDefault="0033469D" w:rsidP="005D2CE5">
      <w:pPr>
        <w:pStyle w:val="Heading2"/>
      </w:pPr>
      <w:bookmarkStart w:id="4" w:name="_Toc150247006"/>
      <w:bookmarkStart w:id="5" w:name="_Toc169625093"/>
      <w:r w:rsidRPr="0033469D">
        <w:lastRenderedPageBreak/>
        <w:t xml:space="preserve">1.2 </w:t>
      </w:r>
      <w:r w:rsidR="008C6A37" w:rsidRPr="0033469D">
        <w:t xml:space="preserve">Prioritățile, politicile și </w:t>
      </w:r>
      <w:r w:rsidR="008C6A37" w:rsidRPr="005D2CE5">
        <w:t>cadrul</w:t>
      </w:r>
      <w:r w:rsidR="008C6A37" w:rsidRPr="0033469D">
        <w:t xml:space="preserve"> legal existente</w:t>
      </w:r>
      <w:bookmarkEnd w:id="4"/>
      <w:bookmarkEnd w:id="5"/>
      <w:r w:rsidR="008C6A37" w:rsidRPr="0033469D">
        <w:t> </w:t>
      </w:r>
    </w:p>
    <w:p w14:paraId="0077411E" w14:textId="77777777" w:rsidR="008C6A37" w:rsidRPr="008C6A37" w:rsidRDefault="008C6A37" w:rsidP="00BC11DC">
      <w:pPr>
        <w:ind w:firstLine="567"/>
        <w:rPr>
          <w:lang w:val="ro-RO"/>
        </w:rPr>
      </w:pPr>
      <w:r w:rsidRPr="008C6A37">
        <w:rPr>
          <w:lang w:val="ro-RO"/>
        </w:rPr>
        <w:t xml:space="preserve">Prioritățile identificate pentru dezvoltarea sustenabilă a zonei costiere, în concordanță cu cele generale naționale, sunt: </w:t>
      </w:r>
    </w:p>
    <w:p w14:paraId="7A09C70E" w14:textId="77777777" w:rsidR="008C6A37" w:rsidRPr="008C6A37" w:rsidRDefault="008C6A37" w:rsidP="00BC11DC">
      <w:pPr>
        <w:ind w:firstLine="567"/>
        <w:rPr>
          <w:lang w:val="ro-RO"/>
        </w:rPr>
      </w:pPr>
      <w:r w:rsidRPr="008C6A37">
        <w:rPr>
          <w:lang w:val="ro-RO"/>
        </w:rPr>
        <w:t>- protecția mediului costier, pe baza unei abordări ecosistemice, pentru păstrarea integrității acestuia și gestionarea durabilă a resurselor naturale ale zonei de coastă, atât a celor marine, cât și a celor terestre;</w:t>
      </w:r>
    </w:p>
    <w:p w14:paraId="642655E7" w14:textId="77777777" w:rsidR="008C6A37" w:rsidRPr="008C6A37" w:rsidRDefault="008C6A37" w:rsidP="00BC11DC">
      <w:pPr>
        <w:ind w:firstLine="567"/>
        <w:rPr>
          <w:lang w:val="ro-RO"/>
        </w:rPr>
      </w:pPr>
      <w:r w:rsidRPr="008C6A37">
        <w:rPr>
          <w:lang w:val="ro-RO"/>
        </w:rPr>
        <w:t>- recunoașterea amenințării schimbărilor climatice asupra zonelor costiere și a pericolelor pe care le implică acestea, respectiv creșterea nivelului mării și a frecvenței și intensității fenomenelor extreme (furtuni, inundații, secetă, etc);</w:t>
      </w:r>
    </w:p>
    <w:p w14:paraId="2DBA6100" w14:textId="77777777" w:rsidR="008C6A37" w:rsidRPr="008C6A37" w:rsidRDefault="008C6A37" w:rsidP="00BC11DC">
      <w:pPr>
        <w:ind w:firstLine="567"/>
        <w:rPr>
          <w:lang w:val="ro-RO"/>
        </w:rPr>
      </w:pPr>
      <w:r w:rsidRPr="008C6A37">
        <w:rPr>
          <w:lang w:val="ro-RO"/>
        </w:rPr>
        <w:t>- măsuri adecvate și responsabile, din punct de vedere ecologic, de protecție a litoralului, inclusiv protecția așezărilor de coastă și a moștenirii lor culturale;</w:t>
      </w:r>
    </w:p>
    <w:p w14:paraId="62280DEC" w14:textId="77777777" w:rsidR="008C6A37" w:rsidRPr="008C6A37" w:rsidRDefault="008C6A37" w:rsidP="00BC11DC">
      <w:pPr>
        <w:ind w:firstLine="567"/>
        <w:rPr>
          <w:lang w:val="ro-RO"/>
        </w:rPr>
      </w:pPr>
      <w:r w:rsidRPr="008C6A37">
        <w:rPr>
          <w:lang w:val="ro-RO"/>
        </w:rPr>
        <w:t>- dezvoltarea economică sustenabilă și creșterea numărului de locuri de muncă;</w:t>
      </w:r>
    </w:p>
    <w:p w14:paraId="35AAF72B" w14:textId="77777777" w:rsidR="008C6A37" w:rsidRPr="008C6A37" w:rsidRDefault="008C6A37" w:rsidP="00BC11DC">
      <w:pPr>
        <w:ind w:firstLine="567"/>
        <w:rPr>
          <w:lang w:val="ro-RO"/>
        </w:rPr>
      </w:pPr>
      <w:r w:rsidRPr="008C6A37">
        <w:rPr>
          <w:lang w:val="ro-RO"/>
        </w:rPr>
        <w:t>- un sistem social și cultural funcțional în comunitățile locale;</w:t>
      </w:r>
    </w:p>
    <w:p w14:paraId="7AD8FDB1" w14:textId="77777777" w:rsidR="008C6A37" w:rsidRPr="008C6A37" w:rsidRDefault="008C6A37" w:rsidP="00BC11DC">
      <w:pPr>
        <w:ind w:firstLine="567"/>
        <w:rPr>
          <w:lang w:val="ro-RO"/>
        </w:rPr>
      </w:pPr>
      <w:r w:rsidRPr="008C6A37">
        <w:rPr>
          <w:lang w:val="ro-RO"/>
        </w:rPr>
        <w:t>- crearea de spații  recreative accesibile publicului, cât și de peisaje cu valoare  estetică;</w:t>
      </w:r>
    </w:p>
    <w:p w14:paraId="71895DAB" w14:textId="77777777" w:rsidR="008C6A37" w:rsidRPr="008C6A37" w:rsidRDefault="008C6A37" w:rsidP="00BC11DC">
      <w:pPr>
        <w:ind w:firstLine="567"/>
        <w:rPr>
          <w:lang w:val="ro-RO"/>
        </w:rPr>
      </w:pPr>
      <w:r w:rsidRPr="008C6A37">
        <w:rPr>
          <w:lang w:val="ro-RO"/>
        </w:rPr>
        <w:t>- în cazul comunităților de coastă izolate, trebuie asigurat accesul la serviciile de bază;</w:t>
      </w:r>
    </w:p>
    <w:p w14:paraId="3DDB5864" w14:textId="77777777" w:rsidR="008C6A37" w:rsidRPr="00DC18E4" w:rsidRDefault="008C6A37" w:rsidP="00DC18E4">
      <w:pPr>
        <w:ind w:firstLine="567"/>
        <w:rPr>
          <w:lang w:val="ro-RO"/>
        </w:rPr>
      </w:pPr>
      <w:r w:rsidRPr="008C6A37">
        <w:rPr>
          <w:lang w:val="ro-RO"/>
        </w:rPr>
        <w:t>- îmbunătățirea coordonării acțiunilor întreprinse de către toate autoritățile cu atribuții atât pe mare, cât și pe uscat, în vederea gestionarii interacțiunii mare-uscat.</w:t>
      </w:r>
    </w:p>
    <w:p w14:paraId="22DAC421" w14:textId="7E5C6A8A" w:rsidR="008C6A37" w:rsidRPr="00DC18E4" w:rsidRDefault="008C6A37" w:rsidP="00BC11DC">
      <w:pPr>
        <w:ind w:firstLine="567"/>
        <w:rPr>
          <w:lang w:val="ro-RO"/>
        </w:rPr>
      </w:pPr>
      <w:r w:rsidRPr="00DC18E4">
        <w:rPr>
          <w:b/>
          <w:i/>
          <w:lang w:val="ro-RO"/>
        </w:rPr>
        <w:t>Cadrul de politici și legislativ european</w:t>
      </w:r>
      <w:r w:rsidRPr="00DC18E4">
        <w:rPr>
          <w:lang w:val="ro-RO"/>
        </w:rPr>
        <w:t xml:space="preserve"> ce influențează strategia națională privind g</w:t>
      </w:r>
      <w:r w:rsidR="00E937B9">
        <w:rPr>
          <w:lang w:val="ro-RO"/>
        </w:rPr>
        <w:t>ospodărirea</w:t>
      </w:r>
      <w:r w:rsidRPr="00DC18E4">
        <w:rPr>
          <w:lang w:val="ro-RO"/>
        </w:rPr>
        <w:t xml:space="preserve"> integrată a zonei costiere:</w:t>
      </w:r>
    </w:p>
    <w:p w14:paraId="3DA2EAA0" w14:textId="77777777" w:rsidR="008C6A37" w:rsidRPr="008C6A37" w:rsidRDefault="008C6A37" w:rsidP="00BC11DC">
      <w:pPr>
        <w:ind w:firstLine="567"/>
        <w:rPr>
          <w:lang w:val="ro-RO"/>
        </w:rPr>
      </w:pPr>
      <w:r w:rsidRPr="008C6A37">
        <w:rPr>
          <w:b/>
          <w:i/>
          <w:lang w:val="ro-RO"/>
        </w:rPr>
        <w:t xml:space="preserve">Directiva 2000/60/CE a Parlamentului European și a Consiliului din 23 octombrie 2000 de stabilire a unui cadru de politică comunitară în domeniul apei </w:t>
      </w:r>
      <w:r w:rsidRPr="008C6A37">
        <w:rPr>
          <w:lang w:val="ro-RO"/>
        </w:rPr>
        <w:t>asigură stabilirea unor norme pentru stoparea deteriorării stării corpurilor de apă din UE și pentru obținerea și / sau menținerea unei stări  bune a corpurilor de apă (ape de suprafață: râuri, lacuri, ape tranzitorii și ape costiere), precum și a corpurilor de apă  subterană din Europa. Directiva se bazează pe o abordare de district (bazin) hidrografic pentru a se asigura că țările vecine cooperează pentru a gestiona râurile și alte corpurile de apă subterane cu caracter transfrontalier - aflată în proces de implementare ciclică, începând cu anul 2000;</w:t>
      </w:r>
    </w:p>
    <w:p w14:paraId="2E0FBE4A" w14:textId="77777777" w:rsidR="008C6A37" w:rsidRPr="008C6A37" w:rsidRDefault="008C6A37" w:rsidP="00BC11DC">
      <w:pPr>
        <w:ind w:firstLine="567"/>
        <w:rPr>
          <w:lang w:val="ro-RO"/>
        </w:rPr>
      </w:pPr>
      <w:r w:rsidRPr="008C6A37">
        <w:rPr>
          <w:b/>
          <w:i/>
          <w:lang w:val="ro-RO"/>
        </w:rPr>
        <w:t xml:space="preserve">Directiva 2008/56/CE a Parlamentului European și a Consiliului din 17 iunie 2008 de instituire a unui cadru de acțiune comunitară în domeniul politicii privind mediul marin (Directiva Cadru privind Strategia pentru Mediul Marin) </w:t>
      </w:r>
      <w:r w:rsidRPr="008C6A37">
        <w:rPr>
          <w:lang w:val="ro-RO"/>
        </w:rPr>
        <w:t>stabilește o abordare și obiective comune ale Uniunii Europene (UE) pentru prevenirea, protecția și conservarea mediului marin, având în vedere presiunile și impactul activităților umane dăunătoare, permițând în același timp utilizarea durabilă a acestuia, prin intermediul unei abordări ecosistemice;</w:t>
      </w:r>
    </w:p>
    <w:p w14:paraId="2D03DF45" w14:textId="77777777" w:rsidR="008C6A37" w:rsidRPr="008C6A37" w:rsidRDefault="008C6A37" w:rsidP="00BC11DC">
      <w:pPr>
        <w:ind w:firstLine="567"/>
        <w:rPr>
          <w:lang w:val="ro-RO"/>
        </w:rPr>
      </w:pPr>
      <w:r w:rsidRPr="008C6A37">
        <w:rPr>
          <w:b/>
          <w:i/>
          <w:lang w:val="ro-RO"/>
        </w:rPr>
        <w:t xml:space="preserve">Directiva 2013/39/UE a Parlamentului European și a Consiliului din 12 august 2013 de modificare a Directivelor 2000/60/CE și 2008/105/CE în ceea ce privește substanțele prioritare din domeniul politicii apei </w:t>
      </w:r>
      <w:r w:rsidRPr="008C6A37">
        <w:rPr>
          <w:lang w:val="ro-RO"/>
        </w:rPr>
        <w:t>prin care este extinsă</w:t>
      </w:r>
      <w:r w:rsidRPr="008C6A37">
        <w:rPr>
          <w:b/>
          <w:i/>
          <w:lang w:val="ro-RO"/>
        </w:rPr>
        <w:t xml:space="preserve"> </w:t>
      </w:r>
      <w:r w:rsidRPr="008C6A37">
        <w:rPr>
          <w:lang w:val="ro-RO"/>
        </w:rPr>
        <w:t xml:space="preserve">lista de substanțelor prioritare la nivel comunitar; </w:t>
      </w:r>
    </w:p>
    <w:p w14:paraId="0899315D" w14:textId="77777777" w:rsidR="008C6A37" w:rsidRPr="008C6A37" w:rsidRDefault="008C6A37" w:rsidP="00BC11DC">
      <w:pPr>
        <w:ind w:firstLine="567"/>
        <w:rPr>
          <w:lang w:val="ro-RO"/>
        </w:rPr>
      </w:pPr>
      <w:r w:rsidRPr="008C6A37">
        <w:rPr>
          <w:b/>
          <w:i/>
          <w:lang w:val="ro-RO"/>
        </w:rPr>
        <w:lastRenderedPageBreak/>
        <w:t xml:space="preserve">Directiva 92/43/CEE din 21 mai 1992 privind conservarea habitatelor naturale și a speciilor de floră și faună sălbatice </w:t>
      </w:r>
      <w:r w:rsidRPr="008C6A37">
        <w:rPr>
          <w:lang w:val="ro-RO"/>
        </w:rPr>
        <w:t>are ca scop asigurarea menţinerii sau restabilirii unei stări favorabile de conservare a diversităţii biologice europene, prin stabilirea măsurilor specifice atât habitatelor naturale, cât şi speciilor sălbatice de floră şi faună, ţinând cont de exigenţele economice, sociale şi culturale ale statelor membre;</w:t>
      </w:r>
    </w:p>
    <w:p w14:paraId="78076159" w14:textId="77777777" w:rsidR="008C6A37" w:rsidRPr="008C6A37" w:rsidRDefault="008C6A37" w:rsidP="00BC11DC">
      <w:pPr>
        <w:ind w:firstLine="567"/>
        <w:rPr>
          <w:lang w:val="ro-RO"/>
        </w:rPr>
      </w:pPr>
      <w:r w:rsidRPr="008C6A37">
        <w:rPr>
          <w:b/>
          <w:i/>
          <w:lang w:val="ro-RO"/>
        </w:rPr>
        <w:t xml:space="preserve">Directiva 2009/147/CE a Parlamentului European și a Consiliului din 30 noiembrie 2009 privind conservarea păsărilor sălbatice </w:t>
      </w:r>
      <w:r w:rsidRPr="008C6A37">
        <w:rPr>
          <w:lang w:val="ro-RO"/>
        </w:rPr>
        <w:t>reglementează protejarea, gestionarea și controlul asupra tuturor speciilor de păsări care se găsesc în stare sălbatică pe teritoriul european al statelor membre și stabilește normele pentru exploatarea acestora, aplicându-se atât păsărilor, precum și ouălor, cuiburilor și habitatelor acestora;</w:t>
      </w:r>
    </w:p>
    <w:p w14:paraId="4E2E85BF" w14:textId="77777777" w:rsidR="008C6A37" w:rsidRPr="008C6A37" w:rsidRDefault="008C6A37" w:rsidP="00BC11DC">
      <w:pPr>
        <w:ind w:firstLine="567"/>
        <w:rPr>
          <w:lang w:val="ro-RO"/>
        </w:rPr>
      </w:pPr>
      <w:r w:rsidRPr="008C6A37">
        <w:rPr>
          <w:b/>
          <w:i/>
          <w:lang w:val="ro-RO"/>
        </w:rPr>
        <w:t xml:space="preserve">Directiva Consiliului din 21 mai 1991 privind tratarea apelor urbane reziduale (91/274/CEE) </w:t>
      </w:r>
      <w:r w:rsidRPr="008C6A37">
        <w:rPr>
          <w:lang w:val="ro-RO"/>
        </w:rPr>
        <w:t>are scopul de a proteja mediul acvatic din Uniunea Europeană de efectele adverse (precum eutrofizarea) ale apelor urbane reziduale;</w:t>
      </w:r>
    </w:p>
    <w:p w14:paraId="69CDD84F" w14:textId="77777777" w:rsidR="008C6A37" w:rsidRPr="008C6A37" w:rsidRDefault="008C6A37" w:rsidP="00BC11DC">
      <w:pPr>
        <w:ind w:firstLine="567"/>
        <w:rPr>
          <w:lang w:val="ro-RO"/>
        </w:rPr>
      </w:pPr>
      <w:r w:rsidRPr="008C6A37">
        <w:rPr>
          <w:b/>
          <w:i/>
          <w:lang w:val="ro-RO"/>
        </w:rPr>
        <w:t>Directiva 2010/75/UE a Parlamentului European și a Consiliului din 24  noiembrie 2010 privind emisiile industriale</w:t>
      </w:r>
      <w:r w:rsidRPr="008C6A37">
        <w:rPr>
          <w:lang w:val="ro-RO"/>
        </w:rPr>
        <w:t xml:space="preserve"> acoperă ca zonă de reglementare mai multe directive, adunând într-un singur instrument legislativ clar şi coerent un set de norme comune pentru autorizarea şi controlul instalaţiilor industriale. Directiva are drept scop reducerea emisiilor industriale de pe teritoriul Uniunii Europene, cu precădere printr-o mai bună aplicare a celor mai bune tehnici disponibile;</w:t>
      </w:r>
    </w:p>
    <w:p w14:paraId="18F04C6E" w14:textId="77777777" w:rsidR="008C6A37" w:rsidRPr="008C6A37" w:rsidRDefault="00000000" w:rsidP="00BC11DC">
      <w:pPr>
        <w:ind w:firstLine="567"/>
        <w:rPr>
          <w:lang w:val="ro-RO"/>
        </w:rPr>
      </w:pPr>
      <w:hyperlink r:id="rId13">
        <w:r w:rsidR="008C6A37" w:rsidRPr="00074D16">
          <w:rPr>
            <w:rStyle w:val="Hyperlink"/>
            <w:b/>
            <w:i/>
            <w:color w:val="auto"/>
            <w:u w:val="none"/>
            <w:lang w:val="ro-RO"/>
          </w:rPr>
          <w:t>Directiva 91/676/CEE a  Consiliului din 12 decembrie 1991 privind protecția apelor împotriva poluării cu nitrați proveniți din surse agricole</w:t>
        </w:r>
      </w:hyperlink>
      <w:r w:rsidR="008C6A37" w:rsidRPr="008C6A37">
        <w:rPr>
          <w:b/>
          <w:i/>
          <w:lang w:val="ro-RO"/>
        </w:rPr>
        <w:t xml:space="preserve"> </w:t>
      </w:r>
      <w:r w:rsidR="008C6A37" w:rsidRPr="008C6A37">
        <w:rPr>
          <w:lang w:val="ro-RO"/>
        </w:rPr>
        <w:t>face parte integrantă din Directiva-cadru privind Apa și este strâns legată de alte politici ale UE care vizează calitatea aerului, schimbările climatice și agricultura. Această directivă vizează reducerea poluării apei cu nitrați utilizați în scopuri agricole și prevenirea oricărei poluări în viitor;</w:t>
      </w:r>
    </w:p>
    <w:p w14:paraId="55B0E9DB" w14:textId="77777777" w:rsidR="008C6A37" w:rsidRPr="008C6A37" w:rsidRDefault="008C6A37" w:rsidP="00BC11DC">
      <w:pPr>
        <w:ind w:firstLine="567"/>
        <w:rPr>
          <w:lang w:val="ro-RO"/>
        </w:rPr>
      </w:pPr>
      <w:r w:rsidRPr="008C6A37">
        <w:rPr>
          <w:b/>
          <w:i/>
          <w:lang w:val="ro-RO"/>
        </w:rPr>
        <w:t xml:space="preserve">Directiva 2006/7/CE a Parlamentului European și a Consiliului din 15 februarie 2006 privind gestionarea calității apei pentru scăldat </w:t>
      </w:r>
      <w:r w:rsidRPr="008C6A37">
        <w:rPr>
          <w:lang w:val="ro-RO"/>
        </w:rPr>
        <w:t>are ca scop conservarea, protejarea și îmbunătățirea calității mediului, precum și protejarea sănătății oamenilor, prin completarea Directivei 2000/60/CE. Directiva se aplică oricărui element al apelor de suprafață unde autoritatea competentă preconizează un număr mare de oameni la scăldat și în care nu a impus o interdicție permanentă sau nu a emis o recomandare permanentă împotriva scăldatului;</w:t>
      </w:r>
    </w:p>
    <w:p w14:paraId="7F0864D9" w14:textId="77777777" w:rsidR="008C6A37" w:rsidRPr="008C6A37" w:rsidRDefault="008C6A37" w:rsidP="00BC11DC">
      <w:pPr>
        <w:ind w:firstLine="567"/>
        <w:rPr>
          <w:lang w:val="ro-RO"/>
        </w:rPr>
      </w:pPr>
      <w:r w:rsidRPr="008C6A37">
        <w:rPr>
          <w:b/>
          <w:i/>
          <w:lang w:val="ro-RO"/>
        </w:rPr>
        <w:t>Pactul Verde European</w:t>
      </w:r>
      <w:r w:rsidRPr="008C6A37">
        <w:rPr>
          <w:lang w:val="ro-RO"/>
        </w:rPr>
        <w:t xml:space="preserve"> (intrat în vigoare în decembrie 2019) urmărește transformarea UE într-o economie eficientă din punct de vedere al utilizării resurselor, asigurând: zero emisii nete de gaze cu efect de seră până în 2050 și o creștere economică sustenabilă în ceea ce privește utilizarea resurselor;</w:t>
      </w:r>
    </w:p>
    <w:p w14:paraId="0011E76D" w14:textId="77777777" w:rsidR="008C6A37" w:rsidRPr="008C6A37" w:rsidRDefault="008C6A37" w:rsidP="00BC11DC">
      <w:pPr>
        <w:ind w:firstLine="567"/>
        <w:rPr>
          <w:lang w:val="ro-RO"/>
        </w:rPr>
      </w:pPr>
      <w:r w:rsidRPr="008C6A37">
        <w:rPr>
          <w:b/>
          <w:i/>
          <w:lang w:val="ro-RO"/>
        </w:rPr>
        <w:t>Planul de acțiune pentru poluare zero</w:t>
      </w:r>
      <w:r w:rsidRPr="008C6A37">
        <w:rPr>
          <w:lang w:val="ro-RO"/>
        </w:rPr>
        <w:t xml:space="preserve"> urmărește ca poluarea aerului, a apei și a solului să fie redusă la niveluri care să nu mai fie considerate dăunătoare pentru sănătate și pentru ecosistemele naturale și care să respecte limitele la care planeta noastră poate face față, creând astfel un mediu fără substanțe toxice. Acest plan a fost adoptat în 2021 și în cazul componentei apă se dorește îmbunătățirea calității acesteia prin reducerea deșeurilor, a deșeurilor de plastic în mări (50%) și a microplasticelor eliberate în mediul înconjurător (30%);</w:t>
      </w:r>
    </w:p>
    <w:p w14:paraId="49E7E72F" w14:textId="77777777" w:rsidR="008C6A37" w:rsidRPr="008C6A37" w:rsidRDefault="008C6A37" w:rsidP="00BC11DC">
      <w:pPr>
        <w:ind w:firstLine="567"/>
        <w:rPr>
          <w:lang w:val="ro-RO"/>
        </w:rPr>
      </w:pPr>
      <w:r w:rsidRPr="008C6A37">
        <w:rPr>
          <w:b/>
          <w:i/>
          <w:lang w:val="ro-RO"/>
        </w:rPr>
        <w:lastRenderedPageBreak/>
        <w:t>Strategia UE privind biodiversitatea pentru 2030</w:t>
      </w:r>
      <w:r w:rsidRPr="008C6A37">
        <w:rPr>
          <w:lang w:val="ro-RO"/>
        </w:rPr>
        <w:t xml:space="preserve"> - reprezintă un set de măsuri și directive, menite să restabilească, protejeze și promoveze biodiversitatea, ca o condiție cheie pentru existența civilizației umane, reducerea riscurilor climatice, economice etc. Printre obiectivele principale sunt enumerate: protecția legală a cel puțin 30% din teritoriul UE, în principal a sistemelor terestre și marine a zonei tropicale și subtropicale, ca ecosisteme cu grad înalt de biodiversitate; protecția strictă a cel puțin o treime din teritoriile protejate legal; definirea unor obiective clare de conservare a biodiversității. Printre acțiuni, sunt enumerate protejarea apelor, stimularea și protecția biodiversității în zonele urbane și periurbane, prevenirea introducerii speciilor invazive, protecția speciilor cu risc de dispariție, etc.</w:t>
      </w:r>
    </w:p>
    <w:p w14:paraId="609CE4D1" w14:textId="77777777" w:rsidR="008C6A37" w:rsidRPr="008C6A37" w:rsidRDefault="00000000" w:rsidP="00BC11DC">
      <w:pPr>
        <w:ind w:firstLine="567"/>
        <w:rPr>
          <w:lang w:val="ro-RO"/>
        </w:rPr>
      </w:pPr>
      <w:hyperlink r:id="rId14">
        <w:r w:rsidR="008C6A37" w:rsidRPr="00074D16">
          <w:rPr>
            <w:rStyle w:val="Hyperlink"/>
            <w:b/>
            <w:i/>
            <w:color w:val="auto"/>
            <w:u w:val="none"/>
            <w:lang w:val="ro-RO"/>
          </w:rPr>
          <w:t xml:space="preserve">Convenția privind accesul la </w:t>
        </w:r>
      </w:hyperlink>
      <w:r w:rsidR="00A92A31">
        <w:rPr>
          <w:b/>
          <w:i/>
          <w:lang w:val="ro-RO"/>
        </w:rPr>
        <w:t>informație</w:t>
      </w:r>
      <w:hyperlink r:id="rId15">
        <w:r w:rsidR="008C6A37" w:rsidRPr="00074D16">
          <w:rPr>
            <w:rStyle w:val="Hyperlink"/>
            <w:b/>
            <w:i/>
            <w:color w:val="auto"/>
            <w:u w:val="none"/>
            <w:lang w:val="ro-RO"/>
          </w:rPr>
          <w:t>, participarea publicului la luarea deciziilor și accesul la justiție în probleme de mediu (Convenția de la Aarhus)</w:t>
        </w:r>
      </w:hyperlink>
      <w:r w:rsidR="008C6A37" w:rsidRPr="008C6A37">
        <w:rPr>
          <w:lang w:val="ro-RO"/>
        </w:rPr>
        <w:t>, în vigoare de la 30 octombrie 2001, garantează accesul la informație, participarea publicului la luarea deciziilor și accesul la justiție în problemele de mediu;</w:t>
      </w:r>
    </w:p>
    <w:p w14:paraId="7E031F3B" w14:textId="77777777" w:rsidR="008C6A37" w:rsidRPr="008C6A37" w:rsidRDefault="008C6A37" w:rsidP="00BC11DC">
      <w:pPr>
        <w:ind w:firstLine="567"/>
        <w:rPr>
          <w:lang w:val="ro-RO"/>
        </w:rPr>
      </w:pPr>
      <w:r w:rsidRPr="008C6A37">
        <w:rPr>
          <w:b/>
          <w:i/>
          <w:lang w:val="ro-RO"/>
        </w:rPr>
        <w:t>Directiva 2007/2/CE de instituire a unei infrastructuri pentru informaţii spaţiale în Comunitatea Europeană(INSPIRE)</w:t>
      </w:r>
      <w:r w:rsidRPr="008C6A37">
        <w:rPr>
          <w:lang w:val="ro-RO"/>
        </w:rPr>
        <w:t xml:space="preserve"> are</w:t>
      </w:r>
      <w:r w:rsidRPr="008C6A37">
        <w:rPr>
          <w:b/>
          <w:i/>
          <w:lang w:val="ro-RO"/>
        </w:rPr>
        <w:t xml:space="preserve"> </w:t>
      </w:r>
      <w:r w:rsidRPr="008C6A37">
        <w:rPr>
          <w:lang w:val="ro-RO"/>
        </w:rPr>
        <w:t>ca scop crearea unei infrastructuri de date spațiale ce poate fi folosit la nivelul UE în scopul politicilor de mediu și de identificare a activităților ce pot degrada calitatea mediului;</w:t>
      </w:r>
    </w:p>
    <w:p w14:paraId="58D21D8F" w14:textId="77777777" w:rsidR="008C6A37" w:rsidRPr="008C6A37" w:rsidRDefault="008C6A37" w:rsidP="00BC11DC">
      <w:pPr>
        <w:ind w:firstLine="567"/>
        <w:rPr>
          <w:lang w:val="ro-RO"/>
        </w:rPr>
      </w:pPr>
      <w:r w:rsidRPr="008C6A37">
        <w:rPr>
          <w:b/>
          <w:i/>
          <w:lang w:val="ro-RO"/>
        </w:rPr>
        <w:t>Politica de coeziune a Uniunii Europene</w:t>
      </w:r>
      <w:r w:rsidRPr="008C6A37">
        <w:rPr>
          <w:lang w:val="ro-RO"/>
        </w:rPr>
        <w:t xml:space="preserve"> reprezintă un pilon principal al construcției europene alături de politica de securitate și cea pentru cooperare în domeniile justiției și afacerilor interne, după cum este stipulat în Tratatul de la Maastricht din 1992. Politica de coeziune sprijină dezvoltarea armonioasă și echilibrată a statelor membre și a regiunilor acestora, prin reducerea disparităților. Coeziunea, la nivelul UE, are trei dimensiuni, socială, economică și teritorială și este realizată prin intermediul schemelor de sprijin financiar multianual, aferente etapelor de programare. Fondurile nerambursabile alocate perioadei 2021-2027 depășesc 390 de mld. euro și sprijină proiecte din varii, domenii precum protecția mediului și reconstrucția ecologică, dezvoltarea turismului și valorificarea patrimoniului.</w:t>
      </w:r>
    </w:p>
    <w:p w14:paraId="0FC4CBFF" w14:textId="77777777" w:rsidR="008C6A37" w:rsidRPr="008C6A37" w:rsidRDefault="008C6A37" w:rsidP="00BC11DC">
      <w:pPr>
        <w:ind w:firstLine="567"/>
        <w:rPr>
          <w:lang w:val="ro-RO"/>
        </w:rPr>
      </w:pPr>
      <w:r w:rsidRPr="008C6A37">
        <w:rPr>
          <w:b/>
          <w:i/>
          <w:lang w:val="ro-RO"/>
        </w:rPr>
        <w:t>Politica Agricolă Comună (PAC)</w:t>
      </w:r>
      <w:r w:rsidRPr="008C6A37">
        <w:rPr>
          <w:lang w:val="ro-RO"/>
        </w:rPr>
        <w:t xml:space="preserve"> garantează faptul că agricultorii pot furniza servicii pe termen lung prin promovarea </w:t>
      </w:r>
      <w:hyperlink r:id="rId16">
        <w:r w:rsidRPr="00A92A31">
          <w:rPr>
            <w:rStyle w:val="Hyperlink"/>
            <w:color w:val="auto"/>
            <w:u w:val="none"/>
            <w:lang w:val="ro-RO"/>
          </w:rPr>
          <w:t>sustenabilității economice</w:t>
        </w:r>
      </w:hyperlink>
      <w:r w:rsidRPr="008C6A37">
        <w:rPr>
          <w:lang w:val="ro-RO"/>
        </w:rPr>
        <w:t xml:space="preserve"> a agriculturii. La rândul lor, măsurile economice prevăzute de PAC conțin dispoziții favorabile incluziunii sociale. </w:t>
      </w:r>
      <w:hyperlink r:id="rId17">
        <w:r w:rsidRPr="00074D16">
          <w:rPr>
            <w:rStyle w:val="Hyperlink"/>
            <w:color w:val="auto"/>
            <w:u w:val="none"/>
            <w:lang w:val="ro-RO"/>
          </w:rPr>
          <w:t>Acțiunile de protecție a mediului</w:t>
        </w:r>
      </w:hyperlink>
      <w:r w:rsidRPr="008C6A37">
        <w:rPr>
          <w:lang w:val="ro-RO"/>
        </w:rPr>
        <w:t xml:space="preserve"> din cadrul PAC sunt, de asemenea, concepute pentru a fi sustenabile din punct de vedere social. Prin sprijinirea angajamentelor în materie de gestionare și investiții care sunt benefice pentru mediu, PAC permite agricultorilor să protejeze resursele naturale și biodiversitatea. În plus, prin politici și acțiuni care vizează în mod specific securitatea alimentară și sprijinirea comunităților rurale, PAC garantează că agricultura poate contribui la sustenabilitate, la toate nivelurile societății;</w:t>
      </w:r>
    </w:p>
    <w:p w14:paraId="0BD2AF56" w14:textId="77777777" w:rsidR="008C6A37" w:rsidRPr="008C6A37" w:rsidRDefault="008C6A37" w:rsidP="00BC11DC">
      <w:pPr>
        <w:ind w:firstLine="567"/>
        <w:rPr>
          <w:lang w:val="ro-RO"/>
        </w:rPr>
      </w:pPr>
      <w:r w:rsidRPr="008C6A37">
        <w:rPr>
          <w:b/>
          <w:i/>
          <w:lang w:val="ro-RO"/>
        </w:rPr>
        <w:t xml:space="preserve">Politica comună a UE în domeniul pescuitului (PCP) </w:t>
      </w:r>
      <w:r w:rsidRPr="008C6A37">
        <w:rPr>
          <w:lang w:val="ro-RO"/>
        </w:rPr>
        <w:t>are</w:t>
      </w:r>
      <w:r w:rsidRPr="008C6A37">
        <w:rPr>
          <w:b/>
          <w:i/>
          <w:lang w:val="ro-RO"/>
        </w:rPr>
        <w:t xml:space="preserve"> </w:t>
      </w:r>
      <w:r w:rsidRPr="008C6A37">
        <w:rPr>
          <w:lang w:val="ro-RO"/>
        </w:rPr>
        <w:t xml:space="preserve">ca obiectiv garantarea faptului că activitățile de pescuit și acvacultură contribuie la sustenabilitatea ecologică, economică și socială pe termen lung. PCP stabilește normele de gestionare a pescuitului, contribuind astfel la conservarea resurselor biologice marine, la creșterea productivității, la un nivel de trai echitabil pentru sectorul pescuitului, la piețe stabile și la disponibilitatea resurselor alimentare la prețuri rezonabile. În ceea ce privește măsurile de piață și sprijinul financiar, PCP cuprinde, </w:t>
      </w:r>
      <w:r w:rsidRPr="008C6A37">
        <w:rPr>
          <w:lang w:val="ro-RO"/>
        </w:rPr>
        <w:lastRenderedPageBreak/>
        <w:t>de asemenea, resursele biologice de apă dulce și activitățile de acvacultură, precum și prelucrarea și comercializarea produselor pescărești și de acvacultură.</w:t>
      </w:r>
    </w:p>
    <w:p w14:paraId="2C9D2479" w14:textId="77777777" w:rsidR="008C6A37" w:rsidRPr="008C6A37" w:rsidRDefault="008C6A37" w:rsidP="00BC11DC">
      <w:pPr>
        <w:ind w:firstLine="567"/>
        <w:rPr>
          <w:lang w:val="ro-RO"/>
        </w:rPr>
      </w:pPr>
      <w:r w:rsidRPr="008C6A37">
        <w:rPr>
          <w:b/>
          <w:i/>
          <w:lang w:val="ro-RO"/>
        </w:rPr>
        <w:t>Strategia UE privind adaptarea la schimbările climatice</w:t>
      </w:r>
      <w:r w:rsidRPr="008C6A37">
        <w:rPr>
          <w:lang w:val="ro-RO"/>
        </w:rPr>
        <w:t xml:space="preserve"> evidențiază pericolul și amenințările legate de sănătatea umană, economie și mediu, din cauza schimbărilor climatice continue. Printre acestea se numără decesele și pagubele cauzate de inundații, valuri de căldură sau incendii de pădure. În acest sens, o soluție poate fi refacerea capacității de infiltrație (funcția de burete) a solurilor ce va stimula alimentarea rezervei de apă din acvifere și reducerea riscului la inundații - strategie aprobată pe 24.02.2021.</w:t>
      </w:r>
    </w:p>
    <w:p w14:paraId="238D1292" w14:textId="77777777" w:rsidR="008C6A37" w:rsidRPr="008C6A37" w:rsidRDefault="008C6A37" w:rsidP="00BC11DC">
      <w:pPr>
        <w:ind w:firstLine="567"/>
        <w:rPr>
          <w:lang w:val="ro-RO"/>
        </w:rPr>
      </w:pPr>
      <w:r w:rsidRPr="008C6A37">
        <w:rPr>
          <w:b/>
          <w:i/>
          <w:lang w:val="ro-RO"/>
        </w:rPr>
        <w:t>Cadrul de politici și legislativ național</w:t>
      </w:r>
    </w:p>
    <w:p w14:paraId="760E31FE" w14:textId="77777777" w:rsidR="008C6A37" w:rsidRPr="008C6A37" w:rsidRDefault="008C6A37" w:rsidP="00BC11DC">
      <w:pPr>
        <w:ind w:firstLine="567"/>
        <w:rPr>
          <w:lang w:val="ro-RO"/>
        </w:rPr>
      </w:pPr>
      <w:r w:rsidRPr="008C6A37">
        <w:rPr>
          <w:lang w:val="ro-RO"/>
        </w:rPr>
        <w:t>România a adoptat, în perioada recentă, o serie de strategii și planuri naționale integrate care fundamentează cadrul strategic privind conservarea patrimoniului natural și cultural, prevenirea și limitarea / stoparea poluării, planificarea spațială, dezvoltarea durabilă și managementul hazardelor și riscurilor, ale căror prevederi au fost luate în considerare în cadrul prezentei strategii.</w:t>
      </w:r>
    </w:p>
    <w:p w14:paraId="19A0DE01" w14:textId="77777777" w:rsidR="008C6A37" w:rsidRPr="008C6A37" w:rsidRDefault="008C6A37" w:rsidP="00BC11DC">
      <w:pPr>
        <w:ind w:firstLine="567"/>
        <w:rPr>
          <w:b/>
          <w:i/>
          <w:lang w:val="ro-RO"/>
        </w:rPr>
      </w:pPr>
      <w:r w:rsidRPr="008C6A37">
        <w:rPr>
          <w:b/>
          <w:i/>
          <w:lang w:val="ro-RO"/>
        </w:rPr>
        <w:t>Acordul de Parteneriat</w:t>
      </w:r>
      <w:r w:rsidRPr="008C6A37">
        <w:rPr>
          <w:lang w:val="ro-RO"/>
        </w:rPr>
        <w:t xml:space="preserve"> este un document cu caracter strategic, pentru programarea investițiilor care pot fi susținute prin instrumentele financiare ale Politicii de Coeziune ale UE și prin fondurile destinate sectorului piscicol, pentru perioadele de programare multianuală (de 7 ani) de implementare a Politicii de Coeziune. Actualul Acord de Parteneriat pentru intervalul 2021-2027, a fost semnat în forma sa finală în iulie 2022 și prevede o alocare financiară din partea UE, de circa 31,5 mld. euro, care va fi utilizată în cadrul a 9 Programe Naționale și a 8 Programe Regionale. Obiectivele vizate pentru actuala perioadă de programare sunt: competitivitate economică și digitalizare, economie verde, sistem modern de sănătate publică, transport durabil, piața muncii și sărăcia, pescuitul durabil.</w:t>
      </w:r>
    </w:p>
    <w:p w14:paraId="4B71823D" w14:textId="77777777" w:rsidR="008C6A37" w:rsidRPr="008C6A37" w:rsidRDefault="008C6A37" w:rsidP="00BC11DC">
      <w:pPr>
        <w:ind w:firstLine="567"/>
        <w:rPr>
          <w:lang w:val="ro-RO"/>
        </w:rPr>
      </w:pPr>
      <w:r w:rsidRPr="008C6A37">
        <w:rPr>
          <w:b/>
          <w:i/>
          <w:lang w:val="ro-RO"/>
        </w:rPr>
        <w:t>Planul Național de Redresare și Reziliență (PNRR</w:t>
      </w:r>
      <w:r w:rsidRPr="008C6A37">
        <w:rPr>
          <w:lang w:val="ro-RO"/>
        </w:rPr>
        <w:t xml:space="preserve">), aprobat de Comisia Europeană (CE) în 2021, este documentul strategic al României care fundamentează prioritățile de reformă și domeniile de investiții pentru aplicarea Mecanismului de Redresare și Reziliență la nivel național, având ca scop final accelerarea implementării reformelor sustenabile și a investițiilor publice conexe, respectiv asigurarea ameliorării stării economiei naționale după criza generată de COVID-19, creșterea economică și crearea de locuri de muncă necesare pentru incluziunea forței de muncă, sprijinirea tranziției verzi și a celei digitale pentru promovarea creșterii durabile. </w:t>
      </w:r>
    </w:p>
    <w:p w14:paraId="5C9E28A3" w14:textId="77777777" w:rsidR="008C6A37" w:rsidRPr="008C6A37" w:rsidRDefault="008C6A37" w:rsidP="00BC11DC">
      <w:pPr>
        <w:ind w:firstLine="567"/>
        <w:rPr>
          <w:b/>
          <w:i/>
          <w:lang w:val="ro-RO"/>
        </w:rPr>
      </w:pPr>
      <w:r w:rsidRPr="008C6A37">
        <w:rPr>
          <w:lang w:val="ro-RO"/>
        </w:rPr>
        <w:t>Planul conține 171 de măsuri (64 de reforme și 107 investiții), structurate în jurul a 6 piloni și 15 componente. Relevante pentru strategia națională privind managementul zonei costiere sunt Pilonul I - Tranziție verde, cu componentele Managementul apei, Transport sustenabil, Energia, Pădurile și biodiversitatea, Managementul deșeurilor, Pilonul IV - Coeziune socială și teritorială (componenta 11 Turism și cultură) și pilonul VI - Noua generație, componenta Educație.</w:t>
      </w:r>
    </w:p>
    <w:p w14:paraId="3A89E42F" w14:textId="3F29070C" w:rsidR="008C6A37" w:rsidRPr="008C6A37" w:rsidRDefault="008C6A37" w:rsidP="00BC11DC">
      <w:pPr>
        <w:ind w:firstLine="567"/>
        <w:rPr>
          <w:b/>
          <w:i/>
          <w:lang w:val="ro-RO"/>
        </w:rPr>
      </w:pPr>
      <w:r w:rsidRPr="008C6A37">
        <w:rPr>
          <w:b/>
          <w:i/>
          <w:lang w:val="ro-RO"/>
        </w:rPr>
        <w:t xml:space="preserve">Strategia Națională pentru Dezvoltarea Durabilă a României 2030 (SNDDR) </w:t>
      </w:r>
      <w:r w:rsidRPr="008C6A37">
        <w:rPr>
          <w:lang w:val="ro-RO"/>
        </w:rPr>
        <w:t xml:space="preserve"> reprezintă răspunsul României la Agenda 2030 pentru Dezvoltare Durabilă și stabilește cadrul național pentru implementarea celor 17 Obiective de Dezvoltare Durabilă (ODD). Cele mai relevante pentru strategia națională privind g</w:t>
      </w:r>
      <w:r w:rsidR="00E937B9">
        <w:rPr>
          <w:lang w:val="ro-RO"/>
        </w:rPr>
        <w:t>ospodărirea</w:t>
      </w:r>
      <w:r w:rsidRPr="008C6A37">
        <w:rPr>
          <w:lang w:val="ro-RO"/>
        </w:rPr>
        <w:t xml:space="preserve"> integrată a zonei costiere sunt: i) ODD </w:t>
      </w:r>
      <w:r w:rsidRPr="008C6A37">
        <w:rPr>
          <w:lang w:val="ro-RO"/>
        </w:rPr>
        <w:lastRenderedPageBreak/>
        <w:t xml:space="preserve">13 - Acțiune climatică, care vizează consolidarea capacității de adaptare și reziliență a României pentru a combate pericolele legate de schimbările climatice și dezastrele naturale prin integrarea măsurilor de diminuare și de adaptare la schimbările climatice și dezastrele naturale atât în strategiile, cât și în politicile naționale și în planificarea și creșterea nivelului de educație și conștientizare privind schimbările climatice; ii) ODD 14 – Viața acvatică, care vizează prevenirea și reducerea poluării marine, gestionarea și protecția durabilă a ecosistemelor marine, conservarea zonelor costiere și asigurarea unui pescuit durabil; iii) ODD15 – Viața terestră, care vizează conservarea și utilizarea durabilă a ecosistemelor terestre, combaterea deșertificării, restaurarea terenurilor și solurilor degradate, inclusiv a terenurilor afectate de secetă și inundații, dezvoltarea infrastructurii verzi, conservarea și protejarea zonelor umede, tranziția către o economie circulară. </w:t>
      </w:r>
    </w:p>
    <w:p w14:paraId="5703B949" w14:textId="77777777" w:rsidR="008C6A37" w:rsidRPr="008C6A37" w:rsidRDefault="008C6A37" w:rsidP="00BC11DC">
      <w:pPr>
        <w:ind w:firstLine="567"/>
        <w:rPr>
          <w:lang w:val="ro-RO"/>
        </w:rPr>
      </w:pPr>
      <w:r w:rsidRPr="008C6A37">
        <w:rPr>
          <w:lang w:val="ro-RO"/>
        </w:rPr>
        <w:t>Pe lângă aceste obiective referitoare la protejarea și conservarea mediului, precum și la adaptarea la schimbările climatice, SNDDR vizează și: i) dezvoltarea unui sector agroalimentar durabil și competitiv pentru îmbunătățirea calității vieții, promovarea producției autohtone și ecologice și valorificarea produselor tradiționale (ODD 2 Foamete zero), ii) creșterea calității vieții prin dezvoltarea infrastructurii de apă și canalizare și a serviciilor publice (ODD 6) - Apă curată și sanitație), iii) dezvoltarea infrastructurii calitative, sigure și durabile, reabilitarea durabilă a industriilor pentru utilizarea eficientă a resurselor, prin adoptarea tehnologiilor și proceselor industriale ecologice (ODD 9 Industrie, Inovație și Infrastructură), iv) promovarea conceptului de smart-city, consolidarea eforturilor de protecție și salvgardare a patrimoniului cultural, reducerea impactului negativ asupra mediului în orașe, inclusiv prin acordarea unei atenții deosebite calității aerului și mediului în general (ODD 11 Orașe și comunități durabile).</w:t>
      </w:r>
    </w:p>
    <w:p w14:paraId="44E81A08" w14:textId="77777777" w:rsidR="008C6A37" w:rsidRPr="008C6A37" w:rsidRDefault="008C6A37" w:rsidP="00BC11DC">
      <w:pPr>
        <w:ind w:firstLine="567"/>
        <w:rPr>
          <w:lang w:val="ro-RO"/>
        </w:rPr>
      </w:pPr>
      <w:r w:rsidRPr="008C6A37">
        <w:rPr>
          <w:b/>
          <w:i/>
          <w:lang w:val="ro-RO"/>
        </w:rPr>
        <w:t xml:space="preserve">Strategia Națională privind Adaptarea la Schimbările Climatice pentru perioada 2023-2030 cu perspectiva anului 2050 (SNASC) și Planul naţional de acţiune pentru implementarea acesteia </w:t>
      </w:r>
      <w:r w:rsidRPr="008C6A37">
        <w:rPr>
          <w:lang w:val="ro-RO"/>
        </w:rPr>
        <w:t>urmăresc îmbunătățirea capacității de adaptare și creșterea rezilienței sistemelor socio-economice și naturale la impactul variabilității și schimbărilor climatice pe diferite areale și intervale de timp.</w:t>
      </w:r>
    </w:p>
    <w:p w14:paraId="173B900E" w14:textId="77777777" w:rsidR="008C6A37" w:rsidRPr="008C6A37" w:rsidRDefault="008C6A37" w:rsidP="00BC11DC">
      <w:pPr>
        <w:ind w:firstLine="567"/>
        <w:rPr>
          <w:lang w:val="ro-RO"/>
        </w:rPr>
      </w:pPr>
      <w:r w:rsidRPr="008C6A37">
        <w:rPr>
          <w:b/>
          <w:i/>
          <w:lang w:val="ro-RO"/>
        </w:rPr>
        <w:t>Strategia Națională de Management al Riscului la Inundații pe termen mediu și lung</w:t>
      </w:r>
      <w:r w:rsidRPr="008C6A37">
        <w:rPr>
          <w:lang w:val="ro-RO"/>
        </w:rPr>
        <w:t xml:space="preserve"> cuprinde un ansamblu de acţiuni la nivel naţional şi bazinal, care include: planificare, programe, politici cadru, coordonare, facilitare, sporirea conştientizării şi consolidarea socială, rezilienţa. Obiectivele acestei strategii sunt: i) obiective economice, ce urmăresc protecţia infrastructurii economice existente împotriva inundaţiilor şi garantarea satisfacerii oportunităţilor economice ale generaţiilor viitoare, ii) obiectivele sociale, ce au în vedere protecţia populaţiei şi a comunităţilor umane împotriva inundaţiilor prin asigurarea unui nivel acceptabil de protecţie a populaţiei şi creşterea capacităţii societăţii de a se dezvolta în condiţiile riscului asumat de producere a viiturilor (creşterea rezilienţei) și iii) obiective de mediu, care urmăresc ca prin realizarea acestei strategii să se atingă obiectivele socio-economice cu păstrarea unui echilibru între dezvoltarea economico-socială şi obiectivele de mediu.</w:t>
      </w:r>
    </w:p>
    <w:p w14:paraId="6312392F" w14:textId="77777777" w:rsidR="008C6A37" w:rsidRPr="008C6A37" w:rsidRDefault="008C6A37" w:rsidP="00BC11DC">
      <w:pPr>
        <w:ind w:firstLine="567"/>
        <w:rPr>
          <w:lang w:val="ro-RO"/>
        </w:rPr>
      </w:pPr>
      <w:r w:rsidRPr="008C6A37">
        <w:rPr>
          <w:b/>
          <w:i/>
          <w:lang w:val="ro-RO"/>
        </w:rPr>
        <w:t>Strategia pentru transport durabil pe perioada 2007-2013 şi 2020, 2030</w:t>
      </w:r>
      <w:r w:rsidRPr="008C6A37">
        <w:rPr>
          <w:lang w:val="ro-RO"/>
        </w:rPr>
        <w:t xml:space="preserve"> are ca obiectiv general dezvoltarea echilibrată a sistemului naţional de transport care să asigure o infrastructură şi servicii de transport moderne şi durabile, dezvoltarea sustenabilă a economiei şi </w:t>
      </w:r>
      <w:r w:rsidRPr="008C6A37">
        <w:rPr>
          <w:lang w:val="ro-RO"/>
        </w:rPr>
        <w:lastRenderedPageBreak/>
        <w:t>îmbunătăţirea calităţii vieţii. Acțiunile prevăzute în această strategie pentru perioada 2021-2030 vor urmări și relansarea transportului naval şi consolidarea progresivă a serviciilor intermodale de transport. Dezvoltarea reţelei de căi navigabile trebuie să fie considerată un element esenţial al dezvoltării unui sistem intermodal de transport pe plan intraeuropean.</w:t>
      </w:r>
    </w:p>
    <w:p w14:paraId="4D28A095" w14:textId="77777777" w:rsidR="008C6A37" w:rsidRPr="008C6A37" w:rsidRDefault="008C6A37" w:rsidP="00BC11DC">
      <w:pPr>
        <w:ind w:firstLine="567"/>
        <w:rPr>
          <w:lang w:val="ro-RO"/>
        </w:rPr>
      </w:pPr>
      <w:r w:rsidRPr="008C6A37">
        <w:rPr>
          <w:b/>
          <w:i/>
          <w:lang w:val="ro-RO"/>
        </w:rPr>
        <w:t>Master Planul General de Transport al României</w:t>
      </w:r>
      <w:r w:rsidRPr="008C6A37">
        <w:rPr>
          <w:lang w:val="ro-RO"/>
        </w:rPr>
        <w:t>,  aprobat prin  H.G nr. 666 / 2016, cu modificările și completările ulterioare, este un act normativ prin care este aprobat Programul investițional pentru dezvoltarea infrastructurii de transport pentru perioada 2021-2030 și care are ca scop dezvoltarea sustenabilă a infrastructurii de transport, interoperabilitatea acestora precum și creșterea conectivității naționale și transeuropene pentru societate și mediul de afaceri precum și implementarea unui sistem de transport eficient economic, sustenabil, sigur, cu impact redus asupra mediului.</w:t>
      </w:r>
    </w:p>
    <w:p w14:paraId="2AA54C2C" w14:textId="77777777" w:rsidR="008C6A37" w:rsidRPr="008C6A37" w:rsidRDefault="008C6A37" w:rsidP="00BC11DC">
      <w:pPr>
        <w:ind w:firstLine="567"/>
        <w:rPr>
          <w:lang w:val="ro-RO"/>
        </w:rPr>
      </w:pPr>
      <w:r w:rsidRPr="008C6A37">
        <w:rPr>
          <w:b/>
          <w:i/>
          <w:lang w:val="ro-RO"/>
        </w:rPr>
        <w:t>Strategia Națională a României pentru Dezvoltarea Turismului 2023-2035</w:t>
      </w:r>
      <w:r w:rsidRPr="008C6A37">
        <w:rPr>
          <w:lang w:val="ro-RO"/>
        </w:rPr>
        <w:t xml:space="preserve">  se concentrează pe trei niveluri, pentru a servi drept ghid pentru dezvoltarea sustenabilă a turismului în România, astfel încât: i) să consolideze în continuare România ca destinație turistică bine cunoscută, pe tot parcursul anului; ii) să prețuiască oamenii, tradiția, locurile, patrimoniul natural și cultural al României; iii) să crească vizibilitatea României pe piețele internaționale de turism de prim rang. Obiectivele avute în vedere pentru dezvoltarea turismului, relevante și pentru prezenta strategie sunt legate de: i) dezvoltarea destinațiilor turistice cu implicarea tuturor actorilor din turism prin încurajarea parteneriatelor dintre mediul privat și cel public la nivel de destinație, în vederea creșterii calității și performanței managementului destinațiilor turistice din România; ii) creșterea notorietății destinației turistice România; iii) reducerea sezonalității și creșterea duratei medii a sejurului; iii) identificarea de noi oportunități de dezvoltare și stimularea creșterii circulației turistice interne și internaționale și iv) sprijinirea mediului antreprenorial în domeniul turismului. </w:t>
      </w:r>
    </w:p>
    <w:p w14:paraId="2267F7DF" w14:textId="77777777" w:rsidR="008C6A37" w:rsidRPr="008C6A37" w:rsidRDefault="008C6A37" w:rsidP="00BC11DC">
      <w:pPr>
        <w:ind w:firstLine="567"/>
        <w:rPr>
          <w:lang w:val="ro-RO"/>
        </w:rPr>
      </w:pPr>
      <w:r w:rsidRPr="008C6A37">
        <w:rPr>
          <w:b/>
          <w:i/>
          <w:lang w:val="ro-RO"/>
        </w:rPr>
        <w:t xml:space="preserve">Strategia Națională de Dezvoltare Urbană Integrată pentru Orașe Reziliente, Verzi, Incluzive și Competitive 2022 – 2035 – Politica Urbană a României (SNDU) </w:t>
      </w:r>
      <w:r w:rsidRPr="008C6A37">
        <w:rPr>
          <w:lang w:val="ro-RO"/>
        </w:rPr>
        <w:t>reprezintă un instrument de planificare care să răspundă nevoilor de dezvoltare locală și să asigure continuitatea pe termen lung a viziunii de dezvoltare. Strategia ajută administrațiile locale să ia cunoștință de problemele/aspectele principale ale comunității, să formuleze priorități de viitor și, în special, să identifice investițiile pe care trebuie să le efectueze pentru accesarea finanțării externe și pentru dezvoltare.</w:t>
      </w:r>
    </w:p>
    <w:p w14:paraId="099CEF38" w14:textId="653D9C1B" w:rsidR="008C6A37" w:rsidRPr="008C6A37" w:rsidRDefault="008C6A37" w:rsidP="00BC11DC">
      <w:pPr>
        <w:ind w:firstLine="567"/>
        <w:rPr>
          <w:lang w:val="ro-RO"/>
        </w:rPr>
      </w:pPr>
      <w:r w:rsidRPr="008C6A37">
        <w:rPr>
          <w:b/>
          <w:i/>
          <w:lang w:val="ro-RO"/>
        </w:rPr>
        <w:t xml:space="preserve">Strategia de dezvoltare teritorială a României 2035 </w:t>
      </w:r>
      <w:r w:rsidRPr="008C6A37">
        <w:rPr>
          <w:lang w:val="ro-RO"/>
        </w:rPr>
        <w:t>reprezintă instrumentul de implementare a sistemului de amenajare a teritoriului național – incluzând planurile de dezvoltare regională și planurile urbanistice generale – și sprijină operaționalizarea programelor de investiție sectorială până în 2035. Este documentul programatic pe termen lung prin care este conturată viziunea de dezvoltare a teritoriului național pentru orizontul de timp 2035 și sunt stabilite obiective de dezvoltare, măsuri, acțiuni și proiecte concrete la nivel teritorial. Obiectivele generale relevante pentru strategia națională privind g</w:t>
      </w:r>
      <w:r w:rsidR="00E937B9">
        <w:rPr>
          <w:lang w:val="ro-RO"/>
        </w:rPr>
        <w:t>ospodărirea</w:t>
      </w:r>
      <w:r w:rsidRPr="008C6A37">
        <w:rPr>
          <w:lang w:val="ro-RO"/>
        </w:rPr>
        <w:t xml:space="preserve"> zonei costiere sunt: creșterea calității vieții prin dezvoltarea infrastructurii tehnico-edilitară și serviciilor publice în vederea asigurării unor spaţii urbane şi rurale de calitate, atractive şi incluzive; protejarea patrimoniului natural și construit şi valorificarea elementelor de identitate </w:t>
      </w:r>
      <w:r w:rsidRPr="008C6A37">
        <w:rPr>
          <w:lang w:val="ro-RO"/>
        </w:rPr>
        <w:lastRenderedPageBreak/>
        <w:t>teritorială și creşterea capacităţii instituţionale de gestionare a proceselor de dezvoltare teritorială.</w:t>
      </w:r>
    </w:p>
    <w:p w14:paraId="6491FC93" w14:textId="171AA153" w:rsidR="008C6A37" w:rsidRPr="008C6A37" w:rsidRDefault="008C6A37" w:rsidP="00BC11DC">
      <w:pPr>
        <w:ind w:firstLine="567"/>
        <w:rPr>
          <w:lang w:val="ro-RO"/>
        </w:rPr>
      </w:pPr>
      <w:r w:rsidRPr="008C6A37">
        <w:rPr>
          <w:b/>
          <w:i/>
          <w:lang w:val="ro-RO"/>
        </w:rPr>
        <w:t xml:space="preserve">Strategia integrată de dezvoltare durabilă a Deltei Dunării 2016-2030 </w:t>
      </w:r>
      <w:r w:rsidRPr="008C6A37">
        <w:rPr>
          <w:lang w:val="ro-RO"/>
        </w:rPr>
        <w:t xml:space="preserve">are ca principal obiectiv trasarea cadrului pentru o dezvoltarea planificată și sensibilă din punct de vedere al mediului în regiunea Delta Dunării. Zona vizată de această strategie acoperă o parte însemnată din zona costieră astfel încât obiectivele acestei strategii și direcțiile de acțiune sunt relevante, în mare măsură, și pentru strategia privind </w:t>
      </w:r>
      <w:r w:rsidR="00E937B9">
        <w:rPr>
          <w:lang w:val="ro-RO"/>
        </w:rPr>
        <w:t>gospodărirea</w:t>
      </w:r>
      <w:r w:rsidRPr="008C6A37">
        <w:rPr>
          <w:lang w:val="ro-RO"/>
        </w:rPr>
        <w:t xml:space="preserve"> zonei costiere. </w:t>
      </w:r>
    </w:p>
    <w:p w14:paraId="4F938D4F" w14:textId="77777777" w:rsidR="008C6A37" w:rsidRPr="008C6A37" w:rsidRDefault="008C6A37" w:rsidP="00BC11DC">
      <w:pPr>
        <w:ind w:firstLine="567"/>
        <w:rPr>
          <w:lang w:val="ro-RO"/>
        </w:rPr>
      </w:pPr>
      <w:r w:rsidRPr="008C6A37">
        <w:rPr>
          <w:b/>
          <w:i/>
          <w:lang w:val="ro-RO"/>
        </w:rPr>
        <w:t xml:space="preserve">Strategia Națională și Planul de Acțiune pentru conservarea biodiversității 2014-2020 (SNPACB 2014-2020) (în curs de actualizare) </w:t>
      </w:r>
      <w:r w:rsidRPr="008C6A37">
        <w:rPr>
          <w:lang w:val="ro-RO"/>
        </w:rPr>
        <w:t>concentrează, într-o manieră armonizată, obiectivele generale de conservare şi utilizare durabilă a diversităţii biologice prevăzute şi de alte instrumente internaţionale de mediu, asigurând, în acelaşi timp, integrarea politicilor naţionale la nivel regional şi global. Cu alte cuvinte, SNPACB constituie un punct de referinţă esenţial pentru dezvoltarea durabilă a României și, implicit, a zonei costiere.</w:t>
      </w:r>
    </w:p>
    <w:p w14:paraId="6AA0FDD7" w14:textId="77777777" w:rsidR="008C6A37" w:rsidRPr="008C6A37" w:rsidRDefault="008C6A37" w:rsidP="00BC11DC">
      <w:pPr>
        <w:ind w:firstLine="567"/>
        <w:rPr>
          <w:lang w:val="ro-RO"/>
        </w:rPr>
      </w:pPr>
      <w:r w:rsidRPr="008C6A37">
        <w:rPr>
          <w:b/>
          <w:i/>
          <w:lang w:val="ro-RO"/>
        </w:rPr>
        <w:t xml:space="preserve">Programul pentru Acvacultură şi Pescuit 2021-2027 (PAP) </w:t>
      </w:r>
      <w:r w:rsidRPr="008C6A37">
        <w:rPr>
          <w:lang w:val="ro-RO"/>
        </w:rPr>
        <w:t>asigură principalul sprijin financiar pentru dezvoltarea sectorului pescăresc din România în perioada de programare 2021-2027. Obiectivele strategice ale PAP urmăresc asigurarea condiţiilor pentru implementarea Politicii Comune de Pescuit în România, cu luarea în considerare a angajamentelor Comisiei Generale pentru Pescuit la Marea Mediterană (GFCM). Implementarea PAP urmăreşte să contribuie la: i) dezvoltarea unui pescuit comercial durabil în mare şi în apele interioare; ii) o acvacultură durabilă şi competitivă, care să folosească eficient resursele disponibile; iii) organizarea pieţei pescăreşti, inclusiv consolidarea organizaţiilor pescăreşti şi sprijinirea lanţului scurt de comercializare; iv) dezvoltarea zonelor pescăreşti, punând în valoarea oportunităţile oferite de economia albastră durabilă.</w:t>
      </w:r>
    </w:p>
    <w:p w14:paraId="3D3721C2" w14:textId="77777777" w:rsidR="008C6A37" w:rsidRPr="008C6A37" w:rsidRDefault="008C6A37" w:rsidP="00BC11DC">
      <w:pPr>
        <w:ind w:firstLine="567"/>
        <w:rPr>
          <w:lang w:val="ro-RO"/>
        </w:rPr>
      </w:pPr>
      <w:r w:rsidRPr="008C6A37">
        <w:rPr>
          <w:b/>
          <w:i/>
          <w:lang w:val="ro-RO"/>
        </w:rPr>
        <w:t xml:space="preserve">Planul de amenajare a spațiului maritim (PASM) (în curs de aprobare) </w:t>
      </w:r>
      <w:r w:rsidRPr="008C6A37">
        <w:rPr>
          <w:lang w:val="ro-RO"/>
        </w:rPr>
        <w:t>are ca obiectiv principal promovarea unui proces decizional coordonat și integrat privind dezvoltarea durabilă a regiunii Mării Negre, prin politici coerente privind domeniul marin. Viziunea Planului pe termen lung este ca utilizările viitoare ale apelor marine din sectorul românesc al Mării Negre să fie dezvoltate durabil prin sinergiile create la nivelul politicilor sectoriale și prin mobilizarea autorităților competente și a actorilor-cheie ai economiei albastre, astfel încât să fie atinsă starea ecologică bună prin care se susține reziliența, competitivitatea și incluziunea.</w:t>
      </w:r>
    </w:p>
    <w:p w14:paraId="0716E499" w14:textId="77862F02" w:rsidR="008C6A37" w:rsidRDefault="008C6A37" w:rsidP="00BC11DC">
      <w:pPr>
        <w:ind w:firstLine="567"/>
        <w:rPr>
          <w:lang w:val="ro-RO"/>
        </w:rPr>
      </w:pPr>
      <w:r w:rsidRPr="008C6A37">
        <w:rPr>
          <w:b/>
          <w:i/>
          <w:lang w:val="ro-RO"/>
        </w:rPr>
        <w:t xml:space="preserve">Planul Național Integrat în domeniul Energiei și Schimbărilor Climatice (PNIESC) 2021-2030 </w:t>
      </w:r>
      <w:r w:rsidRPr="008C6A37">
        <w:rPr>
          <w:lang w:val="ro-RO"/>
        </w:rPr>
        <w:t>stabilește obiectivele și contribuțiile naționale la realizarea obiectivelor UE privind schimbările climatice asumate în urma aderării UE la Acordul de la Paris. Obiectivele naționale stabilite în acest Plan sunt structurate pe cele cinci dimensiuni, respectiv decarbonatarea, eficiență energetică, securitate energetică, piața internă a energiei și cercetare, inovare și competitivitate.</w:t>
      </w:r>
      <w:r w:rsidRPr="008C6A37">
        <w:rPr>
          <w:b/>
          <w:i/>
          <w:lang w:val="ro-RO"/>
        </w:rPr>
        <w:t xml:space="preserve"> </w:t>
      </w:r>
      <w:r w:rsidRPr="008C6A37">
        <w:rPr>
          <w:lang w:val="ro-RO"/>
        </w:rPr>
        <w:t>Relevante pentru strategia națională privind g</w:t>
      </w:r>
      <w:r w:rsidR="00E937B9">
        <w:rPr>
          <w:lang w:val="ro-RO"/>
        </w:rPr>
        <w:t>ospodărirea</w:t>
      </w:r>
      <w:r w:rsidRPr="008C6A37">
        <w:rPr>
          <w:lang w:val="ro-RO"/>
        </w:rPr>
        <w:t xml:space="preserve"> integrată a zonei costiere sunt: i) promovarea tranziției către o economie circulară, prin politici și măsuri de gestionare a deșeurilor; ii) creșterea ponderii energiei din surse alternative; iii) creșterea gradului de diversificare a surselor de energie și iv) promovarea tehnologiilor pentru energie curată, implementarea tehnologiilor cu emisii reduse de dioxid de carbon.</w:t>
      </w:r>
    </w:p>
    <w:p w14:paraId="562D7B5C" w14:textId="77777777" w:rsidR="00A92A31" w:rsidRPr="00A92A31" w:rsidRDefault="00A92A31" w:rsidP="0033469D">
      <w:pPr>
        <w:ind w:firstLine="0"/>
        <w:rPr>
          <w:b/>
          <w:i/>
          <w:sz w:val="28"/>
          <w:lang w:val="ro-RO"/>
        </w:rPr>
      </w:pPr>
    </w:p>
    <w:p w14:paraId="29E25569" w14:textId="6C13EDA8" w:rsidR="008C6A37" w:rsidRPr="0033469D" w:rsidRDefault="005D2CE5" w:rsidP="005D2CE5">
      <w:pPr>
        <w:pStyle w:val="Heading2"/>
      </w:pPr>
      <w:bookmarkStart w:id="6" w:name="_Toc150247007"/>
      <w:bookmarkStart w:id="7" w:name="_Toc169625094"/>
      <w:r>
        <w:lastRenderedPageBreak/>
        <w:t xml:space="preserve">1.3 </w:t>
      </w:r>
      <w:r w:rsidR="008C6A37" w:rsidRPr="0033469D">
        <w:t xml:space="preserve">Analiza </w:t>
      </w:r>
      <w:r w:rsidR="008C6A37" w:rsidRPr="005D2CE5">
        <w:t>contextului</w:t>
      </w:r>
      <w:r w:rsidR="008C6A37" w:rsidRPr="0033469D">
        <w:t xml:space="preserve"> și definirea problemelor  actuale</w:t>
      </w:r>
      <w:bookmarkEnd w:id="6"/>
      <w:bookmarkEnd w:id="7"/>
    </w:p>
    <w:p w14:paraId="6AF36094" w14:textId="77777777" w:rsidR="008C6A37" w:rsidRPr="008C6A37" w:rsidRDefault="008C6A37" w:rsidP="00BC11DC">
      <w:pPr>
        <w:ind w:firstLine="567"/>
        <w:rPr>
          <w:lang w:val="ro-RO"/>
        </w:rPr>
      </w:pPr>
      <w:r w:rsidRPr="008C6A37">
        <w:rPr>
          <w:lang w:val="ro-RO"/>
        </w:rPr>
        <w:t>În  documentele Comisiei Mării Negre, respectiv în “Guideline on Integrated Coastal Zone Management in the Black Sea”, a cărui elaborare a avut la bază Protocolul ICZM de la Marea Mediterană, limitele geografice ale zonei costiere se recomandă a se stabili astfel:</w:t>
      </w:r>
    </w:p>
    <w:p w14:paraId="15CCF9E4" w14:textId="77777777" w:rsidR="008C6A37" w:rsidRPr="008C6A37" w:rsidRDefault="008C6A37" w:rsidP="00920C1F">
      <w:pPr>
        <w:numPr>
          <w:ilvl w:val="0"/>
          <w:numId w:val="4"/>
        </w:numPr>
        <w:ind w:firstLine="567"/>
        <w:rPr>
          <w:lang w:val="ro-RO"/>
        </w:rPr>
      </w:pPr>
      <w:r w:rsidRPr="008C6A37">
        <w:rPr>
          <w:lang w:val="ro-RO"/>
        </w:rPr>
        <w:t>limita dinspre mare - limita exterioară a apelor teritoriale ale țărilor riverane Mării Negre;</w:t>
      </w:r>
    </w:p>
    <w:p w14:paraId="739B577F" w14:textId="77777777" w:rsidR="008C6A37" w:rsidRPr="008C6A37" w:rsidRDefault="008C6A37" w:rsidP="00920C1F">
      <w:pPr>
        <w:numPr>
          <w:ilvl w:val="0"/>
          <w:numId w:val="4"/>
        </w:numPr>
        <w:ind w:firstLine="567"/>
        <w:rPr>
          <w:lang w:val="ro-RO"/>
        </w:rPr>
      </w:pPr>
      <w:r w:rsidRPr="008C6A37">
        <w:rPr>
          <w:lang w:val="ro-RO"/>
        </w:rPr>
        <w:t>limita dinspre uscat - limita unităților de coastă competente așa cum sunt definite de țările riverane Mării Negre.</w:t>
      </w:r>
    </w:p>
    <w:p w14:paraId="2978A1C4" w14:textId="77777777" w:rsidR="008C6A37" w:rsidRPr="008C6A37" w:rsidRDefault="008C6A37" w:rsidP="00BC11DC">
      <w:pPr>
        <w:ind w:firstLine="567"/>
        <w:rPr>
          <w:lang w:val="ro-RO"/>
        </w:rPr>
      </w:pPr>
      <w:r w:rsidRPr="008C6A37">
        <w:rPr>
          <w:lang w:val="ro-RO"/>
        </w:rPr>
        <w:t>În cadrul prezentei strategii, limita dinspre mare este considerată limita a 12 mile marine de la linia de bază, respectiv apele teritoriale ale României, în timp ce stabilirea limitei dinspre uscat s-a realizat pe baza a trei criterii, respectiv:</w:t>
      </w:r>
    </w:p>
    <w:p w14:paraId="13E2B525" w14:textId="77777777" w:rsidR="008C6A37" w:rsidRPr="008C6A37" w:rsidRDefault="008C6A37" w:rsidP="00920C1F">
      <w:pPr>
        <w:numPr>
          <w:ilvl w:val="0"/>
          <w:numId w:val="8"/>
        </w:numPr>
        <w:ind w:firstLine="567"/>
        <w:rPr>
          <w:lang w:val="ro-RO"/>
        </w:rPr>
      </w:pPr>
      <w:r w:rsidRPr="008C6A37">
        <w:rPr>
          <w:lang w:val="ro-RO"/>
        </w:rPr>
        <w:t>criteriul proximității;</w:t>
      </w:r>
    </w:p>
    <w:p w14:paraId="7B4C1737" w14:textId="77777777" w:rsidR="008C6A37" w:rsidRPr="008C6A37" w:rsidRDefault="008C6A37" w:rsidP="00920C1F">
      <w:pPr>
        <w:numPr>
          <w:ilvl w:val="0"/>
          <w:numId w:val="8"/>
        </w:numPr>
        <w:ind w:firstLine="567"/>
        <w:rPr>
          <w:lang w:val="ro-RO"/>
        </w:rPr>
      </w:pPr>
      <w:r w:rsidRPr="008C6A37">
        <w:rPr>
          <w:lang w:val="ro-RO"/>
        </w:rPr>
        <w:t>criteriul legăturilor funcționale;</w:t>
      </w:r>
    </w:p>
    <w:p w14:paraId="3123A3D3" w14:textId="77777777" w:rsidR="008C6A37" w:rsidRPr="008C6A37" w:rsidRDefault="008C6A37" w:rsidP="00920C1F">
      <w:pPr>
        <w:numPr>
          <w:ilvl w:val="0"/>
          <w:numId w:val="8"/>
        </w:numPr>
        <w:ind w:firstLine="567"/>
        <w:rPr>
          <w:lang w:val="ro-RO"/>
        </w:rPr>
      </w:pPr>
      <w:r w:rsidRPr="008C6A37">
        <w:rPr>
          <w:lang w:val="ro-RO"/>
        </w:rPr>
        <w:t>criteriul administrativ-teritorial.</w:t>
      </w:r>
    </w:p>
    <w:p w14:paraId="3F509F75" w14:textId="030928BB" w:rsidR="008C6A37" w:rsidRPr="008C6A37" w:rsidRDefault="008C6A37" w:rsidP="00BC11DC">
      <w:pPr>
        <w:ind w:firstLine="567"/>
        <w:rPr>
          <w:lang w:val="ro-RO"/>
        </w:rPr>
      </w:pPr>
      <w:r w:rsidRPr="008C6A37">
        <w:rPr>
          <w:lang w:val="ro-RO"/>
        </w:rPr>
        <w:t xml:space="preserve">Astfel, zona costieră românească cuprinde un număr de 19 UAT-uri, din județele Tulcea și Constanța (Tabel </w:t>
      </w:r>
      <w:r w:rsidR="0033469D">
        <w:rPr>
          <w:lang w:val="ro-RO"/>
        </w:rPr>
        <w:t>1.</w:t>
      </w:r>
      <w:r w:rsidRPr="008C6A37">
        <w:rPr>
          <w:lang w:val="ro-RO"/>
        </w:rPr>
        <w:t xml:space="preserve">3.1 și Fig. </w:t>
      </w:r>
      <w:r w:rsidR="0033469D">
        <w:rPr>
          <w:lang w:val="ro-RO"/>
        </w:rPr>
        <w:t>1.</w:t>
      </w:r>
      <w:r w:rsidRPr="008C6A37">
        <w:rPr>
          <w:lang w:val="ro-RO"/>
        </w:rPr>
        <w:t xml:space="preserve">3.1), dintre care 2 municipii (Constanța și Mangalia), 4 orașe (Sulina, Năvodari, Eforie, Techirghiol și) și 13 comune (C.A Rosetti, Sfântu Gheorghe, Murighiol, Jurilovca, în județul Tulcea și Mihai Viteazu, Istria, Săcele, Corbu, Agigea, Tuzla, Costinești, 23 August și Limanu, în județul Constanța). În total, zona costieră cuprinde un număr de 48 de localități dintre care 10 sunt localități componente ale municipiilor și orașelor și alte 38 sunt sate componente ale celor 13 comune (16 în județul Tulcea și 22 în județul Constanța). </w:t>
      </w:r>
    </w:p>
    <w:p w14:paraId="488CDDA7" w14:textId="77777777" w:rsidR="00940876" w:rsidRDefault="00940876" w:rsidP="00935E16">
      <w:pPr>
        <w:rPr>
          <w:b/>
          <w:lang w:val="ro-RO"/>
        </w:rPr>
      </w:pPr>
    </w:p>
    <w:p w14:paraId="53E3D833" w14:textId="116C502C" w:rsidR="008C6A37" w:rsidRPr="008C6A37" w:rsidRDefault="008C6A37" w:rsidP="00BC11DC">
      <w:pPr>
        <w:ind w:firstLine="567"/>
        <w:rPr>
          <w:b/>
          <w:lang w:val="ro-RO"/>
        </w:rPr>
      </w:pPr>
      <w:r w:rsidRPr="008C6A37">
        <w:rPr>
          <w:b/>
          <w:lang w:val="ro-RO"/>
        </w:rPr>
        <w:t xml:space="preserve">Tabel </w:t>
      </w:r>
      <w:r w:rsidR="0033469D">
        <w:rPr>
          <w:b/>
          <w:lang w:val="ro-RO"/>
        </w:rPr>
        <w:t>1.</w:t>
      </w:r>
      <w:r w:rsidRPr="008C6A37">
        <w:rPr>
          <w:b/>
          <w:lang w:val="ro-RO"/>
        </w:rPr>
        <w:t xml:space="preserve">3.1  Structura administrativă a zonei costiere </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0"/>
        <w:gridCol w:w="1419"/>
        <w:gridCol w:w="1373"/>
        <w:gridCol w:w="901"/>
        <w:gridCol w:w="708"/>
        <w:gridCol w:w="991"/>
        <w:gridCol w:w="708"/>
        <w:gridCol w:w="1699"/>
        <w:gridCol w:w="1134"/>
      </w:tblGrid>
      <w:tr w:rsidR="00BC11DC" w:rsidRPr="00BC11DC" w14:paraId="6E7FC867" w14:textId="77777777" w:rsidTr="00583732">
        <w:tc>
          <w:tcPr>
            <w:tcW w:w="560" w:type="dxa"/>
            <w:vMerge w:val="restart"/>
          </w:tcPr>
          <w:p w14:paraId="66EA0DAB" w14:textId="77777777" w:rsidR="00BC11DC" w:rsidRPr="00BC11DC" w:rsidRDefault="00BC11DC" w:rsidP="00935E16">
            <w:pPr>
              <w:spacing w:before="0" w:after="0"/>
              <w:ind w:firstLine="0"/>
              <w:jc w:val="center"/>
              <w:rPr>
                <w:rFonts w:eastAsia="Times New Roman"/>
                <w:b/>
                <w:kern w:val="0"/>
                <w:sz w:val="20"/>
                <w:szCs w:val="20"/>
                <w:lang w:val="ro-RO"/>
              </w:rPr>
            </w:pPr>
            <w:r w:rsidRPr="00BC11DC">
              <w:rPr>
                <w:rFonts w:eastAsia="Times New Roman"/>
                <w:b/>
                <w:kern w:val="0"/>
                <w:sz w:val="20"/>
                <w:szCs w:val="20"/>
                <w:lang w:val="ro-RO"/>
              </w:rPr>
              <w:t>Nr. crt</w:t>
            </w:r>
          </w:p>
        </w:tc>
        <w:tc>
          <w:tcPr>
            <w:tcW w:w="1419" w:type="dxa"/>
            <w:vMerge w:val="restart"/>
          </w:tcPr>
          <w:p w14:paraId="3C1B3D9A" w14:textId="77777777" w:rsidR="00BC11DC" w:rsidRPr="00BC11DC" w:rsidRDefault="00BC11DC" w:rsidP="00935E16">
            <w:pPr>
              <w:spacing w:before="0" w:after="0"/>
              <w:ind w:firstLine="0"/>
              <w:jc w:val="center"/>
              <w:rPr>
                <w:rFonts w:eastAsia="Times New Roman"/>
                <w:b/>
                <w:kern w:val="0"/>
                <w:sz w:val="20"/>
                <w:szCs w:val="20"/>
                <w:lang w:val="ro-RO"/>
              </w:rPr>
            </w:pPr>
            <w:r w:rsidRPr="00BC11DC">
              <w:rPr>
                <w:rFonts w:eastAsia="Times New Roman"/>
                <w:b/>
                <w:kern w:val="0"/>
                <w:sz w:val="20"/>
                <w:szCs w:val="20"/>
                <w:lang w:val="ro-RO"/>
              </w:rPr>
              <w:t>Denumire UAT</w:t>
            </w:r>
          </w:p>
        </w:tc>
        <w:tc>
          <w:tcPr>
            <w:tcW w:w="1373" w:type="dxa"/>
            <w:vMerge w:val="restart"/>
          </w:tcPr>
          <w:p w14:paraId="7C1706AC" w14:textId="77777777" w:rsidR="00BC11DC" w:rsidRPr="00BC11DC" w:rsidRDefault="00BC11DC" w:rsidP="00935E16">
            <w:pPr>
              <w:spacing w:before="0" w:after="0"/>
              <w:ind w:firstLine="0"/>
              <w:jc w:val="center"/>
              <w:rPr>
                <w:rFonts w:eastAsia="Times New Roman"/>
                <w:b/>
                <w:kern w:val="0"/>
                <w:sz w:val="20"/>
                <w:szCs w:val="20"/>
                <w:lang w:val="ro-RO"/>
              </w:rPr>
            </w:pPr>
            <w:r w:rsidRPr="00BC11DC">
              <w:rPr>
                <w:rFonts w:eastAsia="Times New Roman"/>
                <w:b/>
                <w:kern w:val="0"/>
                <w:sz w:val="20"/>
                <w:szCs w:val="20"/>
                <w:lang w:val="ro-RO"/>
              </w:rPr>
              <w:t>Statut administrativ</w:t>
            </w:r>
          </w:p>
        </w:tc>
        <w:tc>
          <w:tcPr>
            <w:tcW w:w="1609" w:type="dxa"/>
            <w:gridSpan w:val="2"/>
          </w:tcPr>
          <w:p w14:paraId="1A67EA80" w14:textId="77777777" w:rsidR="00BC11DC" w:rsidRPr="00BC11DC" w:rsidRDefault="00BC11DC" w:rsidP="00935E16">
            <w:pPr>
              <w:spacing w:before="0" w:after="0"/>
              <w:ind w:firstLine="0"/>
              <w:jc w:val="center"/>
              <w:rPr>
                <w:rFonts w:eastAsia="Times New Roman"/>
                <w:b/>
                <w:kern w:val="0"/>
                <w:sz w:val="20"/>
                <w:szCs w:val="20"/>
                <w:lang w:val="ro-RO"/>
              </w:rPr>
            </w:pPr>
            <w:r w:rsidRPr="00BC11DC">
              <w:rPr>
                <w:rFonts w:eastAsia="Times New Roman"/>
                <w:b/>
                <w:kern w:val="0"/>
                <w:sz w:val="20"/>
                <w:szCs w:val="20"/>
                <w:lang w:val="ro-RO"/>
              </w:rPr>
              <w:t>Populație UAT</w:t>
            </w:r>
          </w:p>
        </w:tc>
        <w:tc>
          <w:tcPr>
            <w:tcW w:w="1699" w:type="dxa"/>
            <w:gridSpan w:val="2"/>
          </w:tcPr>
          <w:p w14:paraId="1F9BE746" w14:textId="77777777" w:rsidR="00BC11DC" w:rsidRPr="00BC11DC" w:rsidRDefault="00BC11DC" w:rsidP="00935E16">
            <w:pPr>
              <w:spacing w:before="0" w:after="0"/>
              <w:ind w:firstLine="0"/>
              <w:jc w:val="center"/>
              <w:rPr>
                <w:rFonts w:eastAsia="Times New Roman"/>
                <w:b/>
                <w:kern w:val="0"/>
                <w:sz w:val="20"/>
                <w:szCs w:val="20"/>
                <w:lang w:val="ro-RO"/>
              </w:rPr>
            </w:pPr>
            <w:r w:rsidRPr="00BC11DC">
              <w:rPr>
                <w:rFonts w:eastAsia="Times New Roman"/>
                <w:b/>
                <w:kern w:val="0"/>
                <w:sz w:val="20"/>
                <w:szCs w:val="20"/>
                <w:lang w:val="ro-RO"/>
              </w:rPr>
              <w:t>Suprafața UAT</w:t>
            </w:r>
          </w:p>
        </w:tc>
        <w:tc>
          <w:tcPr>
            <w:tcW w:w="1699" w:type="dxa"/>
            <w:vMerge w:val="restart"/>
          </w:tcPr>
          <w:p w14:paraId="3B0439CD" w14:textId="77777777" w:rsidR="00BC11DC" w:rsidRPr="00BC11DC" w:rsidRDefault="00BC11DC" w:rsidP="00935E16">
            <w:pPr>
              <w:spacing w:before="0" w:after="0"/>
              <w:ind w:firstLine="0"/>
              <w:jc w:val="center"/>
              <w:rPr>
                <w:rFonts w:eastAsia="Times New Roman"/>
                <w:b/>
                <w:kern w:val="0"/>
                <w:sz w:val="20"/>
                <w:szCs w:val="20"/>
                <w:lang w:val="ro-RO"/>
              </w:rPr>
            </w:pPr>
            <w:r w:rsidRPr="00BC11DC">
              <w:rPr>
                <w:rFonts w:eastAsia="Times New Roman"/>
                <w:b/>
                <w:kern w:val="0"/>
                <w:sz w:val="20"/>
                <w:szCs w:val="20"/>
                <w:lang w:val="ro-RO"/>
              </w:rPr>
              <w:t>Localități/Sate componente</w:t>
            </w:r>
          </w:p>
        </w:tc>
        <w:tc>
          <w:tcPr>
            <w:tcW w:w="1134" w:type="dxa"/>
            <w:vMerge w:val="restart"/>
          </w:tcPr>
          <w:p w14:paraId="2C2A515B" w14:textId="77777777" w:rsidR="00BC11DC" w:rsidRPr="00BC11DC" w:rsidRDefault="00BC11DC" w:rsidP="00935E16">
            <w:pPr>
              <w:spacing w:before="0" w:after="0"/>
              <w:ind w:firstLine="0"/>
              <w:jc w:val="center"/>
              <w:rPr>
                <w:rFonts w:eastAsia="Times New Roman"/>
                <w:b/>
                <w:kern w:val="0"/>
                <w:sz w:val="20"/>
                <w:szCs w:val="20"/>
                <w:lang w:val="ro-RO"/>
              </w:rPr>
            </w:pPr>
            <w:r w:rsidRPr="00BC11DC">
              <w:rPr>
                <w:rFonts w:eastAsia="Times New Roman"/>
                <w:b/>
                <w:kern w:val="0"/>
                <w:sz w:val="20"/>
                <w:szCs w:val="20"/>
                <w:lang w:val="ro-RO"/>
              </w:rPr>
              <w:t>Rang (cf. L351/2001</w:t>
            </w:r>
          </w:p>
        </w:tc>
      </w:tr>
      <w:tr w:rsidR="00BC11DC" w:rsidRPr="00BC11DC" w14:paraId="00906869" w14:textId="77777777" w:rsidTr="00583732">
        <w:tc>
          <w:tcPr>
            <w:tcW w:w="560" w:type="dxa"/>
            <w:vMerge/>
          </w:tcPr>
          <w:p w14:paraId="37380809" w14:textId="77777777" w:rsidR="00BC11DC" w:rsidRPr="00BC11DC" w:rsidRDefault="00BC11DC" w:rsidP="00935E16">
            <w:pPr>
              <w:widowControl w:val="0"/>
              <w:pBdr>
                <w:top w:val="nil"/>
                <w:left w:val="nil"/>
                <w:bottom w:val="nil"/>
                <w:right w:val="nil"/>
                <w:between w:val="nil"/>
              </w:pBdr>
              <w:spacing w:before="0" w:after="0"/>
              <w:ind w:firstLine="0"/>
              <w:jc w:val="left"/>
              <w:rPr>
                <w:rFonts w:eastAsia="Times New Roman"/>
                <w:b/>
                <w:kern w:val="0"/>
                <w:sz w:val="20"/>
                <w:szCs w:val="20"/>
                <w:lang w:val="ro-RO"/>
              </w:rPr>
            </w:pPr>
          </w:p>
        </w:tc>
        <w:tc>
          <w:tcPr>
            <w:tcW w:w="1419" w:type="dxa"/>
            <w:vMerge/>
          </w:tcPr>
          <w:p w14:paraId="7B991B68" w14:textId="77777777" w:rsidR="00BC11DC" w:rsidRPr="00BC11DC" w:rsidRDefault="00BC11DC" w:rsidP="00935E16">
            <w:pPr>
              <w:widowControl w:val="0"/>
              <w:pBdr>
                <w:top w:val="nil"/>
                <w:left w:val="nil"/>
                <w:bottom w:val="nil"/>
                <w:right w:val="nil"/>
                <w:between w:val="nil"/>
              </w:pBdr>
              <w:spacing w:before="0" w:after="0"/>
              <w:ind w:firstLine="0"/>
              <w:jc w:val="left"/>
              <w:rPr>
                <w:rFonts w:eastAsia="Times New Roman"/>
                <w:b/>
                <w:kern w:val="0"/>
                <w:sz w:val="20"/>
                <w:szCs w:val="20"/>
                <w:lang w:val="ro-RO"/>
              </w:rPr>
            </w:pPr>
          </w:p>
        </w:tc>
        <w:tc>
          <w:tcPr>
            <w:tcW w:w="1373" w:type="dxa"/>
            <w:vMerge/>
          </w:tcPr>
          <w:p w14:paraId="3BBD5254" w14:textId="77777777" w:rsidR="00BC11DC" w:rsidRPr="00BC11DC" w:rsidRDefault="00BC11DC" w:rsidP="00935E16">
            <w:pPr>
              <w:widowControl w:val="0"/>
              <w:pBdr>
                <w:top w:val="nil"/>
                <w:left w:val="nil"/>
                <w:bottom w:val="nil"/>
                <w:right w:val="nil"/>
                <w:between w:val="nil"/>
              </w:pBdr>
              <w:spacing w:before="0" w:after="0"/>
              <w:ind w:firstLine="0"/>
              <w:jc w:val="left"/>
              <w:rPr>
                <w:rFonts w:eastAsia="Times New Roman"/>
                <w:b/>
                <w:kern w:val="0"/>
                <w:sz w:val="20"/>
                <w:szCs w:val="20"/>
                <w:lang w:val="ro-RO"/>
              </w:rPr>
            </w:pPr>
          </w:p>
        </w:tc>
        <w:tc>
          <w:tcPr>
            <w:tcW w:w="901" w:type="dxa"/>
          </w:tcPr>
          <w:p w14:paraId="690C2992"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b/>
                <w:kern w:val="0"/>
                <w:sz w:val="20"/>
                <w:szCs w:val="20"/>
                <w:lang w:val="ro-RO"/>
              </w:rPr>
              <w:t>nr. loc.</w:t>
            </w:r>
          </w:p>
        </w:tc>
        <w:tc>
          <w:tcPr>
            <w:tcW w:w="708" w:type="dxa"/>
          </w:tcPr>
          <w:p w14:paraId="12A3A3B4"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b/>
                <w:kern w:val="0"/>
                <w:sz w:val="20"/>
                <w:szCs w:val="20"/>
                <w:lang w:val="ro-RO"/>
              </w:rPr>
              <w:t>%</w:t>
            </w:r>
          </w:p>
        </w:tc>
        <w:tc>
          <w:tcPr>
            <w:tcW w:w="991" w:type="dxa"/>
          </w:tcPr>
          <w:p w14:paraId="2ACBE5D1"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b/>
                <w:kern w:val="0"/>
                <w:sz w:val="20"/>
                <w:szCs w:val="20"/>
                <w:lang w:val="ro-RO"/>
              </w:rPr>
              <w:t>ha</w:t>
            </w:r>
          </w:p>
        </w:tc>
        <w:tc>
          <w:tcPr>
            <w:tcW w:w="708" w:type="dxa"/>
          </w:tcPr>
          <w:p w14:paraId="6B3C49F5"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b/>
                <w:kern w:val="0"/>
                <w:sz w:val="20"/>
                <w:szCs w:val="20"/>
                <w:lang w:val="ro-RO"/>
              </w:rPr>
              <w:t>%</w:t>
            </w:r>
          </w:p>
        </w:tc>
        <w:tc>
          <w:tcPr>
            <w:tcW w:w="1699" w:type="dxa"/>
            <w:vMerge/>
          </w:tcPr>
          <w:p w14:paraId="02EE1D57" w14:textId="77777777" w:rsidR="00BC11DC" w:rsidRPr="00BC11DC" w:rsidRDefault="00BC11DC" w:rsidP="00935E16">
            <w:pPr>
              <w:widowControl w:val="0"/>
              <w:pBdr>
                <w:top w:val="nil"/>
                <w:left w:val="nil"/>
                <w:bottom w:val="nil"/>
                <w:right w:val="nil"/>
                <w:between w:val="nil"/>
              </w:pBdr>
              <w:spacing w:before="0" w:after="0"/>
              <w:ind w:firstLine="0"/>
              <w:jc w:val="left"/>
              <w:rPr>
                <w:rFonts w:eastAsia="Times New Roman"/>
                <w:b/>
                <w:kern w:val="0"/>
                <w:sz w:val="20"/>
                <w:szCs w:val="20"/>
                <w:lang w:val="ro-RO"/>
              </w:rPr>
            </w:pPr>
          </w:p>
        </w:tc>
        <w:tc>
          <w:tcPr>
            <w:tcW w:w="1134" w:type="dxa"/>
            <w:vMerge/>
          </w:tcPr>
          <w:p w14:paraId="03E84449" w14:textId="77777777" w:rsidR="00BC11DC" w:rsidRPr="00BC11DC" w:rsidRDefault="00BC11DC" w:rsidP="00935E16">
            <w:pPr>
              <w:widowControl w:val="0"/>
              <w:pBdr>
                <w:top w:val="nil"/>
                <w:left w:val="nil"/>
                <w:bottom w:val="nil"/>
                <w:right w:val="nil"/>
                <w:between w:val="nil"/>
              </w:pBdr>
              <w:spacing w:before="0" w:after="0"/>
              <w:ind w:firstLine="0"/>
              <w:jc w:val="left"/>
              <w:rPr>
                <w:rFonts w:eastAsia="Times New Roman"/>
                <w:b/>
                <w:kern w:val="0"/>
                <w:sz w:val="20"/>
                <w:szCs w:val="20"/>
                <w:lang w:val="ro-RO"/>
              </w:rPr>
            </w:pPr>
          </w:p>
        </w:tc>
      </w:tr>
      <w:tr w:rsidR="00BC11DC" w:rsidRPr="00BC11DC" w14:paraId="78E3AC55" w14:textId="77777777" w:rsidTr="00583732">
        <w:tc>
          <w:tcPr>
            <w:tcW w:w="560" w:type="dxa"/>
          </w:tcPr>
          <w:p w14:paraId="3F023DFB"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1</w:t>
            </w:r>
          </w:p>
        </w:tc>
        <w:tc>
          <w:tcPr>
            <w:tcW w:w="1419" w:type="dxa"/>
          </w:tcPr>
          <w:p w14:paraId="54109975"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C.A Rosetti</w:t>
            </w:r>
          </w:p>
        </w:tc>
        <w:tc>
          <w:tcPr>
            <w:tcW w:w="1373" w:type="dxa"/>
          </w:tcPr>
          <w:p w14:paraId="1BDC02A9"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Comună</w:t>
            </w:r>
          </w:p>
        </w:tc>
        <w:tc>
          <w:tcPr>
            <w:tcW w:w="901" w:type="dxa"/>
          </w:tcPr>
          <w:p w14:paraId="625EC91C"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636</w:t>
            </w:r>
          </w:p>
        </w:tc>
        <w:tc>
          <w:tcPr>
            <w:tcW w:w="708" w:type="dxa"/>
          </w:tcPr>
          <w:p w14:paraId="69562E75"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0,16</w:t>
            </w:r>
          </w:p>
        </w:tc>
        <w:tc>
          <w:tcPr>
            <w:tcW w:w="991" w:type="dxa"/>
          </w:tcPr>
          <w:p w14:paraId="2A411EF0"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26.638</w:t>
            </w:r>
          </w:p>
        </w:tc>
        <w:tc>
          <w:tcPr>
            <w:tcW w:w="708" w:type="dxa"/>
          </w:tcPr>
          <w:p w14:paraId="1F4CAE43"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7,49</w:t>
            </w:r>
          </w:p>
        </w:tc>
        <w:tc>
          <w:tcPr>
            <w:tcW w:w="1699" w:type="dxa"/>
          </w:tcPr>
          <w:p w14:paraId="5BC60858" w14:textId="77777777" w:rsidR="00BC11DC" w:rsidRPr="00BC11DC" w:rsidRDefault="00BC11DC" w:rsidP="00935E16">
            <w:pPr>
              <w:spacing w:before="0" w:after="0" w:line="240" w:lineRule="auto"/>
              <w:ind w:firstLine="0"/>
              <w:rPr>
                <w:rFonts w:eastAsia="Times New Roman"/>
                <w:kern w:val="0"/>
                <w:sz w:val="20"/>
                <w:szCs w:val="20"/>
                <w:lang w:val="ro-RO"/>
              </w:rPr>
            </w:pPr>
            <w:r w:rsidRPr="00BC11DC">
              <w:rPr>
                <w:rFonts w:eastAsia="Times New Roman"/>
                <w:kern w:val="0"/>
                <w:sz w:val="20"/>
                <w:szCs w:val="20"/>
                <w:lang w:val="ro-RO"/>
              </w:rPr>
              <w:t>C.A. Rosetti</w:t>
            </w:r>
          </w:p>
          <w:p w14:paraId="573B0729" w14:textId="77777777" w:rsidR="00BC11DC" w:rsidRPr="00BC11DC" w:rsidRDefault="00BC11DC" w:rsidP="00935E16">
            <w:pPr>
              <w:spacing w:before="0" w:after="0" w:line="240" w:lineRule="auto"/>
              <w:ind w:firstLine="0"/>
              <w:rPr>
                <w:rFonts w:eastAsia="Times New Roman"/>
                <w:kern w:val="0"/>
                <w:sz w:val="20"/>
                <w:szCs w:val="20"/>
                <w:lang w:val="ro-RO"/>
              </w:rPr>
            </w:pPr>
            <w:r w:rsidRPr="00BC11DC">
              <w:rPr>
                <w:rFonts w:eastAsia="Times New Roman"/>
                <w:kern w:val="0"/>
                <w:sz w:val="20"/>
                <w:szCs w:val="20"/>
                <w:lang w:val="ro-RO"/>
              </w:rPr>
              <w:t>Cardon</w:t>
            </w:r>
          </w:p>
          <w:p w14:paraId="0E8E9F04" w14:textId="77777777" w:rsidR="00BC11DC" w:rsidRPr="00BC11DC" w:rsidRDefault="00BC11DC" w:rsidP="00935E16">
            <w:pPr>
              <w:spacing w:before="0" w:after="0" w:line="240" w:lineRule="auto"/>
              <w:ind w:firstLine="0"/>
              <w:rPr>
                <w:rFonts w:eastAsia="Times New Roman"/>
                <w:kern w:val="0"/>
                <w:sz w:val="20"/>
                <w:szCs w:val="20"/>
                <w:lang w:val="ro-RO"/>
              </w:rPr>
            </w:pPr>
            <w:r w:rsidRPr="00BC11DC">
              <w:rPr>
                <w:rFonts w:eastAsia="Times New Roman"/>
                <w:kern w:val="0"/>
                <w:sz w:val="20"/>
                <w:szCs w:val="20"/>
                <w:lang w:val="ro-RO"/>
              </w:rPr>
              <w:t>Letea</w:t>
            </w:r>
          </w:p>
          <w:p w14:paraId="10771E3E" w14:textId="77777777" w:rsidR="00BC11DC" w:rsidRPr="00BC11DC" w:rsidRDefault="00BC11DC" w:rsidP="00935E16">
            <w:pPr>
              <w:spacing w:before="0" w:after="0" w:line="240" w:lineRule="auto"/>
              <w:ind w:firstLine="0"/>
              <w:rPr>
                <w:rFonts w:eastAsia="Times New Roman"/>
                <w:kern w:val="0"/>
                <w:sz w:val="20"/>
                <w:szCs w:val="20"/>
                <w:lang w:val="ro-RO"/>
              </w:rPr>
            </w:pPr>
            <w:r w:rsidRPr="00BC11DC">
              <w:rPr>
                <w:rFonts w:eastAsia="Times New Roman"/>
                <w:kern w:val="0"/>
                <w:sz w:val="20"/>
                <w:szCs w:val="20"/>
                <w:lang w:val="ro-RO"/>
              </w:rPr>
              <w:t>Periprava</w:t>
            </w:r>
          </w:p>
          <w:p w14:paraId="44CFF66E" w14:textId="77777777" w:rsidR="00BC11DC" w:rsidRPr="00BC11DC" w:rsidRDefault="00BC11DC" w:rsidP="00935E16">
            <w:pPr>
              <w:spacing w:before="0" w:after="0" w:line="240" w:lineRule="auto"/>
              <w:ind w:firstLine="0"/>
              <w:rPr>
                <w:rFonts w:eastAsia="Times New Roman"/>
                <w:kern w:val="0"/>
                <w:sz w:val="20"/>
                <w:szCs w:val="20"/>
                <w:lang w:val="ro-RO"/>
              </w:rPr>
            </w:pPr>
            <w:r w:rsidRPr="00BC11DC">
              <w:rPr>
                <w:rFonts w:eastAsia="Times New Roman"/>
                <w:kern w:val="0"/>
                <w:sz w:val="20"/>
                <w:szCs w:val="20"/>
                <w:lang w:val="ro-RO"/>
              </w:rPr>
              <w:t>Sfiştofca</w:t>
            </w:r>
          </w:p>
        </w:tc>
        <w:tc>
          <w:tcPr>
            <w:tcW w:w="1134" w:type="dxa"/>
          </w:tcPr>
          <w:p w14:paraId="792DC5DB"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IV</w:t>
            </w:r>
          </w:p>
          <w:p w14:paraId="6C0C51F9"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V</w:t>
            </w:r>
          </w:p>
          <w:p w14:paraId="2FB1C18F"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V</w:t>
            </w:r>
          </w:p>
          <w:p w14:paraId="515B476A"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V</w:t>
            </w:r>
          </w:p>
          <w:p w14:paraId="35CF9DC0"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V</w:t>
            </w:r>
          </w:p>
        </w:tc>
      </w:tr>
      <w:tr w:rsidR="00BC11DC" w:rsidRPr="00BC11DC" w14:paraId="3DBA2814" w14:textId="77777777" w:rsidTr="00583732">
        <w:tc>
          <w:tcPr>
            <w:tcW w:w="560" w:type="dxa"/>
          </w:tcPr>
          <w:p w14:paraId="5157340F"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2</w:t>
            </w:r>
          </w:p>
        </w:tc>
        <w:tc>
          <w:tcPr>
            <w:tcW w:w="1419" w:type="dxa"/>
            <w:tcBorders>
              <w:top w:val="single" w:sz="6" w:space="0" w:color="000000"/>
              <w:left w:val="single" w:sz="6" w:space="0" w:color="000000"/>
              <w:bottom w:val="single" w:sz="6" w:space="0" w:color="000000"/>
              <w:right w:val="single" w:sz="6" w:space="0" w:color="000000"/>
            </w:tcBorders>
          </w:tcPr>
          <w:p w14:paraId="197514F8"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Sulina</w:t>
            </w:r>
          </w:p>
        </w:tc>
        <w:tc>
          <w:tcPr>
            <w:tcW w:w="1373" w:type="dxa"/>
            <w:tcBorders>
              <w:top w:val="single" w:sz="6" w:space="0" w:color="000000"/>
              <w:left w:val="single" w:sz="6" w:space="0" w:color="000000"/>
              <w:bottom w:val="single" w:sz="6" w:space="0" w:color="000000"/>
              <w:right w:val="single" w:sz="6" w:space="0" w:color="000000"/>
            </w:tcBorders>
          </w:tcPr>
          <w:p w14:paraId="3BB228B0"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Oraș</w:t>
            </w:r>
          </w:p>
        </w:tc>
        <w:tc>
          <w:tcPr>
            <w:tcW w:w="901" w:type="dxa"/>
            <w:tcBorders>
              <w:top w:val="single" w:sz="6" w:space="0" w:color="000000"/>
              <w:left w:val="single" w:sz="6" w:space="0" w:color="000000"/>
              <w:bottom w:val="single" w:sz="6" w:space="0" w:color="000000"/>
              <w:right w:val="single" w:sz="6" w:space="0" w:color="000000"/>
            </w:tcBorders>
          </w:tcPr>
          <w:p w14:paraId="3CCFC36D"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3.118</w:t>
            </w:r>
          </w:p>
        </w:tc>
        <w:tc>
          <w:tcPr>
            <w:tcW w:w="708" w:type="dxa"/>
            <w:tcBorders>
              <w:top w:val="single" w:sz="6" w:space="0" w:color="000000"/>
              <w:left w:val="single" w:sz="6" w:space="0" w:color="000000"/>
              <w:bottom w:val="single" w:sz="6" w:space="0" w:color="000000"/>
              <w:right w:val="single" w:sz="6" w:space="0" w:color="000000"/>
            </w:tcBorders>
          </w:tcPr>
          <w:p w14:paraId="0988FE20"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0,78</w:t>
            </w:r>
          </w:p>
        </w:tc>
        <w:tc>
          <w:tcPr>
            <w:tcW w:w="991" w:type="dxa"/>
            <w:tcBorders>
              <w:top w:val="single" w:sz="6" w:space="0" w:color="000000"/>
              <w:left w:val="single" w:sz="6" w:space="0" w:color="000000"/>
              <w:bottom w:val="single" w:sz="6" w:space="0" w:color="000000"/>
              <w:right w:val="single" w:sz="6" w:space="0" w:color="000000"/>
            </w:tcBorders>
          </w:tcPr>
          <w:p w14:paraId="6789B6B6"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32.835</w:t>
            </w:r>
          </w:p>
        </w:tc>
        <w:tc>
          <w:tcPr>
            <w:tcW w:w="708" w:type="dxa"/>
            <w:tcBorders>
              <w:top w:val="single" w:sz="6" w:space="0" w:color="000000"/>
              <w:left w:val="single" w:sz="6" w:space="0" w:color="000000"/>
              <w:bottom w:val="single" w:sz="6" w:space="0" w:color="000000"/>
              <w:right w:val="single" w:sz="6" w:space="0" w:color="000000"/>
            </w:tcBorders>
          </w:tcPr>
          <w:p w14:paraId="293360F3"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9,24</w:t>
            </w:r>
          </w:p>
        </w:tc>
        <w:tc>
          <w:tcPr>
            <w:tcW w:w="1699" w:type="dxa"/>
            <w:tcBorders>
              <w:top w:val="single" w:sz="6" w:space="0" w:color="000000"/>
              <w:left w:val="single" w:sz="6" w:space="0" w:color="000000"/>
              <w:bottom w:val="single" w:sz="6" w:space="0" w:color="000000"/>
              <w:right w:val="single" w:sz="6" w:space="0" w:color="000000"/>
            </w:tcBorders>
          </w:tcPr>
          <w:p w14:paraId="331B1548" w14:textId="77777777" w:rsidR="00BC11DC" w:rsidRPr="00BC11DC" w:rsidRDefault="00BC11DC" w:rsidP="00935E16">
            <w:pPr>
              <w:spacing w:before="0" w:after="0" w:line="240" w:lineRule="auto"/>
              <w:ind w:firstLine="0"/>
              <w:jc w:val="left"/>
              <w:rPr>
                <w:rFonts w:eastAsia="Times New Roman"/>
                <w:kern w:val="0"/>
                <w:sz w:val="20"/>
                <w:szCs w:val="20"/>
                <w:lang w:val="ro-RO"/>
              </w:rPr>
            </w:pPr>
            <w:r w:rsidRPr="00BC11DC">
              <w:rPr>
                <w:rFonts w:eastAsia="Times New Roman"/>
                <w:kern w:val="0"/>
                <w:sz w:val="20"/>
                <w:szCs w:val="20"/>
                <w:lang w:val="ro-RO"/>
              </w:rPr>
              <w:t>Sulina</w:t>
            </w:r>
          </w:p>
        </w:tc>
        <w:tc>
          <w:tcPr>
            <w:tcW w:w="1134" w:type="dxa"/>
            <w:tcBorders>
              <w:top w:val="single" w:sz="6" w:space="0" w:color="000000"/>
              <w:left w:val="single" w:sz="6" w:space="0" w:color="000000"/>
              <w:bottom w:val="single" w:sz="6" w:space="0" w:color="000000"/>
              <w:right w:val="single" w:sz="6" w:space="0" w:color="000000"/>
            </w:tcBorders>
          </w:tcPr>
          <w:p w14:paraId="310C3E2E"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III</w:t>
            </w:r>
          </w:p>
        </w:tc>
      </w:tr>
      <w:tr w:rsidR="00BC11DC" w:rsidRPr="00BC11DC" w14:paraId="4B9B2156" w14:textId="77777777" w:rsidTr="00583732">
        <w:tc>
          <w:tcPr>
            <w:tcW w:w="560" w:type="dxa"/>
          </w:tcPr>
          <w:p w14:paraId="29A0580A"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3</w:t>
            </w:r>
          </w:p>
        </w:tc>
        <w:tc>
          <w:tcPr>
            <w:tcW w:w="1419" w:type="dxa"/>
            <w:tcBorders>
              <w:top w:val="single" w:sz="6" w:space="0" w:color="000000"/>
              <w:left w:val="single" w:sz="6" w:space="0" w:color="000000"/>
              <w:bottom w:val="single" w:sz="6" w:space="0" w:color="000000"/>
              <w:right w:val="single" w:sz="6" w:space="0" w:color="000000"/>
            </w:tcBorders>
          </w:tcPr>
          <w:p w14:paraId="075E4A22"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Sfântu Gheorghe</w:t>
            </w:r>
          </w:p>
        </w:tc>
        <w:tc>
          <w:tcPr>
            <w:tcW w:w="1373" w:type="dxa"/>
            <w:tcBorders>
              <w:top w:val="single" w:sz="6" w:space="0" w:color="000000"/>
              <w:left w:val="single" w:sz="6" w:space="0" w:color="000000"/>
              <w:bottom w:val="single" w:sz="6" w:space="0" w:color="000000"/>
              <w:right w:val="single" w:sz="6" w:space="0" w:color="000000"/>
            </w:tcBorders>
          </w:tcPr>
          <w:p w14:paraId="474EAD4D"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Comună</w:t>
            </w:r>
          </w:p>
        </w:tc>
        <w:tc>
          <w:tcPr>
            <w:tcW w:w="901" w:type="dxa"/>
            <w:tcBorders>
              <w:top w:val="single" w:sz="6" w:space="0" w:color="000000"/>
              <w:left w:val="single" w:sz="6" w:space="0" w:color="000000"/>
              <w:bottom w:val="single" w:sz="6" w:space="0" w:color="000000"/>
              <w:right w:val="single" w:sz="6" w:space="0" w:color="000000"/>
            </w:tcBorders>
          </w:tcPr>
          <w:p w14:paraId="305B5098"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639</w:t>
            </w:r>
          </w:p>
        </w:tc>
        <w:tc>
          <w:tcPr>
            <w:tcW w:w="708" w:type="dxa"/>
            <w:tcBorders>
              <w:top w:val="single" w:sz="6" w:space="0" w:color="000000"/>
              <w:left w:val="single" w:sz="6" w:space="0" w:color="000000"/>
              <w:bottom w:val="single" w:sz="6" w:space="0" w:color="000000"/>
              <w:right w:val="single" w:sz="6" w:space="0" w:color="000000"/>
            </w:tcBorders>
          </w:tcPr>
          <w:p w14:paraId="3A2FA718"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0,16</w:t>
            </w:r>
          </w:p>
        </w:tc>
        <w:tc>
          <w:tcPr>
            <w:tcW w:w="991" w:type="dxa"/>
            <w:tcBorders>
              <w:top w:val="single" w:sz="6" w:space="0" w:color="000000"/>
              <w:left w:val="single" w:sz="6" w:space="0" w:color="000000"/>
              <w:bottom w:val="single" w:sz="6" w:space="0" w:color="000000"/>
              <w:right w:val="single" w:sz="6" w:space="0" w:color="000000"/>
            </w:tcBorders>
          </w:tcPr>
          <w:p w14:paraId="512A0F52"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60.576</w:t>
            </w:r>
          </w:p>
        </w:tc>
        <w:tc>
          <w:tcPr>
            <w:tcW w:w="708" w:type="dxa"/>
            <w:tcBorders>
              <w:top w:val="single" w:sz="6" w:space="0" w:color="000000"/>
              <w:left w:val="single" w:sz="6" w:space="0" w:color="000000"/>
              <w:bottom w:val="single" w:sz="6" w:space="0" w:color="000000"/>
              <w:right w:val="single" w:sz="6" w:space="0" w:color="000000"/>
            </w:tcBorders>
          </w:tcPr>
          <w:p w14:paraId="559AA131"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17,04</w:t>
            </w:r>
          </w:p>
        </w:tc>
        <w:tc>
          <w:tcPr>
            <w:tcW w:w="1699" w:type="dxa"/>
            <w:tcBorders>
              <w:top w:val="single" w:sz="6" w:space="0" w:color="000000"/>
              <w:left w:val="single" w:sz="6" w:space="0" w:color="000000"/>
              <w:bottom w:val="single" w:sz="6" w:space="0" w:color="000000"/>
              <w:right w:val="single" w:sz="6" w:space="0" w:color="000000"/>
            </w:tcBorders>
          </w:tcPr>
          <w:p w14:paraId="2826BDED" w14:textId="77777777" w:rsidR="00BC11DC" w:rsidRPr="00BC11DC" w:rsidRDefault="00BC11DC" w:rsidP="00935E16">
            <w:pPr>
              <w:spacing w:before="0" w:after="0" w:line="240" w:lineRule="auto"/>
              <w:ind w:firstLine="0"/>
              <w:jc w:val="left"/>
              <w:rPr>
                <w:rFonts w:eastAsia="Times New Roman"/>
                <w:kern w:val="0"/>
                <w:sz w:val="20"/>
                <w:szCs w:val="20"/>
                <w:lang w:val="ro-RO"/>
              </w:rPr>
            </w:pPr>
            <w:r w:rsidRPr="00BC11DC">
              <w:rPr>
                <w:rFonts w:eastAsia="Times New Roman"/>
                <w:kern w:val="0"/>
                <w:sz w:val="20"/>
                <w:szCs w:val="20"/>
                <w:lang w:val="ro-RO"/>
              </w:rPr>
              <w:t>Sfântu Gheorghe</w:t>
            </w:r>
          </w:p>
        </w:tc>
        <w:tc>
          <w:tcPr>
            <w:tcW w:w="1134" w:type="dxa"/>
            <w:tcBorders>
              <w:top w:val="single" w:sz="6" w:space="0" w:color="000000"/>
              <w:left w:val="single" w:sz="6" w:space="0" w:color="000000"/>
              <w:bottom w:val="single" w:sz="6" w:space="0" w:color="000000"/>
              <w:right w:val="single" w:sz="6" w:space="0" w:color="000000"/>
            </w:tcBorders>
          </w:tcPr>
          <w:p w14:paraId="715100DD"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IV</w:t>
            </w:r>
          </w:p>
        </w:tc>
      </w:tr>
      <w:tr w:rsidR="00BC11DC" w:rsidRPr="00BC11DC" w14:paraId="0ED25435" w14:textId="77777777" w:rsidTr="00583732">
        <w:tc>
          <w:tcPr>
            <w:tcW w:w="560" w:type="dxa"/>
          </w:tcPr>
          <w:p w14:paraId="195AAE3F"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4</w:t>
            </w:r>
          </w:p>
        </w:tc>
        <w:tc>
          <w:tcPr>
            <w:tcW w:w="1419" w:type="dxa"/>
            <w:tcBorders>
              <w:top w:val="single" w:sz="6" w:space="0" w:color="000000"/>
              <w:left w:val="single" w:sz="6" w:space="0" w:color="000000"/>
              <w:bottom w:val="single" w:sz="6" w:space="0" w:color="000000"/>
              <w:right w:val="single" w:sz="6" w:space="0" w:color="000000"/>
            </w:tcBorders>
          </w:tcPr>
          <w:p w14:paraId="46DB5DBC"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Murighiol</w:t>
            </w:r>
          </w:p>
        </w:tc>
        <w:tc>
          <w:tcPr>
            <w:tcW w:w="1373" w:type="dxa"/>
            <w:tcBorders>
              <w:top w:val="single" w:sz="6" w:space="0" w:color="000000"/>
              <w:left w:val="single" w:sz="6" w:space="0" w:color="000000"/>
              <w:bottom w:val="single" w:sz="6" w:space="0" w:color="000000"/>
              <w:right w:val="single" w:sz="6" w:space="0" w:color="000000"/>
            </w:tcBorders>
          </w:tcPr>
          <w:p w14:paraId="68A7CDA3"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Comună</w:t>
            </w:r>
          </w:p>
        </w:tc>
        <w:tc>
          <w:tcPr>
            <w:tcW w:w="901" w:type="dxa"/>
            <w:tcBorders>
              <w:top w:val="single" w:sz="6" w:space="0" w:color="000000"/>
              <w:left w:val="single" w:sz="6" w:space="0" w:color="000000"/>
              <w:bottom w:val="single" w:sz="6" w:space="0" w:color="000000"/>
              <w:right w:val="single" w:sz="6" w:space="0" w:color="000000"/>
            </w:tcBorders>
          </w:tcPr>
          <w:p w14:paraId="0888C5FA"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2.959</w:t>
            </w:r>
          </w:p>
        </w:tc>
        <w:tc>
          <w:tcPr>
            <w:tcW w:w="708" w:type="dxa"/>
            <w:tcBorders>
              <w:top w:val="single" w:sz="6" w:space="0" w:color="000000"/>
              <w:left w:val="single" w:sz="6" w:space="0" w:color="000000"/>
              <w:bottom w:val="single" w:sz="6" w:space="0" w:color="000000"/>
              <w:right w:val="single" w:sz="6" w:space="0" w:color="000000"/>
            </w:tcBorders>
          </w:tcPr>
          <w:p w14:paraId="021FC08C"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0,74</w:t>
            </w:r>
          </w:p>
        </w:tc>
        <w:tc>
          <w:tcPr>
            <w:tcW w:w="991" w:type="dxa"/>
            <w:tcBorders>
              <w:top w:val="single" w:sz="6" w:space="0" w:color="000000"/>
              <w:left w:val="single" w:sz="6" w:space="0" w:color="000000"/>
              <w:bottom w:val="single" w:sz="6" w:space="0" w:color="000000"/>
              <w:right w:val="single" w:sz="6" w:space="0" w:color="000000"/>
            </w:tcBorders>
          </w:tcPr>
          <w:p w14:paraId="172A5B3B"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80.449</w:t>
            </w:r>
          </w:p>
        </w:tc>
        <w:tc>
          <w:tcPr>
            <w:tcW w:w="708" w:type="dxa"/>
            <w:tcBorders>
              <w:top w:val="single" w:sz="6" w:space="0" w:color="000000"/>
              <w:left w:val="single" w:sz="6" w:space="0" w:color="000000"/>
              <w:bottom w:val="single" w:sz="6" w:space="0" w:color="000000"/>
              <w:right w:val="single" w:sz="6" w:space="0" w:color="000000"/>
            </w:tcBorders>
          </w:tcPr>
          <w:p w14:paraId="4EFAABE5"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22,63</w:t>
            </w:r>
          </w:p>
        </w:tc>
        <w:tc>
          <w:tcPr>
            <w:tcW w:w="1699" w:type="dxa"/>
            <w:tcBorders>
              <w:top w:val="single" w:sz="6" w:space="0" w:color="000000"/>
              <w:left w:val="single" w:sz="6" w:space="0" w:color="000000"/>
              <w:bottom w:val="single" w:sz="6" w:space="0" w:color="000000"/>
              <w:right w:val="single" w:sz="6" w:space="0" w:color="000000"/>
            </w:tcBorders>
          </w:tcPr>
          <w:p w14:paraId="01A14949"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lang w:val="ro-RO"/>
              </w:rPr>
            </w:pPr>
            <w:r w:rsidRPr="00BC11DC">
              <w:rPr>
                <w:rFonts w:eastAsia="Times New Roman"/>
                <w:color w:val="000000"/>
                <w:kern w:val="0"/>
                <w:sz w:val="20"/>
                <w:szCs w:val="20"/>
                <w:lang w:val="ro-RO"/>
              </w:rPr>
              <w:t>Murighiol</w:t>
            </w:r>
          </w:p>
          <w:p w14:paraId="238527E0"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lang w:val="ro-RO"/>
              </w:rPr>
            </w:pPr>
            <w:r w:rsidRPr="00BC11DC">
              <w:rPr>
                <w:rFonts w:eastAsia="Times New Roman"/>
                <w:color w:val="000000"/>
                <w:kern w:val="0"/>
                <w:sz w:val="20"/>
                <w:szCs w:val="20"/>
                <w:lang w:val="ro-RO"/>
              </w:rPr>
              <w:t>Colina</w:t>
            </w:r>
          </w:p>
          <w:p w14:paraId="46577240"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lang w:val="ro-RO"/>
              </w:rPr>
            </w:pPr>
            <w:r w:rsidRPr="00BC11DC">
              <w:rPr>
                <w:rFonts w:eastAsia="Times New Roman"/>
                <w:color w:val="000000"/>
                <w:kern w:val="0"/>
                <w:sz w:val="20"/>
                <w:szCs w:val="20"/>
                <w:lang w:val="ro-RO"/>
              </w:rPr>
              <w:t>Dunavăţu de Jos</w:t>
            </w:r>
          </w:p>
          <w:p w14:paraId="23C6D73B"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lang w:val="ro-RO"/>
              </w:rPr>
            </w:pPr>
            <w:r w:rsidRPr="00BC11DC">
              <w:rPr>
                <w:rFonts w:eastAsia="Times New Roman"/>
                <w:color w:val="000000"/>
                <w:kern w:val="0"/>
                <w:sz w:val="20"/>
                <w:szCs w:val="20"/>
                <w:lang w:val="ro-RO"/>
              </w:rPr>
              <w:t>Dunavăţu de Sus</w:t>
            </w:r>
          </w:p>
          <w:p w14:paraId="1E3BC9A7"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lang w:val="ro-RO"/>
              </w:rPr>
            </w:pPr>
            <w:r w:rsidRPr="00BC11DC">
              <w:rPr>
                <w:rFonts w:eastAsia="Times New Roman"/>
                <w:color w:val="000000"/>
                <w:kern w:val="0"/>
                <w:sz w:val="20"/>
                <w:szCs w:val="20"/>
                <w:lang w:val="ro-RO"/>
              </w:rPr>
              <w:t>Plopul</w:t>
            </w:r>
          </w:p>
          <w:p w14:paraId="76B3CFA0"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Sarinasuf</w:t>
            </w:r>
          </w:p>
          <w:p w14:paraId="6B3123A9"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lang w:val="ro-RO"/>
              </w:rPr>
            </w:pPr>
            <w:r w:rsidRPr="00BC11DC">
              <w:rPr>
                <w:rFonts w:eastAsia="Times New Roman"/>
                <w:color w:val="000000"/>
                <w:kern w:val="0"/>
                <w:sz w:val="20"/>
                <w:szCs w:val="20"/>
                <w:lang w:val="ro-RO"/>
              </w:rPr>
              <w:t>Uzlina</w:t>
            </w:r>
          </w:p>
        </w:tc>
        <w:tc>
          <w:tcPr>
            <w:tcW w:w="1134" w:type="dxa"/>
            <w:tcBorders>
              <w:top w:val="single" w:sz="6" w:space="0" w:color="000000"/>
              <w:left w:val="single" w:sz="6" w:space="0" w:color="000000"/>
              <w:bottom w:val="single" w:sz="6" w:space="0" w:color="000000"/>
              <w:right w:val="single" w:sz="6" w:space="0" w:color="000000"/>
            </w:tcBorders>
          </w:tcPr>
          <w:p w14:paraId="5731F205" w14:textId="77777777" w:rsidR="00BC11DC" w:rsidRPr="00BC11DC" w:rsidRDefault="00BC11DC" w:rsidP="00935E16">
            <w:pPr>
              <w:pBdr>
                <w:top w:val="nil"/>
                <w:left w:val="nil"/>
                <w:bottom w:val="nil"/>
                <w:right w:val="nil"/>
                <w:between w:val="nil"/>
              </w:pBdr>
              <w:spacing w:before="0" w:after="0" w:line="240" w:lineRule="auto"/>
              <w:ind w:firstLine="0"/>
              <w:jc w:val="center"/>
              <w:rPr>
                <w:rFonts w:eastAsia="Times New Roman"/>
                <w:color w:val="000000"/>
                <w:kern w:val="0"/>
                <w:lang w:val="ro-RO"/>
              </w:rPr>
            </w:pPr>
            <w:r w:rsidRPr="00BC11DC">
              <w:rPr>
                <w:rFonts w:eastAsia="Times New Roman"/>
                <w:color w:val="000000"/>
                <w:kern w:val="0"/>
                <w:sz w:val="20"/>
                <w:szCs w:val="20"/>
                <w:lang w:val="ro-RO"/>
              </w:rPr>
              <w:t>IV</w:t>
            </w:r>
          </w:p>
          <w:p w14:paraId="321E8BC0" w14:textId="77777777" w:rsidR="00BC11DC" w:rsidRPr="00BC11DC" w:rsidRDefault="00BC11DC" w:rsidP="00935E16">
            <w:pPr>
              <w:pBdr>
                <w:top w:val="nil"/>
                <w:left w:val="nil"/>
                <w:bottom w:val="nil"/>
                <w:right w:val="nil"/>
                <w:between w:val="nil"/>
              </w:pBdr>
              <w:spacing w:before="0" w:after="0" w:line="240" w:lineRule="auto"/>
              <w:ind w:firstLine="0"/>
              <w:jc w:val="center"/>
              <w:rPr>
                <w:rFonts w:eastAsia="Times New Roman"/>
                <w:color w:val="000000"/>
                <w:kern w:val="0"/>
                <w:lang w:val="ro-RO"/>
              </w:rPr>
            </w:pPr>
            <w:r w:rsidRPr="00BC11DC">
              <w:rPr>
                <w:rFonts w:eastAsia="Times New Roman"/>
                <w:color w:val="000000"/>
                <w:kern w:val="0"/>
                <w:sz w:val="20"/>
                <w:szCs w:val="20"/>
                <w:lang w:val="ro-RO"/>
              </w:rPr>
              <w:t>V</w:t>
            </w:r>
          </w:p>
          <w:p w14:paraId="58E407BC" w14:textId="77777777" w:rsidR="00BC11DC" w:rsidRPr="00BC11DC" w:rsidRDefault="00BC11DC" w:rsidP="00935E16">
            <w:pPr>
              <w:pBdr>
                <w:top w:val="nil"/>
                <w:left w:val="nil"/>
                <w:bottom w:val="nil"/>
                <w:right w:val="nil"/>
                <w:between w:val="nil"/>
              </w:pBdr>
              <w:spacing w:before="0" w:after="0" w:line="240" w:lineRule="auto"/>
              <w:ind w:firstLine="0"/>
              <w:jc w:val="center"/>
              <w:rPr>
                <w:rFonts w:eastAsia="Times New Roman"/>
                <w:color w:val="000000"/>
                <w:kern w:val="0"/>
                <w:lang w:val="ro-RO"/>
              </w:rPr>
            </w:pPr>
            <w:r w:rsidRPr="00BC11DC">
              <w:rPr>
                <w:rFonts w:eastAsia="Times New Roman"/>
                <w:color w:val="000000"/>
                <w:kern w:val="0"/>
                <w:sz w:val="20"/>
                <w:szCs w:val="20"/>
                <w:lang w:val="ro-RO"/>
              </w:rPr>
              <w:t>V</w:t>
            </w:r>
          </w:p>
          <w:p w14:paraId="3F099FF9" w14:textId="77777777" w:rsidR="00BC11DC" w:rsidRPr="00BC11DC" w:rsidRDefault="00BC11DC" w:rsidP="00935E16">
            <w:pPr>
              <w:pBdr>
                <w:top w:val="nil"/>
                <w:left w:val="nil"/>
                <w:bottom w:val="nil"/>
                <w:right w:val="nil"/>
                <w:between w:val="nil"/>
              </w:pBdr>
              <w:spacing w:before="0" w:after="0" w:line="240" w:lineRule="auto"/>
              <w:ind w:firstLine="0"/>
              <w:jc w:val="center"/>
              <w:rPr>
                <w:rFonts w:eastAsia="Times New Roman"/>
                <w:color w:val="000000"/>
                <w:kern w:val="0"/>
                <w:lang w:val="ro-RO"/>
              </w:rPr>
            </w:pPr>
            <w:r w:rsidRPr="00BC11DC">
              <w:rPr>
                <w:rFonts w:eastAsia="Times New Roman"/>
                <w:color w:val="000000"/>
                <w:kern w:val="0"/>
                <w:sz w:val="20"/>
                <w:szCs w:val="20"/>
                <w:lang w:val="ro-RO"/>
              </w:rPr>
              <w:t>V</w:t>
            </w:r>
          </w:p>
          <w:p w14:paraId="6F4AE3C7" w14:textId="77777777" w:rsidR="00BC11DC" w:rsidRPr="00BC11DC" w:rsidRDefault="00BC11DC" w:rsidP="00935E16">
            <w:pPr>
              <w:pBdr>
                <w:top w:val="nil"/>
                <w:left w:val="nil"/>
                <w:bottom w:val="nil"/>
                <w:right w:val="nil"/>
                <w:between w:val="nil"/>
              </w:pBdr>
              <w:spacing w:before="0" w:after="0" w:line="240" w:lineRule="auto"/>
              <w:ind w:firstLine="0"/>
              <w:jc w:val="center"/>
              <w:rPr>
                <w:rFonts w:eastAsia="Times New Roman"/>
                <w:color w:val="000000"/>
                <w:kern w:val="0"/>
                <w:lang w:val="ro-RO"/>
              </w:rPr>
            </w:pPr>
            <w:r w:rsidRPr="00BC11DC">
              <w:rPr>
                <w:rFonts w:eastAsia="Times New Roman"/>
                <w:color w:val="000000"/>
                <w:kern w:val="0"/>
                <w:sz w:val="20"/>
                <w:szCs w:val="20"/>
                <w:lang w:val="ro-RO"/>
              </w:rPr>
              <w:t>V</w:t>
            </w:r>
          </w:p>
          <w:p w14:paraId="27113EB5" w14:textId="77777777" w:rsidR="00BC11DC" w:rsidRPr="00BC11DC" w:rsidRDefault="00BC11DC" w:rsidP="00935E16">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V</w:t>
            </w:r>
          </w:p>
          <w:p w14:paraId="5B9F7181" w14:textId="77777777" w:rsidR="00BC11DC" w:rsidRPr="00BC11DC" w:rsidRDefault="00BC11DC" w:rsidP="00935E16">
            <w:pPr>
              <w:pBdr>
                <w:top w:val="nil"/>
                <w:left w:val="nil"/>
                <w:bottom w:val="nil"/>
                <w:right w:val="nil"/>
                <w:between w:val="nil"/>
              </w:pBdr>
              <w:spacing w:before="0" w:after="0" w:line="240" w:lineRule="auto"/>
              <w:ind w:firstLine="0"/>
              <w:jc w:val="center"/>
              <w:rPr>
                <w:rFonts w:eastAsia="Times New Roman"/>
                <w:color w:val="000000"/>
                <w:kern w:val="0"/>
                <w:lang w:val="ro-RO"/>
              </w:rPr>
            </w:pPr>
            <w:r w:rsidRPr="00BC11DC">
              <w:rPr>
                <w:rFonts w:eastAsia="Times New Roman"/>
                <w:color w:val="000000"/>
                <w:kern w:val="0"/>
                <w:sz w:val="20"/>
                <w:szCs w:val="20"/>
                <w:lang w:val="ro-RO"/>
              </w:rPr>
              <w:t>V</w:t>
            </w:r>
          </w:p>
        </w:tc>
      </w:tr>
      <w:tr w:rsidR="00BC11DC" w:rsidRPr="00BC11DC" w14:paraId="26AC2428" w14:textId="77777777" w:rsidTr="00583732">
        <w:tc>
          <w:tcPr>
            <w:tcW w:w="560" w:type="dxa"/>
          </w:tcPr>
          <w:p w14:paraId="35F52FC6"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5</w:t>
            </w:r>
          </w:p>
        </w:tc>
        <w:tc>
          <w:tcPr>
            <w:tcW w:w="1419" w:type="dxa"/>
            <w:tcBorders>
              <w:top w:val="single" w:sz="6" w:space="0" w:color="000000"/>
              <w:left w:val="single" w:sz="6" w:space="0" w:color="000000"/>
              <w:bottom w:val="single" w:sz="6" w:space="0" w:color="000000"/>
              <w:right w:val="single" w:sz="6" w:space="0" w:color="000000"/>
            </w:tcBorders>
          </w:tcPr>
          <w:p w14:paraId="1A369374"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Jurilovca</w:t>
            </w:r>
          </w:p>
        </w:tc>
        <w:tc>
          <w:tcPr>
            <w:tcW w:w="1373" w:type="dxa"/>
            <w:tcBorders>
              <w:top w:val="single" w:sz="6" w:space="0" w:color="000000"/>
              <w:left w:val="single" w:sz="6" w:space="0" w:color="000000"/>
              <w:bottom w:val="single" w:sz="6" w:space="0" w:color="000000"/>
              <w:right w:val="single" w:sz="6" w:space="0" w:color="000000"/>
            </w:tcBorders>
          </w:tcPr>
          <w:p w14:paraId="3AC3786C"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Comună</w:t>
            </w:r>
          </w:p>
        </w:tc>
        <w:tc>
          <w:tcPr>
            <w:tcW w:w="901" w:type="dxa"/>
            <w:tcBorders>
              <w:top w:val="single" w:sz="6" w:space="0" w:color="000000"/>
              <w:left w:val="single" w:sz="6" w:space="0" w:color="000000"/>
              <w:bottom w:val="single" w:sz="6" w:space="0" w:color="000000"/>
              <w:right w:val="single" w:sz="6" w:space="0" w:color="000000"/>
            </w:tcBorders>
          </w:tcPr>
          <w:p w14:paraId="77EF924F"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3.694</w:t>
            </w:r>
          </w:p>
        </w:tc>
        <w:tc>
          <w:tcPr>
            <w:tcW w:w="708" w:type="dxa"/>
            <w:tcBorders>
              <w:top w:val="single" w:sz="6" w:space="0" w:color="000000"/>
              <w:left w:val="single" w:sz="6" w:space="0" w:color="000000"/>
              <w:bottom w:val="single" w:sz="6" w:space="0" w:color="000000"/>
              <w:right w:val="single" w:sz="6" w:space="0" w:color="000000"/>
            </w:tcBorders>
          </w:tcPr>
          <w:p w14:paraId="3CCCE10D"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0,92</w:t>
            </w:r>
          </w:p>
        </w:tc>
        <w:tc>
          <w:tcPr>
            <w:tcW w:w="991" w:type="dxa"/>
            <w:tcBorders>
              <w:top w:val="single" w:sz="6" w:space="0" w:color="000000"/>
              <w:left w:val="single" w:sz="6" w:space="0" w:color="000000"/>
              <w:bottom w:val="single" w:sz="6" w:space="0" w:color="000000"/>
              <w:right w:val="single" w:sz="6" w:space="0" w:color="000000"/>
            </w:tcBorders>
          </w:tcPr>
          <w:p w14:paraId="1AE28F69"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29.949</w:t>
            </w:r>
          </w:p>
        </w:tc>
        <w:tc>
          <w:tcPr>
            <w:tcW w:w="708" w:type="dxa"/>
            <w:tcBorders>
              <w:top w:val="single" w:sz="6" w:space="0" w:color="000000"/>
              <w:left w:val="single" w:sz="6" w:space="0" w:color="000000"/>
              <w:bottom w:val="single" w:sz="6" w:space="0" w:color="000000"/>
              <w:right w:val="single" w:sz="6" w:space="0" w:color="000000"/>
            </w:tcBorders>
          </w:tcPr>
          <w:p w14:paraId="00A460E7"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8,43</w:t>
            </w:r>
          </w:p>
        </w:tc>
        <w:tc>
          <w:tcPr>
            <w:tcW w:w="1699" w:type="dxa"/>
            <w:tcBorders>
              <w:top w:val="single" w:sz="6" w:space="0" w:color="000000"/>
              <w:left w:val="single" w:sz="6" w:space="0" w:color="000000"/>
              <w:bottom w:val="single" w:sz="6" w:space="0" w:color="000000"/>
              <w:right w:val="single" w:sz="6" w:space="0" w:color="000000"/>
            </w:tcBorders>
          </w:tcPr>
          <w:p w14:paraId="3D262269"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lang w:val="ro-RO"/>
              </w:rPr>
            </w:pPr>
            <w:r w:rsidRPr="00BC11DC">
              <w:rPr>
                <w:rFonts w:eastAsia="Times New Roman"/>
                <w:color w:val="000000"/>
                <w:kern w:val="0"/>
                <w:sz w:val="20"/>
                <w:szCs w:val="20"/>
                <w:lang w:val="ro-RO"/>
              </w:rPr>
              <w:t>Jurilovca</w:t>
            </w:r>
          </w:p>
          <w:p w14:paraId="7B02DB3A"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Sălcioara</w:t>
            </w:r>
          </w:p>
          <w:p w14:paraId="37A13782"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lang w:val="ro-RO"/>
              </w:rPr>
            </w:pPr>
            <w:r w:rsidRPr="00BC11DC">
              <w:rPr>
                <w:rFonts w:eastAsia="Times New Roman"/>
                <w:color w:val="000000"/>
                <w:kern w:val="0"/>
                <w:sz w:val="20"/>
                <w:szCs w:val="20"/>
                <w:lang w:val="ro-RO"/>
              </w:rPr>
              <w:t>Vișina</w:t>
            </w:r>
          </w:p>
        </w:tc>
        <w:tc>
          <w:tcPr>
            <w:tcW w:w="1134" w:type="dxa"/>
            <w:tcBorders>
              <w:top w:val="single" w:sz="6" w:space="0" w:color="000000"/>
              <w:left w:val="single" w:sz="6" w:space="0" w:color="000000"/>
              <w:bottom w:val="single" w:sz="6" w:space="0" w:color="000000"/>
              <w:right w:val="single" w:sz="6" w:space="0" w:color="000000"/>
            </w:tcBorders>
          </w:tcPr>
          <w:p w14:paraId="3EDB3E62" w14:textId="77777777" w:rsidR="00BC11DC" w:rsidRPr="00BC11DC" w:rsidRDefault="00BC11DC" w:rsidP="00935E16">
            <w:pPr>
              <w:pBdr>
                <w:top w:val="nil"/>
                <w:left w:val="nil"/>
                <w:bottom w:val="nil"/>
                <w:right w:val="nil"/>
                <w:between w:val="nil"/>
              </w:pBdr>
              <w:spacing w:before="0" w:after="0" w:line="240" w:lineRule="auto"/>
              <w:ind w:firstLine="0"/>
              <w:jc w:val="center"/>
              <w:rPr>
                <w:rFonts w:eastAsia="Times New Roman"/>
                <w:color w:val="000000"/>
                <w:kern w:val="0"/>
                <w:lang w:val="ro-RO"/>
              </w:rPr>
            </w:pPr>
            <w:r w:rsidRPr="00BC11DC">
              <w:rPr>
                <w:rFonts w:eastAsia="Times New Roman"/>
                <w:color w:val="000000"/>
                <w:kern w:val="0"/>
                <w:sz w:val="20"/>
                <w:szCs w:val="20"/>
                <w:lang w:val="ro-RO"/>
              </w:rPr>
              <w:t>IV</w:t>
            </w:r>
          </w:p>
          <w:p w14:paraId="7BF50C5D" w14:textId="77777777" w:rsidR="00BC11DC" w:rsidRPr="00BC11DC" w:rsidRDefault="00BC11DC" w:rsidP="00935E16">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V</w:t>
            </w:r>
          </w:p>
          <w:p w14:paraId="02E85907" w14:textId="77777777" w:rsidR="00BC11DC" w:rsidRPr="00BC11DC" w:rsidRDefault="00BC11DC" w:rsidP="00935E16">
            <w:pPr>
              <w:pBdr>
                <w:top w:val="nil"/>
                <w:left w:val="nil"/>
                <w:bottom w:val="nil"/>
                <w:right w:val="nil"/>
                <w:between w:val="nil"/>
              </w:pBdr>
              <w:spacing w:before="0" w:after="0" w:line="240" w:lineRule="auto"/>
              <w:ind w:firstLine="0"/>
              <w:jc w:val="center"/>
              <w:rPr>
                <w:rFonts w:eastAsia="Times New Roman"/>
                <w:color w:val="000000"/>
                <w:kern w:val="0"/>
                <w:lang w:val="ro-RO"/>
              </w:rPr>
            </w:pPr>
            <w:r w:rsidRPr="00BC11DC">
              <w:rPr>
                <w:rFonts w:eastAsia="Times New Roman"/>
                <w:color w:val="000000"/>
                <w:kern w:val="0"/>
                <w:sz w:val="20"/>
                <w:szCs w:val="20"/>
                <w:lang w:val="ro-RO"/>
              </w:rPr>
              <w:t>V</w:t>
            </w:r>
          </w:p>
        </w:tc>
      </w:tr>
      <w:tr w:rsidR="00BC11DC" w:rsidRPr="00BC11DC" w14:paraId="7D0B208F" w14:textId="77777777" w:rsidTr="00583732">
        <w:tc>
          <w:tcPr>
            <w:tcW w:w="3352" w:type="dxa"/>
            <w:gridSpan w:val="3"/>
          </w:tcPr>
          <w:p w14:paraId="34F3D85E" w14:textId="77777777" w:rsidR="00BC11DC" w:rsidRPr="00BC11DC" w:rsidRDefault="00BC11DC" w:rsidP="00935E16">
            <w:pPr>
              <w:spacing w:before="0" w:after="0"/>
              <w:ind w:firstLine="0"/>
              <w:jc w:val="center"/>
              <w:rPr>
                <w:rFonts w:eastAsia="Times New Roman"/>
                <w:b/>
                <w:kern w:val="0"/>
                <w:sz w:val="20"/>
                <w:szCs w:val="20"/>
                <w:lang w:val="ro-RO"/>
              </w:rPr>
            </w:pPr>
            <w:r w:rsidRPr="00BC11DC">
              <w:rPr>
                <w:rFonts w:eastAsia="Times New Roman"/>
                <w:b/>
                <w:kern w:val="0"/>
                <w:sz w:val="20"/>
                <w:szCs w:val="20"/>
                <w:lang w:val="ro-RO"/>
              </w:rPr>
              <w:lastRenderedPageBreak/>
              <w:t>Total în județ Tulcea</w:t>
            </w:r>
          </w:p>
        </w:tc>
        <w:tc>
          <w:tcPr>
            <w:tcW w:w="901" w:type="dxa"/>
            <w:tcBorders>
              <w:top w:val="single" w:sz="6" w:space="0" w:color="000000"/>
              <w:left w:val="single" w:sz="6" w:space="0" w:color="000000"/>
              <w:bottom w:val="single" w:sz="6" w:space="0" w:color="000000"/>
              <w:right w:val="single" w:sz="6" w:space="0" w:color="000000"/>
            </w:tcBorders>
            <w:shd w:val="clear" w:color="auto" w:fill="F2F2F2"/>
          </w:tcPr>
          <w:p w14:paraId="09C063B8" w14:textId="77777777" w:rsidR="00BC11DC" w:rsidRPr="00BC11DC" w:rsidRDefault="00BC11DC" w:rsidP="00935E16">
            <w:pPr>
              <w:spacing w:before="0" w:after="0"/>
              <w:ind w:firstLine="0"/>
              <w:jc w:val="center"/>
              <w:rPr>
                <w:rFonts w:eastAsia="Times New Roman"/>
                <w:b/>
                <w:kern w:val="0"/>
                <w:sz w:val="20"/>
                <w:szCs w:val="20"/>
                <w:lang w:val="ro-RO"/>
              </w:rPr>
            </w:pPr>
            <w:r w:rsidRPr="00BC11DC">
              <w:rPr>
                <w:rFonts w:eastAsia="Times New Roman"/>
                <w:b/>
                <w:kern w:val="0"/>
                <w:sz w:val="20"/>
                <w:szCs w:val="20"/>
                <w:lang w:val="ro-RO"/>
              </w:rPr>
              <w:t>11.046</w:t>
            </w:r>
          </w:p>
        </w:tc>
        <w:tc>
          <w:tcPr>
            <w:tcW w:w="708" w:type="dxa"/>
            <w:tcBorders>
              <w:top w:val="single" w:sz="6" w:space="0" w:color="000000"/>
              <w:left w:val="single" w:sz="6" w:space="0" w:color="000000"/>
              <w:bottom w:val="single" w:sz="6" w:space="0" w:color="000000"/>
              <w:right w:val="single" w:sz="6" w:space="0" w:color="000000"/>
            </w:tcBorders>
            <w:shd w:val="clear" w:color="auto" w:fill="F2F2F2"/>
          </w:tcPr>
          <w:p w14:paraId="34BE4DF4" w14:textId="77777777" w:rsidR="00BC11DC" w:rsidRPr="00BC11DC" w:rsidRDefault="00BC11DC" w:rsidP="00935E16">
            <w:pPr>
              <w:spacing w:before="0" w:after="0"/>
              <w:ind w:firstLine="0"/>
              <w:jc w:val="center"/>
              <w:rPr>
                <w:rFonts w:eastAsia="Times New Roman"/>
                <w:b/>
                <w:kern w:val="0"/>
                <w:sz w:val="20"/>
                <w:szCs w:val="20"/>
                <w:lang w:val="ro-RO"/>
              </w:rPr>
            </w:pPr>
            <w:r w:rsidRPr="00BC11DC">
              <w:rPr>
                <w:rFonts w:eastAsia="Times New Roman"/>
                <w:b/>
                <w:kern w:val="0"/>
                <w:sz w:val="20"/>
                <w:szCs w:val="20"/>
                <w:lang w:val="ro-RO"/>
              </w:rPr>
              <w:t>2,76</w:t>
            </w:r>
          </w:p>
        </w:tc>
        <w:tc>
          <w:tcPr>
            <w:tcW w:w="991" w:type="dxa"/>
            <w:tcBorders>
              <w:top w:val="single" w:sz="6" w:space="0" w:color="000000"/>
              <w:left w:val="single" w:sz="6" w:space="0" w:color="000000"/>
              <w:bottom w:val="single" w:sz="6" w:space="0" w:color="000000"/>
              <w:right w:val="single" w:sz="6" w:space="0" w:color="000000"/>
            </w:tcBorders>
            <w:shd w:val="clear" w:color="auto" w:fill="F2F2F2"/>
          </w:tcPr>
          <w:p w14:paraId="03C167C1" w14:textId="77777777" w:rsidR="00BC11DC" w:rsidRPr="00BC11DC" w:rsidRDefault="00BC11DC" w:rsidP="00935E16">
            <w:pPr>
              <w:spacing w:before="0" w:after="0"/>
              <w:ind w:firstLine="0"/>
              <w:jc w:val="center"/>
              <w:rPr>
                <w:rFonts w:eastAsia="Times New Roman"/>
                <w:b/>
                <w:kern w:val="0"/>
                <w:sz w:val="20"/>
                <w:szCs w:val="20"/>
                <w:lang w:val="ro-RO"/>
              </w:rPr>
            </w:pPr>
            <w:r w:rsidRPr="00BC11DC">
              <w:rPr>
                <w:rFonts w:eastAsia="Times New Roman"/>
                <w:b/>
                <w:kern w:val="0"/>
                <w:sz w:val="20"/>
                <w:szCs w:val="20"/>
                <w:lang w:val="ro-RO"/>
              </w:rPr>
              <w:t>230.447</w:t>
            </w:r>
          </w:p>
        </w:tc>
        <w:tc>
          <w:tcPr>
            <w:tcW w:w="708" w:type="dxa"/>
            <w:tcBorders>
              <w:top w:val="single" w:sz="6" w:space="0" w:color="000000"/>
              <w:left w:val="single" w:sz="6" w:space="0" w:color="000000"/>
              <w:bottom w:val="single" w:sz="6" w:space="0" w:color="000000"/>
              <w:right w:val="single" w:sz="6" w:space="0" w:color="000000"/>
            </w:tcBorders>
            <w:shd w:val="clear" w:color="auto" w:fill="F2F2F2"/>
          </w:tcPr>
          <w:p w14:paraId="2DB60FFC" w14:textId="77777777" w:rsidR="00BC11DC" w:rsidRPr="00BC11DC" w:rsidRDefault="00BC11DC" w:rsidP="00935E16">
            <w:pPr>
              <w:spacing w:before="0" w:after="0"/>
              <w:ind w:firstLine="0"/>
              <w:jc w:val="center"/>
              <w:rPr>
                <w:rFonts w:eastAsia="Times New Roman"/>
                <w:b/>
                <w:kern w:val="0"/>
                <w:sz w:val="20"/>
                <w:szCs w:val="20"/>
                <w:lang w:val="ro-RO"/>
              </w:rPr>
            </w:pPr>
            <w:r w:rsidRPr="00BC11DC">
              <w:rPr>
                <w:rFonts w:eastAsia="Times New Roman"/>
                <w:b/>
                <w:kern w:val="0"/>
                <w:sz w:val="20"/>
                <w:szCs w:val="20"/>
                <w:lang w:val="ro-RO"/>
              </w:rPr>
              <w:t>64,83</w:t>
            </w:r>
          </w:p>
        </w:tc>
        <w:tc>
          <w:tcPr>
            <w:tcW w:w="2833" w:type="dxa"/>
            <w:gridSpan w:val="2"/>
          </w:tcPr>
          <w:p w14:paraId="3C900B37" w14:textId="77777777" w:rsidR="00BC11DC" w:rsidRPr="00BC11DC" w:rsidRDefault="00BC11DC" w:rsidP="00935E16">
            <w:pPr>
              <w:spacing w:before="0" w:after="0"/>
              <w:ind w:firstLine="0"/>
              <w:jc w:val="center"/>
              <w:rPr>
                <w:rFonts w:eastAsia="Times New Roman"/>
                <w:b/>
                <w:kern w:val="0"/>
                <w:sz w:val="20"/>
                <w:szCs w:val="20"/>
                <w:lang w:val="ro-RO"/>
              </w:rPr>
            </w:pPr>
          </w:p>
        </w:tc>
      </w:tr>
      <w:tr w:rsidR="00BC11DC" w:rsidRPr="00BC11DC" w14:paraId="3F9C2FC5" w14:textId="77777777" w:rsidTr="00583732">
        <w:tc>
          <w:tcPr>
            <w:tcW w:w="560" w:type="dxa"/>
          </w:tcPr>
          <w:p w14:paraId="2EECF726"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6</w:t>
            </w:r>
          </w:p>
        </w:tc>
        <w:tc>
          <w:tcPr>
            <w:tcW w:w="1419" w:type="dxa"/>
          </w:tcPr>
          <w:p w14:paraId="53D2478B"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Mihai Viteazul</w:t>
            </w:r>
          </w:p>
        </w:tc>
        <w:tc>
          <w:tcPr>
            <w:tcW w:w="1373" w:type="dxa"/>
            <w:tcBorders>
              <w:top w:val="single" w:sz="6" w:space="0" w:color="000000"/>
              <w:left w:val="single" w:sz="6" w:space="0" w:color="000000"/>
              <w:bottom w:val="single" w:sz="6" w:space="0" w:color="000000"/>
              <w:right w:val="single" w:sz="6" w:space="0" w:color="000000"/>
            </w:tcBorders>
          </w:tcPr>
          <w:p w14:paraId="450F7810"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Comună</w:t>
            </w:r>
          </w:p>
        </w:tc>
        <w:tc>
          <w:tcPr>
            <w:tcW w:w="901" w:type="dxa"/>
            <w:tcBorders>
              <w:top w:val="single" w:sz="6" w:space="0" w:color="000000"/>
              <w:left w:val="single" w:sz="6" w:space="0" w:color="000000"/>
              <w:bottom w:val="single" w:sz="6" w:space="0" w:color="000000"/>
              <w:right w:val="single" w:sz="6" w:space="0" w:color="000000"/>
            </w:tcBorders>
          </w:tcPr>
          <w:p w14:paraId="7D7DCC1C"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3.155</w:t>
            </w:r>
          </w:p>
        </w:tc>
        <w:tc>
          <w:tcPr>
            <w:tcW w:w="708" w:type="dxa"/>
            <w:tcBorders>
              <w:top w:val="single" w:sz="6" w:space="0" w:color="000000"/>
              <w:left w:val="single" w:sz="6" w:space="0" w:color="000000"/>
              <w:bottom w:val="single" w:sz="6" w:space="0" w:color="000000"/>
              <w:right w:val="single" w:sz="6" w:space="0" w:color="000000"/>
            </w:tcBorders>
          </w:tcPr>
          <w:p w14:paraId="5E0C4741"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0,79</w:t>
            </w:r>
          </w:p>
        </w:tc>
        <w:tc>
          <w:tcPr>
            <w:tcW w:w="991" w:type="dxa"/>
            <w:tcBorders>
              <w:top w:val="single" w:sz="6" w:space="0" w:color="000000"/>
              <w:left w:val="single" w:sz="6" w:space="0" w:color="000000"/>
              <w:bottom w:val="single" w:sz="6" w:space="0" w:color="000000"/>
              <w:right w:val="single" w:sz="6" w:space="0" w:color="000000"/>
            </w:tcBorders>
          </w:tcPr>
          <w:p w14:paraId="181676D6"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20.607</w:t>
            </w:r>
          </w:p>
        </w:tc>
        <w:tc>
          <w:tcPr>
            <w:tcW w:w="708" w:type="dxa"/>
            <w:tcBorders>
              <w:top w:val="single" w:sz="6" w:space="0" w:color="000000"/>
              <w:left w:val="single" w:sz="6" w:space="0" w:color="000000"/>
              <w:bottom w:val="single" w:sz="6" w:space="0" w:color="000000"/>
              <w:right w:val="single" w:sz="6" w:space="0" w:color="000000"/>
            </w:tcBorders>
          </w:tcPr>
          <w:p w14:paraId="30D9AAA3"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5,80</w:t>
            </w:r>
          </w:p>
        </w:tc>
        <w:tc>
          <w:tcPr>
            <w:tcW w:w="1699" w:type="dxa"/>
            <w:tcBorders>
              <w:top w:val="single" w:sz="6" w:space="0" w:color="000000"/>
              <w:left w:val="single" w:sz="6" w:space="0" w:color="000000"/>
              <w:bottom w:val="single" w:sz="6" w:space="0" w:color="000000"/>
              <w:right w:val="single" w:sz="6" w:space="0" w:color="000000"/>
            </w:tcBorders>
          </w:tcPr>
          <w:p w14:paraId="29740037" w14:textId="77777777" w:rsidR="00BC11DC" w:rsidRPr="00BC11DC" w:rsidRDefault="00BC11DC" w:rsidP="00935E16">
            <w:pPr>
              <w:spacing w:before="0" w:after="0" w:line="240" w:lineRule="auto"/>
              <w:ind w:firstLine="0"/>
              <w:rPr>
                <w:rFonts w:eastAsia="Times New Roman"/>
                <w:b/>
                <w:kern w:val="0"/>
                <w:sz w:val="20"/>
                <w:szCs w:val="20"/>
                <w:lang w:val="ro-RO"/>
              </w:rPr>
            </w:pPr>
            <w:r w:rsidRPr="00BC11DC">
              <w:rPr>
                <w:rFonts w:eastAsia="Times New Roman"/>
                <w:kern w:val="0"/>
                <w:sz w:val="20"/>
                <w:szCs w:val="20"/>
                <w:lang w:val="ro-RO"/>
              </w:rPr>
              <w:t>Mihai Viteazu</w:t>
            </w:r>
          </w:p>
        </w:tc>
        <w:tc>
          <w:tcPr>
            <w:tcW w:w="1134" w:type="dxa"/>
            <w:tcBorders>
              <w:top w:val="single" w:sz="6" w:space="0" w:color="000000"/>
              <w:left w:val="single" w:sz="6" w:space="0" w:color="000000"/>
              <w:bottom w:val="single" w:sz="6" w:space="0" w:color="000000"/>
              <w:right w:val="single" w:sz="6" w:space="0" w:color="000000"/>
            </w:tcBorders>
          </w:tcPr>
          <w:p w14:paraId="6238FF04"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 </w:t>
            </w:r>
          </w:p>
        </w:tc>
      </w:tr>
      <w:tr w:rsidR="00BC11DC" w:rsidRPr="00BC11DC" w14:paraId="54113154" w14:textId="77777777" w:rsidTr="00583732">
        <w:tc>
          <w:tcPr>
            <w:tcW w:w="560" w:type="dxa"/>
          </w:tcPr>
          <w:p w14:paraId="65E160F2"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7</w:t>
            </w:r>
          </w:p>
        </w:tc>
        <w:tc>
          <w:tcPr>
            <w:tcW w:w="1419" w:type="dxa"/>
          </w:tcPr>
          <w:p w14:paraId="12510F97"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Istria</w:t>
            </w:r>
          </w:p>
        </w:tc>
        <w:tc>
          <w:tcPr>
            <w:tcW w:w="1373" w:type="dxa"/>
            <w:tcBorders>
              <w:top w:val="single" w:sz="6" w:space="0" w:color="000000"/>
              <w:left w:val="single" w:sz="6" w:space="0" w:color="000000"/>
              <w:bottom w:val="single" w:sz="6" w:space="0" w:color="000000"/>
              <w:right w:val="single" w:sz="6" w:space="0" w:color="000000"/>
            </w:tcBorders>
          </w:tcPr>
          <w:p w14:paraId="4ACFC801"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Comună</w:t>
            </w:r>
          </w:p>
        </w:tc>
        <w:tc>
          <w:tcPr>
            <w:tcW w:w="901" w:type="dxa"/>
            <w:tcBorders>
              <w:top w:val="single" w:sz="6" w:space="0" w:color="000000"/>
              <w:left w:val="single" w:sz="6" w:space="0" w:color="000000"/>
              <w:bottom w:val="single" w:sz="6" w:space="0" w:color="000000"/>
              <w:right w:val="single" w:sz="6" w:space="0" w:color="000000"/>
            </w:tcBorders>
          </w:tcPr>
          <w:p w14:paraId="2038B864"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2.321</w:t>
            </w:r>
          </w:p>
        </w:tc>
        <w:tc>
          <w:tcPr>
            <w:tcW w:w="708" w:type="dxa"/>
            <w:tcBorders>
              <w:top w:val="single" w:sz="6" w:space="0" w:color="000000"/>
              <w:left w:val="single" w:sz="6" w:space="0" w:color="000000"/>
              <w:bottom w:val="single" w:sz="6" w:space="0" w:color="000000"/>
              <w:right w:val="single" w:sz="6" w:space="0" w:color="000000"/>
            </w:tcBorders>
          </w:tcPr>
          <w:p w14:paraId="3B0688A1"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0,58</w:t>
            </w:r>
          </w:p>
        </w:tc>
        <w:tc>
          <w:tcPr>
            <w:tcW w:w="991" w:type="dxa"/>
            <w:tcBorders>
              <w:top w:val="single" w:sz="6" w:space="0" w:color="000000"/>
              <w:left w:val="single" w:sz="6" w:space="0" w:color="000000"/>
              <w:bottom w:val="single" w:sz="6" w:space="0" w:color="000000"/>
              <w:right w:val="single" w:sz="6" w:space="0" w:color="000000"/>
            </w:tcBorders>
          </w:tcPr>
          <w:p w14:paraId="04B45A17"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18.044</w:t>
            </w:r>
          </w:p>
        </w:tc>
        <w:tc>
          <w:tcPr>
            <w:tcW w:w="708" w:type="dxa"/>
            <w:tcBorders>
              <w:top w:val="single" w:sz="6" w:space="0" w:color="000000"/>
              <w:left w:val="single" w:sz="6" w:space="0" w:color="000000"/>
              <w:bottom w:val="single" w:sz="6" w:space="0" w:color="000000"/>
              <w:right w:val="single" w:sz="6" w:space="0" w:color="000000"/>
            </w:tcBorders>
          </w:tcPr>
          <w:p w14:paraId="15F0D06B"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5,08</w:t>
            </w:r>
          </w:p>
        </w:tc>
        <w:tc>
          <w:tcPr>
            <w:tcW w:w="1699" w:type="dxa"/>
            <w:tcBorders>
              <w:top w:val="single" w:sz="6" w:space="0" w:color="000000"/>
              <w:left w:val="single" w:sz="6" w:space="0" w:color="000000"/>
              <w:bottom w:val="single" w:sz="6" w:space="0" w:color="000000"/>
              <w:right w:val="single" w:sz="6" w:space="0" w:color="000000"/>
            </w:tcBorders>
          </w:tcPr>
          <w:p w14:paraId="527844DA"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Istria</w:t>
            </w:r>
          </w:p>
          <w:p w14:paraId="6AF650EF" w14:textId="77777777" w:rsidR="00BC11DC" w:rsidRPr="00BC11DC" w:rsidRDefault="00BC11DC" w:rsidP="00935E16">
            <w:pPr>
              <w:spacing w:before="0" w:after="0" w:line="240" w:lineRule="auto"/>
              <w:ind w:firstLine="0"/>
              <w:rPr>
                <w:rFonts w:eastAsia="Times New Roman"/>
                <w:b/>
                <w:kern w:val="0"/>
                <w:sz w:val="20"/>
                <w:szCs w:val="20"/>
                <w:lang w:val="ro-RO"/>
              </w:rPr>
            </w:pPr>
            <w:r w:rsidRPr="00BC11DC">
              <w:rPr>
                <w:rFonts w:eastAsia="Times New Roman"/>
                <w:kern w:val="0"/>
                <w:sz w:val="20"/>
                <w:szCs w:val="20"/>
                <w:lang w:val="ro-RO"/>
              </w:rPr>
              <w:t>Nuntași</w:t>
            </w:r>
          </w:p>
        </w:tc>
        <w:tc>
          <w:tcPr>
            <w:tcW w:w="1134" w:type="dxa"/>
            <w:tcBorders>
              <w:top w:val="single" w:sz="6" w:space="0" w:color="000000"/>
              <w:left w:val="single" w:sz="6" w:space="0" w:color="000000"/>
              <w:bottom w:val="single" w:sz="6" w:space="0" w:color="000000"/>
              <w:right w:val="single" w:sz="6" w:space="0" w:color="000000"/>
            </w:tcBorders>
          </w:tcPr>
          <w:p w14:paraId="068BD6B1" w14:textId="77777777" w:rsidR="00BC11DC" w:rsidRPr="00BC11DC" w:rsidRDefault="00BC11DC" w:rsidP="00935E16">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IV</w:t>
            </w:r>
          </w:p>
          <w:p w14:paraId="3DB7ED23"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V</w:t>
            </w:r>
          </w:p>
        </w:tc>
      </w:tr>
      <w:tr w:rsidR="00BC11DC" w:rsidRPr="00BC11DC" w14:paraId="16BE9FD9" w14:textId="77777777" w:rsidTr="00583732">
        <w:tc>
          <w:tcPr>
            <w:tcW w:w="560" w:type="dxa"/>
          </w:tcPr>
          <w:p w14:paraId="329E46A6"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8</w:t>
            </w:r>
          </w:p>
        </w:tc>
        <w:tc>
          <w:tcPr>
            <w:tcW w:w="1419" w:type="dxa"/>
          </w:tcPr>
          <w:p w14:paraId="7D090DB1"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Săcele</w:t>
            </w:r>
          </w:p>
        </w:tc>
        <w:tc>
          <w:tcPr>
            <w:tcW w:w="1373" w:type="dxa"/>
            <w:tcBorders>
              <w:top w:val="single" w:sz="6" w:space="0" w:color="000000"/>
              <w:left w:val="single" w:sz="6" w:space="0" w:color="000000"/>
              <w:bottom w:val="single" w:sz="6" w:space="0" w:color="000000"/>
              <w:right w:val="single" w:sz="6" w:space="0" w:color="000000"/>
            </w:tcBorders>
          </w:tcPr>
          <w:p w14:paraId="5F5F32C4"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Comună</w:t>
            </w:r>
          </w:p>
        </w:tc>
        <w:tc>
          <w:tcPr>
            <w:tcW w:w="901" w:type="dxa"/>
            <w:tcBorders>
              <w:top w:val="single" w:sz="6" w:space="0" w:color="000000"/>
              <w:left w:val="single" w:sz="6" w:space="0" w:color="000000"/>
              <w:bottom w:val="single" w:sz="6" w:space="0" w:color="000000"/>
              <w:right w:val="single" w:sz="6" w:space="0" w:color="000000"/>
            </w:tcBorders>
          </w:tcPr>
          <w:p w14:paraId="622B5F98"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1.987</w:t>
            </w:r>
          </w:p>
        </w:tc>
        <w:tc>
          <w:tcPr>
            <w:tcW w:w="708" w:type="dxa"/>
            <w:tcBorders>
              <w:top w:val="single" w:sz="6" w:space="0" w:color="000000"/>
              <w:left w:val="single" w:sz="6" w:space="0" w:color="000000"/>
              <w:bottom w:val="single" w:sz="6" w:space="0" w:color="000000"/>
              <w:right w:val="single" w:sz="6" w:space="0" w:color="000000"/>
            </w:tcBorders>
          </w:tcPr>
          <w:p w14:paraId="34FF349E"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0,50</w:t>
            </w:r>
          </w:p>
        </w:tc>
        <w:tc>
          <w:tcPr>
            <w:tcW w:w="991" w:type="dxa"/>
            <w:tcBorders>
              <w:top w:val="single" w:sz="6" w:space="0" w:color="000000"/>
              <w:left w:val="single" w:sz="6" w:space="0" w:color="000000"/>
              <w:bottom w:val="single" w:sz="6" w:space="0" w:color="000000"/>
              <w:right w:val="single" w:sz="6" w:space="0" w:color="000000"/>
            </w:tcBorders>
          </w:tcPr>
          <w:p w14:paraId="3D92688A"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11.636</w:t>
            </w:r>
          </w:p>
        </w:tc>
        <w:tc>
          <w:tcPr>
            <w:tcW w:w="708" w:type="dxa"/>
            <w:tcBorders>
              <w:top w:val="single" w:sz="6" w:space="0" w:color="000000"/>
              <w:left w:val="single" w:sz="6" w:space="0" w:color="000000"/>
              <w:bottom w:val="single" w:sz="6" w:space="0" w:color="000000"/>
              <w:right w:val="single" w:sz="6" w:space="0" w:color="000000"/>
            </w:tcBorders>
          </w:tcPr>
          <w:p w14:paraId="34C1597D"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3,27</w:t>
            </w:r>
          </w:p>
        </w:tc>
        <w:tc>
          <w:tcPr>
            <w:tcW w:w="1699" w:type="dxa"/>
            <w:tcBorders>
              <w:top w:val="single" w:sz="6" w:space="0" w:color="000000"/>
              <w:left w:val="single" w:sz="6" w:space="0" w:color="000000"/>
              <w:bottom w:val="single" w:sz="6" w:space="0" w:color="000000"/>
              <w:right w:val="single" w:sz="6" w:space="0" w:color="000000"/>
            </w:tcBorders>
          </w:tcPr>
          <w:p w14:paraId="7892E4B4"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Săcele</w:t>
            </w:r>
          </w:p>
          <w:p w14:paraId="365CB47E" w14:textId="77777777" w:rsidR="00BC11DC" w:rsidRPr="00BC11DC" w:rsidRDefault="00BC11DC" w:rsidP="00935E16">
            <w:pPr>
              <w:spacing w:before="0" w:after="0" w:line="240" w:lineRule="auto"/>
              <w:ind w:firstLine="0"/>
              <w:rPr>
                <w:rFonts w:eastAsia="Times New Roman"/>
                <w:b/>
                <w:kern w:val="0"/>
                <w:sz w:val="20"/>
                <w:szCs w:val="20"/>
                <w:lang w:val="ro-RO"/>
              </w:rPr>
            </w:pPr>
            <w:r w:rsidRPr="00BC11DC">
              <w:rPr>
                <w:rFonts w:eastAsia="Times New Roman"/>
                <w:kern w:val="0"/>
                <w:sz w:val="20"/>
                <w:szCs w:val="20"/>
                <w:lang w:val="ro-RO"/>
              </w:rPr>
              <w:t>Traian</w:t>
            </w:r>
          </w:p>
        </w:tc>
        <w:tc>
          <w:tcPr>
            <w:tcW w:w="1134" w:type="dxa"/>
            <w:tcBorders>
              <w:top w:val="single" w:sz="6" w:space="0" w:color="000000"/>
              <w:left w:val="single" w:sz="6" w:space="0" w:color="000000"/>
              <w:bottom w:val="single" w:sz="6" w:space="0" w:color="000000"/>
              <w:right w:val="single" w:sz="6" w:space="0" w:color="000000"/>
            </w:tcBorders>
          </w:tcPr>
          <w:p w14:paraId="1D851D38"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 </w:t>
            </w:r>
          </w:p>
        </w:tc>
      </w:tr>
      <w:tr w:rsidR="00BC11DC" w:rsidRPr="00BC11DC" w14:paraId="3E43936A" w14:textId="77777777" w:rsidTr="00583732">
        <w:tc>
          <w:tcPr>
            <w:tcW w:w="560" w:type="dxa"/>
          </w:tcPr>
          <w:p w14:paraId="2A070BA5"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9</w:t>
            </w:r>
          </w:p>
        </w:tc>
        <w:tc>
          <w:tcPr>
            <w:tcW w:w="1419" w:type="dxa"/>
          </w:tcPr>
          <w:p w14:paraId="6B567B2D"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Corbu</w:t>
            </w:r>
          </w:p>
        </w:tc>
        <w:tc>
          <w:tcPr>
            <w:tcW w:w="1373" w:type="dxa"/>
            <w:tcBorders>
              <w:top w:val="single" w:sz="6" w:space="0" w:color="000000"/>
              <w:left w:val="single" w:sz="6" w:space="0" w:color="000000"/>
              <w:bottom w:val="single" w:sz="6" w:space="0" w:color="000000"/>
              <w:right w:val="single" w:sz="6" w:space="0" w:color="000000"/>
            </w:tcBorders>
          </w:tcPr>
          <w:p w14:paraId="6FC05D10"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Comună</w:t>
            </w:r>
          </w:p>
        </w:tc>
        <w:tc>
          <w:tcPr>
            <w:tcW w:w="901" w:type="dxa"/>
            <w:tcBorders>
              <w:top w:val="single" w:sz="6" w:space="0" w:color="000000"/>
              <w:left w:val="single" w:sz="6" w:space="0" w:color="000000"/>
              <w:bottom w:val="single" w:sz="6" w:space="0" w:color="000000"/>
              <w:right w:val="single" w:sz="6" w:space="0" w:color="000000"/>
            </w:tcBorders>
          </w:tcPr>
          <w:p w14:paraId="41BF286C"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5.727</w:t>
            </w:r>
          </w:p>
        </w:tc>
        <w:tc>
          <w:tcPr>
            <w:tcW w:w="708" w:type="dxa"/>
            <w:tcBorders>
              <w:top w:val="single" w:sz="6" w:space="0" w:color="000000"/>
              <w:left w:val="single" w:sz="6" w:space="0" w:color="000000"/>
              <w:bottom w:val="single" w:sz="6" w:space="0" w:color="000000"/>
              <w:right w:val="single" w:sz="6" w:space="0" w:color="000000"/>
            </w:tcBorders>
          </w:tcPr>
          <w:p w14:paraId="5D7E8994"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1,43</w:t>
            </w:r>
          </w:p>
        </w:tc>
        <w:tc>
          <w:tcPr>
            <w:tcW w:w="991" w:type="dxa"/>
            <w:tcBorders>
              <w:top w:val="single" w:sz="6" w:space="0" w:color="000000"/>
              <w:left w:val="single" w:sz="6" w:space="0" w:color="000000"/>
              <w:bottom w:val="single" w:sz="6" w:space="0" w:color="000000"/>
              <w:right w:val="single" w:sz="6" w:space="0" w:color="000000"/>
            </w:tcBorders>
          </w:tcPr>
          <w:p w14:paraId="5A70E481"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18.171</w:t>
            </w:r>
          </w:p>
        </w:tc>
        <w:tc>
          <w:tcPr>
            <w:tcW w:w="708" w:type="dxa"/>
            <w:tcBorders>
              <w:top w:val="single" w:sz="6" w:space="0" w:color="000000"/>
              <w:left w:val="single" w:sz="6" w:space="0" w:color="000000"/>
              <w:bottom w:val="single" w:sz="6" w:space="0" w:color="000000"/>
              <w:right w:val="single" w:sz="6" w:space="0" w:color="000000"/>
            </w:tcBorders>
          </w:tcPr>
          <w:p w14:paraId="37FB1EBA"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5,11</w:t>
            </w:r>
          </w:p>
        </w:tc>
        <w:tc>
          <w:tcPr>
            <w:tcW w:w="1699" w:type="dxa"/>
            <w:tcBorders>
              <w:top w:val="single" w:sz="6" w:space="0" w:color="000000"/>
              <w:left w:val="single" w:sz="6" w:space="0" w:color="000000"/>
              <w:bottom w:val="single" w:sz="6" w:space="0" w:color="000000"/>
              <w:right w:val="single" w:sz="6" w:space="0" w:color="000000"/>
            </w:tcBorders>
          </w:tcPr>
          <w:p w14:paraId="37D694B2"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Corbu</w:t>
            </w:r>
          </w:p>
          <w:p w14:paraId="3E13434F"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Luminița</w:t>
            </w:r>
          </w:p>
          <w:p w14:paraId="040A14F4"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Vadu</w:t>
            </w:r>
          </w:p>
        </w:tc>
        <w:tc>
          <w:tcPr>
            <w:tcW w:w="1134" w:type="dxa"/>
            <w:tcBorders>
              <w:top w:val="single" w:sz="6" w:space="0" w:color="000000"/>
              <w:left w:val="single" w:sz="6" w:space="0" w:color="000000"/>
              <w:bottom w:val="single" w:sz="6" w:space="0" w:color="000000"/>
              <w:right w:val="single" w:sz="6" w:space="0" w:color="000000"/>
            </w:tcBorders>
          </w:tcPr>
          <w:p w14:paraId="11D293A9" w14:textId="77777777" w:rsidR="00BC11DC" w:rsidRPr="00BC11DC" w:rsidRDefault="00BC11DC" w:rsidP="00935E16">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IV</w:t>
            </w:r>
          </w:p>
          <w:p w14:paraId="567764A7" w14:textId="77777777" w:rsidR="00BC11DC" w:rsidRPr="00BC11DC" w:rsidRDefault="00BC11DC" w:rsidP="00935E16">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V</w:t>
            </w:r>
          </w:p>
          <w:p w14:paraId="3D5D4597" w14:textId="77777777" w:rsidR="00BC11DC" w:rsidRPr="00BC11DC" w:rsidRDefault="00BC11DC" w:rsidP="00935E16">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V</w:t>
            </w:r>
          </w:p>
        </w:tc>
      </w:tr>
      <w:tr w:rsidR="00BC11DC" w:rsidRPr="00BC11DC" w14:paraId="34CA9D41" w14:textId="77777777" w:rsidTr="00583732">
        <w:tc>
          <w:tcPr>
            <w:tcW w:w="560" w:type="dxa"/>
          </w:tcPr>
          <w:p w14:paraId="417B1004"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10</w:t>
            </w:r>
          </w:p>
        </w:tc>
        <w:tc>
          <w:tcPr>
            <w:tcW w:w="1419" w:type="dxa"/>
          </w:tcPr>
          <w:p w14:paraId="2922405F"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Năvodari</w:t>
            </w:r>
          </w:p>
        </w:tc>
        <w:tc>
          <w:tcPr>
            <w:tcW w:w="1373" w:type="dxa"/>
            <w:tcBorders>
              <w:top w:val="single" w:sz="6" w:space="0" w:color="000000"/>
              <w:left w:val="single" w:sz="6" w:space="0" w:color="000000"/>
              <w:bottom w:val="single" w:sz="6" w:space="0" w:color="000000"/>
              <w:right w:val="single" w:sz="6" w:space="0" w:color="000000"/>
            </w:tcBorders>
          </w:tcPr>
          <w:p w14:paraId="220C4AF7"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Oraș/stațiune</w:t>
            </w:r>
          </w:p>
        </w:tc>
        <w:tc>
          <w:tcPr>
            <w:tcW w:w="901" w:type="dxa"/>
            <w:tcBorders>
              <w:top w:val="single" w:sz="6" w:space="0" w:color="000000"/>
              <w:left w:val="single" w:sz="6" w:space="0" w:color="000000"/>
              <w:bottom w:val="single" w:sz="6" w:space="0" w:color="000000"/>
              <w:right w:val="single" w:sz="6" w:space="0" w:color="000000"/>
            </w:tcBorders>
          </w:tcPr>
          <w:p w14:paraId="4CA4A006"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34.398</w:t>
            </w:r>
          </w:p>
        </w:tc>
        <w:tc>
          <w:tcPr>
            <w:tcW w:w="708" w:type="dxa"/>
            <w:tcBorders>
              <w:top w:val="single" w:sz="6" w:space="0" w:color="000000"/>
              <w:left w:val="single" w:sz="6" w:space="0" w:color="000000"/>
              <w:bottom w:val="single" w:sz="6" w:space="0" w:color="000000"/>
              <w:right w:val="single" w:sz="6" w:space="0" w:color="000000"/>
            </w:tcBorders>
          </w:tcPr>
          <w:p w14:paraId="629BEC28"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8,58</w:t>
            </w:r>
          </w:p>
        </w:tc>
        <w:tc>
          <w:tcPr>
            <w:tcW w:w="991" w:type="dxa"/>
            <w:tcBorders>
              <w:top w:val="single" w:sz="6" w:space="0" w:color="000000"/>
              <w:left w:val="single" w:sz="6" w:space="0" w:color="000000"/>
              <w:bottom w:val="single" w:sz="6" w:space="0" w:color="000000"/>
              <w:right w:val="single" w:sz="6" w:space="0" w:color="000000"/>
            </w:tcBorders>
          </w:tcPr>
          <w:p w14:paraId="12BF9C8A"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6.448</w:t>
            </w:r>
          </w:p>
        </w:tc>
        <w:tc>
          <w:tcPr>
            <w:tcW w:w="708" w:type="dxa"/>
            <w:tcBorders>
              <w:top w:val="single" w:sz="6" w:space="0" w:color="000000"/>
              <w:left w:val="single" w:sz="6" w:space="0" w:color="000000"/>
              <w:bottom w:val="single" w:sz="6" w:space="0" w:color="000000"/>
              <w:right w:val="single" w:sz="6" w:space="0" w:color="000000"/>
            </w:tcBorders>
          </w:tcPr>
          <w:p w14:paraId="5BE52416"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1,81</w:t>
            </w:r>
          </w:p>
        </w:tc>
        <w:tc>
          <w:tcPr>
            <w:tcW w:w="1699" w:type="dxa"/>
            <w:tcBorders>
              <w:top w:val="single" w:sz="6" w:space="0" w:color="000000"/>
              <w:left w:val="single" w:sz="6" w:space="0" w:color="000000"/>
              <w:bottom w:val="single" w:sz="6" w:space="0" w:color="000000"/>
              <w:right w:val="single" w:sz="6" w:space="0" w:color="000000"/>
            </w:tcBorders>
          </w:tcPr>
          <w:p w14:paraId="00A6448D"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Năvodari</w:t>
            </w:r>
          </w:p>
          <w:p w14:paraId="05A07F90"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Mamaia Sat</w:t>
            </w:r>
          </w:p>
        </w:tc>
        <w:tc>
          <w:tcPr>
            <w:tcW w:w="1134" w:type="dxa"/>
            <w:tcBorders>
              <w:top w:val="single" w:sz="6" w:space="0" w:color="000000"/>
              <w:left w:val="single" w:sz="6" w:space="0" w:color="000000"/>
              <w:bottom w:val="single" w:sz="6" w:space="0" w:color="000000"/>
              <w:right w:val="single" w:sz="6" w:space="0" w:color="000000"/>
            </w:tcBorders>
          </w:tcPr>
          <w:p w14:paraId="794A5C7A"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III</w:t>
            </w:r>
          </w:p>
        </w:tc>
      </w:tr>
      <w:tr w:rsidR="00BC11DC" w:rsidRPr="00BC11DC" w14:paraId="50BD1618" w14:textId="77777777" w:rsidTr="00583732">
        <w:tc>
          <w:tcPr>
            <w:tcW w:w="560" w:type="dxa"/>
          </w:tcPr>
          <w:p w14:paraId="5BFF949D"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11</w:t>
            </w:r>
          </w:p>
        </w:tc>
        <w:tc>
          <w:tcPr>
            <w:tcW w:w="1419" w:type="dxa"/>
          </w:tcPr>
          <w:p w14:paraId="76F5283E"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Constanța</w:t>
            </w:r>
          </w:p>
        </w:tc>
        <w:tc>
          <w:tcPr>
            <w:tcW w:w="1373" w:type="dxa"/>
            <w:tcBorders>
              <w:top w:val="single" w:sz="6" w:space="0" w:color="000000"/>
              <w:left w:val="single" w:sz="6" w:space="0" w:color="000000"/>
              <w:bottom w:val="single" w:sz="6" w:space="0" w:color="000000"/>
              <w:right w:val="single" w:sz="6" w:space="0" w:color="000000"/>
            </w:tcBorders>
          </w:tcPr>
          <w:p w14:paraId="3615D13A"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Municipiu</w:t>
            </w:r>
          </w:p>
        </w:tc>
        <w:tc>
          <w:tcPr>
            <w:tcW w:w="901" w:type="dxa"/>
            <w:tcBorders>
              <w:top w:val="single" w:sz="6" w:space="0" w:color="000000"/>
              <w:left w:val="single" w:sz="6" w:space="0" w:color="000000"/>
              <w:bottom w:val="single" w:sz="6" w:space="0" w:color="000000"/>
              <w:right w:val="single" w:sz="6" w:space="0" w:color="000000"/>
            </w:tcBorders>
          </w:tcPr>
          <w:p w14:paraId="7E087DE6"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263.688</w:t>
            </w:r>
          </w:p>
        </w:tc>
        <w:tc>
          <w:tcPr>
            <w:tcW w:w="708" w:type="dxa"/>
            <w:tcBorders>
              <w:top w:val="single" w:sz="6" w:space="0" w:color="000000"/>
              <w:left w:val="single" w:sz="6" w:space="0" w:color="000000"/>
              <w:bottom w:val="single" w:sz="6" w:space="0" w:color="000000"/>
              <w:right w:val="single" w:sz="6" w:space="0" w:color="000000"/>
            </w:tcBorders>
          </w:tcPr>
          <w:p w14:paraId="26D2ECF9"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65,79</w:t>
            </w:r>
          </w:p>
        </w:tc>
        <w:tc>
          <w:tcPr>
            <w:tcW w:w="991" w:type="dxa"/>
            <w:tcBorders>
              <w:top w:val="single" w:sz="6" w:space="0" w:color="000000"/>
              <w:left w:val="single" w:sz="6" w:space="0" w:color="000000"/>
              <w:bottom w:val="single" w:sz="6" w:space="0" w:color="000000"/>
              <w:right w:val="single" w:sz="6" w:space="0" w:color="000000"/>
            </w:tcBorders>
          </w:tcPr>
          <w:p w14:paraId="04D9CF39"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12.507</w:t>
            </w:r>
          </w:p>
        </w:tc>
        <w:tc>
          <w:tcPr>
            <w:tcW w:w="708" w:type="dxa"/>
            <w:tcBorders>
              <w:top w:val="single" w:sz="6" w:space="0" w:color="000000"/>
              <w:left w:val="single" w:sz="6" w:space="0" w:color="000000"/>
              <w:bottom w:val="single" w:sz="6" w:space="0" w:color="000000"/>
              <w:right w:val="single" w:sz="6" w:space="0" w:color="000000"/>
            </w:tcBorders>
          </w:tcPr>
          <w:p w14:paraId="32EF6B1D"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3,52</w:t>
            </w:r>
          </w:p>
        </w:tc>
        <w:tc>
          <w:tcPr>
            <w:tcW w:w="1699" w:type="dxa"/>
            <w:tcBorders>
              <w:top w:val="single" w:sz="6" w:space="0" w:color="000000"/>
              <w:left w:val="single" w:sz="6" w:space="0" w:color="000000"/>
              <w:bottom w:val="single" w:sz="6" w:space="0" w:color="000000"/>
              <w:right w:val="single" w:sz="6" w:space="0" w:color="000000"/>
            </w:tcBorders>
          </w:tcPr>
          <w:p w14:paraId="25ED1439"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Constanța</w:t>
            </w:r>
          </w:p>
          <w:p w14:paraId="132D9CA3"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Mamaia / stațiune</w:t>
            </w:r>
          </w:p>
          <w:p w14:paraId="57DEC918"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Palazu Mare</w:t>
            </w:r>
          </w:p>
        </w:tc>
        <w:tc>
          <w:tcPr>
            <w:tcW w:w="1134" w:type="dxa"/>
            <w:tcBorders>
              <w:top w:val="single" w:sz="6" w:space="0" w:color="000000"/>
              <w:left w:val="single" w:sz="6" w:space="0" w:color="000000"/>
              <w:bottom w:val="single" w:sz="6" w:space="0" w:color="000000"/>
              <w:right w:val="single" w:sz="6" w:space="0" w:color="000000"/>
            </w:tcBorders>
          </w:tcPr>
          <w:p w14:paraId="18D57A2F"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I</w:t>
            </w:r>
          </w:p>
        </w:tc>
      </w:tr>
      <w:tr w:rsidR="00BC11DC" w:rsidRPr="00BC11DC" w14:paraId="666DD702" w14:textId="77777777" w:rsidTr="00583732">
        <w:tc>
          <w:tcPr>
            <w:tcW w:w="560" w:type="dxa"/>
          </w:tcPr>
          <w:p w14:paraId="01057954"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12</w:t>
            </w:r>
          </w:p>
        </w:tc>
        <w:tc>
          <w:tcPr>
            <w:tcW w:w="1419" w:type="dxa"/>
          </w:tcPr>
          <w:p w14:paraId="4A0C407D"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Agigea</w:t>
            </w:r>
          </w:p>
        </w:tc>
        <w:tc>
          <w:tcPr>
            <w:tcW w:w="1373" w:type="dxa"/>
            <w:tcBorders>
              <w:top w:val="single" w:sz="6" w:space="0" w:color="000000"/>
              <w:left w:val="single" w:sz="6" w:space="0" w:color="000000"/>
              <w:bottom w:val="single" w:sz="6" w:space="0" w:color="000000"/>
              <w:right w:val="single" w:sz="6" w:space="0" w:color="000000"/>
            </w:tcBorders>
          </w:tcPr>
          <w:p w14:paraId="5312E55C"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Comună</w:t>
            </w:r>
          </w:p>
        </w:tc>
        <w:tc>
          <w:tcPr>
            <w:tcW w:w="901" w:type="dxa"/>
            <w:tcBorders>
              <w:top w:val="single" w:sz="6" w:space="0" w:color="000000"/>
              <w:left w:val="single" w:sz="6" w:space="0" w:color="000000"/>
              <w:bottom w:val="single" w:sz="6" w:space="0" w:color="000000"/>
              <w:right w:val="single" w:sz="6" w:space="0" w:color="000000"/>
            </w:tcBorders>
          </w:tcPr>
          <w:p w14:paraId="16F5D995"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8.722</w:t>
            </w:r>
          </w:p>
        </w:tc>
        <w:tc>
          <w:tcPr>
            <w:tcW w:w="708" w:type="dxa"/>
            <w:tcBorders>
              <w:top w:val="single" w:sz="6" w:space="0" w:color="000000"/>
              <w:left w:val="single" w:sz="6" w:space="0" w:color="000000"/>
              <w:bottom w:val="single" w:sz="6" w:space="0" w:color="000000"/>
              <w:right w:val="single" w:sz="6" w:space="0" w:color="000000"/>
            </w:tcBorders>
          </w:tcPr>
          <w:p w14:paraId="70A8F6D4"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2,18</w:t>
            </w:r>
          </w:p>
        </w:tc>
        <w:tc>
          <w:tcPr>
            <w:tcW w:w="991" w:type="dxa"/>
            <w:tcBorders>
              <w:top w:val="single" w:sz="6" w:space="0" w:color="000000"/>
              <w:left w:val="single" w:sz="6" w:space="0" w:color="000000"/>
              <w:bottom w:val="single" w:sz="6" w:space="0" w:color="000000"/>
              <w:right w:val="single" w:sz="6" w:space="0" w:color="000000"/>
            </w:tcBorders>
          </w:tcPr>
          <w:p w14:paraId="1D120AB8"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5.245</w:t>
            </w:r>
          </w:p>
        </w:tc>
        <w:tc>
          <w:tcPr>
            <w:tcW w:w="708" w:type="dxa"/>
            <w:tcBorders>
              <w:top w:val="single" w:sz="6" w:space="0" w:color="000000"/>
              <w:left w:val="single" w:sz="6" w:space="0" w:color="000000"/>
              <w:bottom w:val="single" w:sz="6" w:space="0" w:color="000000"/>
              <w:right w:val="single" w:sz="6" w:space="0" w:color="000000"/>
            </w:tcBorders>
          </w:tcPr>
          <w:p w14:paraId="5831F74E"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1,48</w:t>
            </w:r>
          </w:p>
        </w:tc>
        <w:tc>
          <w:tcPr>
            <w:tcW w:w="1699" w:type="dxa"/>
            <w:tcBorders>
              <w:top w:val="single" w:sz="6" w:space="0" w:color="000000"/>
              <w:left w:val="single" w:sz="6" w:space="0" w:color="000000"/>
              <w:bottom w:val="single" w:sz="6" w:space="0" w:color="000000"/>
              <w:right w:val="single" w:sz="6" w:space="0" w:color="000000"/>
            </w:tcBorders>
          </w:tcPr>
          <w:p w14:paraId="0FE94999"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Agigea,</w:t>
            </w:r>
          </w:p>
          <w:p w14:paraId="03B93965"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Lazu,</w:t>
            </w:r>
          </w:p>
          <w:p w14:paraId="73DB7DC1"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Sanatoriul Agigea,</w:t>
            </w:r>
          </w:p>
          <w:p w14:paraId="46743971"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Stațiunea Zoologică Marină</w:t>
            </w:r>
          </w:p>
        </w:tc>
        <w:tc>
          <w:tcPr>
            <w:tcW w:w="1134" w:type="dxa"/>
            <w:tcBorders>
              <w:top w:val="single" w:sz="6" w:space="0" w:color="000000"/>
              <w:left w:val="single" w:sz="6" w:space="0" w:color="000000"/>
              <w:bottom w:val="single" w:sz="6" w:space="0" w:color="000000"/>
              <w:right w:val="single" w:sz="6" w:space="0" w:color="000000"/>
            </w:tcBorders>
          </w:tcPr>
          <w:p w14:paraId="73CC8647" w14:textId="77777777" w:rsidR="00BC11DC" w:rsidRPr="00BC11DC" w:rsidRDefault="00BC11DC" w:rsidP="00935E16">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IV</w:t>
            </w:r>
          </w:p>
          <w:p w14:paraId="08485705" w14:textId="77777777" w:rsidR="00BC11DC" w:rsidRPr="00BC11DC" w:rsidRDefault="00BC11DC" w:rsidP="00935E16">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V</w:t>
            </w:r>
          </w:p>
          <w:p w14:paraId="5A3F0CCB" w14:textId="77777777" w:rsidR="00BC11DC" w:rsidRPr="00BC11DC" w:rsidRDefault="00BC11DC" w:rsidP="00935E16">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V</w:t>
            </w:r>
          </w:p>
          <w:p w14:paraId="3FDAA781" w14:textId="77777777" w:rsidR="00BC11DC" w:rsidRPr="00BC11DC" w:rsidRDefault="00BC11DC" w:rsidP="00935E16">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 </w:t>
            </w:r>
          </w:p>
          <w:p w14:paraId="4258DEF3" w14:textId="77777777" w:rsidR="00BC11DC" w:rsidRPr="00BC11DC" w:rsidRDefault="00BC11DC" w:rsidP="00935E16">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V</w:t>
            </w:r>
          </w:p>
        </w:tc>
      </w:tr>
      <w:tr w:rsidR="00BC11DC" w:rsidRPr="00BC11DC" w14:paraId="175D5F18" w14:textId="77777777" w:rsidTr="00583732">
        <w:tc>
          <w:tcPr>
            <w:tcW w:w="560" w:type="dxa"/>
          </w:tcPr>
          <w:p w14:paraId="1EDE538D"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13</w:t>
            </w:r>
          </w:p>
        </w:tc>
        <w:tc>
          <w:tcPr>
            <w:tcW w:w="1419" w:type="dxa"/>
            <w:tcBorders>
              <w:top w:val="single" w:sz="6" w:space="0" w:color="000000"/>
              <w:left w:val="single" w:sz="6" w:space="0" w:color="000000"/>
              <w:bottom w:val="single" w:sz="6" w:space="0" w:color="000000"/>
              <w:right w:val="single" w:sz="6" w:space="0" w:color="000000"/>
            </w:tcBorders>
          </w:tcPr>
          <w:p w14:paraId="52380A4F"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Techirghiol</w:t>
            </w:r>
          </w:p>
        </w:tc>
        <w:tc>
          <w:tcPr>
            <w:tcW w:w="1373" w:type="dxa"/>
            <w:tcBorders>
              <w:top w:val="single" w:sz="6" w:space="0" w:color="000000"/>
              <w:left w:val="single" w:sz="6" w:space="0" w:color="000000"/>
              <w:bottom w:val="single" w:sz="6" w:space="0" w:color="000000"/>
              <w:right w:val="single" w:sz="6" w:space="0" w:color="000000"/>
            </w:tcBorders>
          </w:tcPr>
          <w:p w14:paraId="4AF05A7B"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Oraș/stațiune</w:t>
            </w:r>
          </w:p>
        </w:tc>
        <w:tc>
          <w:tcPr>
            <w:tcW w:w="901" w:type="dxa"/>
            <w:tcBorders>
              <w:top w:val="single" w:sz="6" w:space="0" w:color="000000"/>
              <w:left w:val="single" w:sz="6" w:space="0" w:color="000000"/>
              <w:bottom w:val="single" w:sz="6" w:space="0" w:color="000000"/>
              <w:right w:val="single" w:sz="6" w:space="0" w:color="000000"/>
            </w:tcBorders>
          </w:tcPr>
          <w:p w14:paraId="01CBFC1A"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8.061</w:t>
            </w:r>
          </w:p>
        </w:tc>
        <w:tc>
          <w:tcPr>
            <w:tcW w:w="708" w:type="dxa"/>
            <w:tcBorders>
              <w:top w:val="single" w:sz="6" w:space="0" w:color="000000"/>
              <w:left w:val="single" w:sz="6" w:space="0" w:color="000000"/>
              <w:bottom w:val="single" w:sz="6" w:space="0" w:color="000000"/>
              <w:right w:val="single" w:sz="6" w:space="0" w:color="000000"/>
            </w:tcBorders>
          </w:tcPr>
          <w:p w14:paraId="099315A4"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2,01</w:t>
            </w:r>
          </w:p>
        </w:tc>
        <w:tc>
          <w:tcPr>
            <w:tcW w:w="991" w:type="dxa"/>
            <w:tcBorders>
              <w:top w:val="single" w:sz="6" w:space="0" w:color="000000"/>
              <w:left w:val="single" w:sz="6" w:space="0" w:color="000000"/>
              <w:bottom w:val="single" w:sz="6" w:space="0" w:color="000000"/>
              <w:right w:val="single" w:sz="6" w:space="0" w:color="000000"/>
            </w:tcBorders>
          </w:tcPr>
          <w:p w14:paraId="6AB1DDCA"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3.838</w:t>
            </w:r>
          </w:p>
        </w:tc>
        <w:tc>
          <w:tcPr>
            <w:tcW w:w="708" w:type="dxa"/>
            <w:tcBorders>
              <w:top w:val="single" w:sz="6" w:space="0" w:color="000000"/>
              <w:left w:val="single" w:sz="6" w:space="0" w:color="000000"/>
              <w:bottom w:val="single" w:sz="6" w:space="0" w:color="000000"/>
              <w:right w:val="single" w:sz="6" w:space="0" w:color="000000"/>
            </w:tcBorders>
          </w:tcPr>
          <w:p w14:paraId="44967B78"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1,08</w:t>
            </w:r>
          </w:p>
        </w:tc>
        <w:tc>
          <w:tcPr>
            <w:tcW w:w="1699" w:type="dxa"/>
            <w:tcBorders>
              <w:top w:val="single" w:sz="6" w:space="0" w:color="000000"/>
              <w:left w:val="single" w:sz="6" w:space="0" w:color="000000"/>
              <w:bottom w:val="single" w:sz="6" w:space="0" w:color="000000"/>
              <w:right w:val="single" w:sz="6" w:space="0" w:color="000000"/>
            </w:tcBorders>
          </w:tcPr>
          <w:p w14:paraId="5C0B8721" w14:textId="77777777" w:rsidR="00BC11DC" w:rsidRPr="00BC11DC" w:rsidRDefault="00BC11DC" w:rsidP="00935E16">
            <w:pPr>
              <w:spacing w:before="0" w:after="0" w:line="240" w:lineRule="auto"/>
              <w:ind w:firstLine="0"/>
              <w:jc w:val="left"/>
              <w:rPr>
                <w:rFonts w:eastAsia="Times New Roman"/>
                <w:b/>
                <w:kern w:val="0"/>
                <w:sz w:val="20"/>
                <w:szCs w:val="20"/>
                <w:lang w:val="ro-RO"/>
              </w:rPr>
            </w:pPr>
            <w:r w:rsidRPr="00BC11DC">
              <w:rPr>
                <w:rFonts w:eastAsia="Times New Roman"/>
                <w:kern w:val="0"/>
                <w:sz w:val="20"/>
                <w:szCs w:val="20"/>
                <w:lang w:val="ro-RO"/>
              </w:rPr>
              <w:t>Techirghiol</w:t>
            </w:r>
          </w:p>
        </w:tc>
        <w:tc>
          <w:tcPr>
            <w:tcW w:w="1134" w:type="dxa"/>
            <w:tcBorders>
              <w:top w:val="single" w:sz="6" w:space="0" w:color="000000"/>
              <w:left w:val="single" w:sz="6" w:space="0" w:color="000000"/>
              <w:bottom w:val="single" w:sz="6" w:space="0" w:color="000000"/>
              <w:right w:val="single" w:sz="6" w:space="0" w:color="000000"/>
            </w:tcBorders>
          </w:tcPr>
          <w:p w14:paraId="414BE357"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III</w:t>
            </w:r>
          </w:p>
        </w:tc>
      </w:tr>
      <w:tr w:rsidR="00BC11DC" w:rsidRPr="00BC11DC" w14:paraId="609EA37F" w14:textId="77777777" w:rsidTr="00583732">
        <w:tc>
          <w:tcPr>
            <w:tcW w:w="560" w:type="dxa"/>
          </w:tcPr>
          <w:p w14:paraId="7415D111"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14</w:t>
            </w:r>
          </w:p>
        </w:tc>
        <w:tc>
          <w:tcPr>
            <w:tcW w:w="1419" w:type="dxa"/>
            <w:tcBorders>
              <w:top w:val="single" w:sz="6" w:space="0" w:color="000000"/>
              <w:left w:val="single" w:sz="6" w:space="0" w:color="000000"/>
              <w:bottom w:val="single" w:sz="6" w:space="0" w:color="000000"/>
              <w:right w:val="single" w:sz="6" w:space="0" w:color="000000"/>
            </w:tcBorders>
          </w:tcPr>
          <w:p w14:paraId="04025F9B"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Eforie</w:t>
            </w:r>
          </w:p>
        </w:tc>
        <w:tc>
          <w:tcPr>
            <w:tcW w:w="1373" w:type="dxa"/>
            <w:tcBorders>
              <w:top w:val="single" w:sz="6" w:space="0" w:color="000000"/>
              <w:left w:val="single" w:sz="6" w:space="0" w:color="000000"/>
              <w:bottom w:val="single" w:sz="6" w:space="0" w:color="000000"/>
              <w:right w:val="single" w:sz="6" w:space="0" w:color="000000"/>
            </w:tcBorders>
          </w:tcPr>
          <w:p w14:paraId="6A1A7C79"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Oraș/stațiune</w:t>
            </w:r>
          </w:p>
        </w:tc>
        <w:tc>
          <w:tcPr>
            <w:tcW w:w="901" w:type="dxa"/>
            <w:tcBorders>
              <w:top w:val="single" w:sz="6" w:space="0" w:color="000000"/>
              <w:left w:val="single" w:sz="6" w:space="0" w:color="000000"/>
              <w:bottom w:val="single" w:sz="6" w:space="0" w:color="000000"/>
              <w:right w:val="single" w:sz="6" w:space="0" w:color="000000"/>
            </w:tcBorders>
          </w:tcPr>
          <w:p w14:paraId="15260C85"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8.630</w:t>
            </w:r>
          </w:p>
        </w:tc>
        <w:tc>
          <w:tcPr>
            <w:tcW w:w="708" w:type="dxa"/>
            <w:tcBorders>
              <w:top w:val="single" w:sz="6" w:space="0" w:color="000000"/>
              <w:left w:val="single" w:sz="6" w:space="0" w:color="000000"/>
              <w:bottom w:val="single" w:sz="6" w:space="0" w:color="000000"/>
              <w:right w:val="single" w:sz="6" w:space="0" w:color="000000"/>
            </w:tcBorders>
          </w:tcPr>
          <w:p w14:paraId="6FBB06A2"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2,15</w:t>
            </w:r>
          </w:p>
        </w:tc>
        <w:tc>
          <w:tcPr>
            <w:tcW w:w="991" w:type="dxa"/>
            <w:tcBorders>
              <w:top w:val="single" w:sz="6" w:space="0" w:color="000000"/>
              <w:left w:val="single" w:sz="6" w:space="0" w:color="000000"/>
              <w:bottom w:val="single" w:sz="6" w:space="0" w:color="000000"/>
              <w:right w:val="single" w:sz="6" w:space="0" w:color="000000"/>
            </w:tcBorders>
          </w:tcPr>
          <w:p w14:paraId="74FA5728"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467</w:t>
            </w:r>
          </w:p>
        </w:tc>
        <w:tc>
          <w:tcPr>
            <w:tcW w:w="708" w:type="dxa"/>
            <w:tcBorders>
              <w:top w:val="single" w:sz="6" w:space="0" w:color="000000"/>
              <w:left w:val="single" w:sz="6" w:space="0" w:color="000000"/>
              <w:bottom w:val="single" w:sz="6" w:space="0" w:color="000000"/>
              <w:right w:val="single" w:sz="6" w:space="0" w:color="000000"/>
            </w:tcBorders>
          </w:tcPr>
          <w:p w14:paraId="42EE7F5C"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0,13</w:t>
            </w:r>
          </w:p>
        </w:tc>
        <w:tc>
          <w:tcPr>
            <w:tcW w:w="1699" w:type="dxa"/>
            <w:tcBorders>
              <w:top w:val="single" w:sz="6" w:space="0" w:color="000000"/>
              <w:left w:val="single" w:sz="6" w:space="0" w:color="000000"/>
              <w:bottom w:val="single" w:sz="6" w:space="0" w:color="000000"/>
              <w:right w:val="single" w:sz="6" w:space="0" w:color="000000"/>
            </w:tcBorders>
          </w:tcPr>
          <w:p w14:paraId="5298C091"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Eforie Sud</w:t>
            </w:r>
          </w:p>
          <w:p w14:paraId="492053D7"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Eforie Nord</w:t>
            </w:r>
          </w:p>
        </w:tc>
        <w:tc>
          <w:tcPr>
            <w:tcW w:w="1134" w:type="dxa"/>
            <w:tcBorders>
              <w:top w:val="single" w:sz="6" w:space="0" w:color="000000"/>
              <w:left w:val="single" w:sz="6" w:space="0" w:color="000000"/>
              <w:bottom w:val="single" w:sz="6" w:space="0" w:color="000000"/>
              <w:right w:val="single" w:sz="6" w:space="0" w:color="000000"/>
            </w:tcBorders>
          </w:tcPr>
          <w:p w14:paraId="783D3EC9"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III</w:t>
            </w:r>
          </w:p>
        </w:tc>
      </w:tr>
      <w:tr w:rsidR="00BC11DC" w:rsidRPr="00BC11DC" w14:paraId="67C52B12" w14:textId="77777777" w:rsidTr="00583732">
        <w:tc>
          <w:tcPr>
            <w:tcW w:w="560" w:type="dxa"/>
          </w:tcPr>
          <w:p w14:paraId="40F3305B"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15</w:t>
            </w:r>
          </w:p>
        </w:tc>
        <w:tc>
          <w:tcPr>
            <w:tcW w:w="1419" w:type="dxa"/>
            <w:tcBorders>
              <w:top w:val="single" w:sz="6" w:space="0" w:color="000000"/>
              <w:left w:val="single" w:sz="6" w:space="0" w:color="000000"/>
              <w:bottom w:val="single" w:sz="6" w:space="0" w:color="000000"/>
              <w:right w:val="single" w:sz="6" w:space="0" w:color="000000"/>
            </w:tcBorders>
          </w:tcPr>
          <w:p w14:paraId="4C92D824"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Tuzla</w:t>
            </w:r>
          </w:p>
        </w:tc>
        <w:tc>
          <w:tcPr>
            <w:tcW w:w="1373" w:type="dxa"/>
            <w:tcBorders>
              <w:top w:val="single" w:sz="6" w:space="0" w:color="000000"/>
              <w:left w:val="single" w:sz="6" w:space="0" w:color="000000"/>
              <w:bottom w:val="single" w:sz="6" w:space="0" w:color="000000"/>
              <w:right w:val="single" w:sz="6" w:space="0" w:color="000000"/>
            </w:tcBorders>
          </w:tcPr>
          <w:p w14:paraId="387AC90D"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Comună</w:t>
            </w:r>
          </w:p>
        </w:tc>
        <w:tc>
          <w:tcPr>
            <w:tcW w:w="901" w:type="dxa"/>
            <w:tcBorders>
              <w:top w:val="single" w:sz="6" w:space="0" w:color="000000"/>
              <w:left w:val="single" w:sz="6" w:space="0" w:color="000000"/>
              <w:bottom w:val="single" w:sz="6" w:space="0" w:color="000000"/>
              <w:right w:val="single" w:sz="6" w:space="0" w:color="000000"/>
            </w:tcBorders>
          </w:tcPr>
          <w:p w14:paraId="597FC7BF"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6.494</w:t>
            </w:r>
          </w:p>
        </w:tc>
        <w:tc>
          <w:tcPr>
            <w:tcW w:w="708" w:type="dxa"/>
            <w:tcBorders>
              <w:top w:val="single" w:sz="6" w:space="0" w:color="000000"/>
              <w:left w:val="single" w:sz="6" w:space="0" w:color="000000"/>
              <w:bottom w:val="single" w:sz="6" w:space="0" w:color="000000"/>
              <w:right w:val="single" w:sz="6" w:space="0" w:color="000000"/>
            </w:tcBorders>
          </w:tcPr>
          <w:p w14:paraId="161EC3EE"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1,62</w:t>
            </w:r>
          </w:p>
        </w:tc>
        <w:tc>
          <w:tcPr>
            <w:tcW w:w="991" w:type="dxa"/>
            <w:tcBorders>
              <w:top w:val="single" w:sz="6" w:space="0" w:color="000000"/>
              <w:left w:val="single" w:sz="6" w:space="0" w:color="000000"/>
              <w:bottom w:val="single" w:sz="6" w:space="0" w:color="000000"/>
              <w:right w:val="single" w:sz="6" w:space="0" w:color="000000"/>
            </w:tcBorders>
          </w:tcPr>
          <w:p w14:paraId="354F3743"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4.895</w:t>
            </w:r>
          </w:p>
        </w:tc>
        <w:tc>
          <w:tcPr>
            <w:tcW w:w="708" w:type="dxa"/>
            <w:tcBorders>
              <w:top w:val="single" w:sz="6" w:space="0" w:color="000000"/>
              <w:left w:val="single" w:sz="6" w:space="0" w:color="000000"/>
              <w:bottom w:val="single" w:sz="6" w:space="0" w:color="000000"/>
              <w:right w:val="single" w:sz="6" w:space="0" w:color="000000"/>
            </w:tcBorders>
          </w:tcPr>
          <w:p w14:paraId="3B07C8DA"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1,38</w:t>
            </w:r>
          </w:p>
        </w:tc>
        <w:tc>
          <w:tcPr>
            <w:tcW w:w="1699" w:type="dxa"/>
            <w:tcBorders>
              <w:top w:val="single" w:sz="6" w:space="0" w:color="000000"/>
              <w:left w:val="single" w:sz="6" w:space="0" w:color="000000"/>
              <w:bottom w:val="single" w:sz="6" w:space="0" w:color="000000"/>
              <w:right w:val="single" w:sz="6" w:space="0" w:color="000000"/>
            </w:tcBorders>
          </w:tcPr>
          <w:p w14:paraId="34B11FEC" w14:textId="77777777" w:rsidR="00BC11DC" w:rsidRPr="00BC11DC" w:rsidRDefault="00BC11DC" w:rsidP="00935E16">
            <w:pPr>
              <w:spacing w:before="0" w:after="0" w:line="240" w:lineRule="auto"/>
              <w:ind w:firstLine="0"/>
              <w:jc w:val="left"/>
              <w:rPr>
                <w:rFonts w:eastAsia="Times New Roman"/>
                <w:b/>
                <w:kern w:val="0"/>
                <w:sz w:val="20"/>
                <w:szCs w:val="20"/>
                <w:lang w:val="ro-RO"/>
              </w:rPr>
            </w:pPr>
            <w:r w:rsidRPr="00BC11DC">
              <w:rPr>
                <w:rFonts w:eastAsia="Times New Roman"/>
                <w:kern w:val="0"/>
                <w:sz w:val="20"/>
                <w:szCs w:val="20"/>
                <w:lang w:val="ro-RO"/>
              </w:rPr>
              <w:t>Tuzla</w:t>
            </w:r>
          </w:p>
        </w:tc>
        <w:tc>
          <w:tcPr>
            <w:tcW w:w="1134" w:type="dxa"/>
            <w:tcBorders>
              <w:top w:val="single" w:sz="6" w:space="0" w:color="000000"/>
              <w:left w:val="single" w:sz="6" w:space="0" w:color="000000"/>
              <w:bottom w:val="single" w:sz="6" w:space="0" w:color="000000"/>
              <w:right w:val="single" w:sz="6" w:space="0" w:color="000000"/>
            </w:tcBorders>
          </w:tcPr>
          <w:p w14:paraId="0A227A94"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IV</w:t>
            </w:r>
          </w:p>
        </w:tc>
      </w:tr>
      <w:tr w:rsidR="00BC11DC" w:rsidRPr="00BC11DC" w14:paraId="300075E9" w14:textId="77777777" w:rsidTr="00583732">
        <w:tc>
          <w:tcPr>
            <w:tcW w:w="560" w:type="dxa"/>
          </w:tcPr>
          <w:p w14:paraId="1212514C"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16</w:t>
            </w:r>
          </w:p>
        </w:tc>
        <w:tc>
          <w:tcPr>
            <w:tcW w:w="1419" w:type="dxa"/>
            <w:tcBorders>
              <w:top w:val="single" w:sz="6" w:space="0" w:color="000000"/>
              <w:left w:val="single" w:sz="6" w:space="0" w:color="000000"/>
              <w:bottom w:val="single" w:sz="6" w:space="0" w:color="000000"/>
              <w:right w:val="single" w:sz="6" w:space="0" w:color="000000"/>
            </w:tcBorders>
          </w:tcPr>
          <w:p w14:paraId="63C57878"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Costinești</w:t>
            </w:r>
          </w:p>
        </w:tc>
        <w:tc>
          <w:tcPr>
            <w:tcW w:w="1373" w:type="dxa"/>
            <w:tcBorders>
              <w:top w:val="single" w:sz="6" w:space="0" w:color="000000"/>
              <w:left w:val="single" w:sz="6" w:space="0" w:color="000000"/>
              <w:bottom w:val="single" w:sz="6" w:space="0" w:color="000000"/>
              <w:right w:val="single" w:sz="6" w:space="0" w:color="000000"/>
            </w:tcBorders>
          </w:tcPr>
          <w:p w14:paraId="29AB85B6"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Comună/ stațiune</w:t>
            </w:r>
          </w:p>
        </w:tc>
        <w:tc>
          <w:tcPr>
            <w:tcW w:w="901" w:type="dxa"/>
            <w:tcBorders>
              <w:top w:val="single" w:sz="6" w:space="0" w:color="000000"/>
              <w:left w:val="single" w:sz="6" w:space="0" w:color="000000"/>
              <w:bottom w:val="single" w:sz="6" w:space="0" w:color="000000"/>
              <w:right w:val="single" w:sz="6" w:space="0" w:color="000000"/>
            </w:tcBorders>
          </w:tcPr>
          <w:p w14:paraId="34356318"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3.121</w:t>
            </w:r>
          </w:p>
        </w:tc>
        <w:tc>
          <w:tcPr>
            <w:tcW w:w="708" w:type="dxa"/>
            <w:tcBorders>
              <w:top w:val="single" w:sz="6" w:space="0" w:color="000000"/>
              <w:left w:val="single" w:sz="6" w:space="0" w:color="000000"/>
              <w:bottom w:val="single" w:sz="6" w:space="0" w:color="000000"/>
              <w:right w:val="single" w:sz="6" w:space="0" w:color="000000"/>
            </w:tcBorders>
          </w:tcPr>
          <w:p w14:paraId="7F277099"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0,78</w:t>
            </w:r>
          </w:p>
        </w:tc>
        <w:tc>
          <w:tcPr>
            <w:tcW w:w="991" w:type="dxa"/>
            <w:tcBorders>
              <w:top w:val="single" w:sz="6" w:space="0" w:color="000000"/>
              <w:left w:val="single" w:sz="6" w:space="0" w:color="000000"/>
              <w:bottom w:val="single" w:sz="6" w:space="0" w:color="000000"/>
              <w:right w:val="single" w:sz="6" w:space="0" w:color="000000"/>
            </w:tcBorders>
          </w:tcPr>
          <w:p w14:paraId="27179877"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2.028</w:t>
            </w:r>
          </w:p>
        </w:tc>
        <w:tc>
          <w:tcPr>
            <w:tcW w:w="708" w:type="dxa"/>
            <w:tcBorders>
              <w:top w:val="single" w:sz="6" w:space="0" w:color="000000"/>
              <w:left w:val="single" w:sz="6" w:space="0" w:color="000000"/>
              <w:bottom w:val="single" w:sz="6" w:space="0" w:color="000000"/>
              <w:right w:val="single" w:sz="6" w:space="0" w:color="000000"/>
            </w:tcBorders>
          </w:tcPr>
          <w:p w14:paraId="4F40E2DF"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0,57</w:t>
            </w:r>
          </w:p>
        </w:tc>
        <w:tc>
          <w:tcPr>
            <w:tcW w:w="1699" w:type="dxa"/>
            <w:tcBorders>
              <w:top w:val="single" w:sz="6" w:space="0" w:color="000000"/>
              <w:left w:val="single" w:sz="6" w:space="0" w:color="000000"/>
              <w:bottom w:val="single" w:sz="6" w:space="0" w:color="000000"/>
              <w:right w:val="single" w:sz="6" w:space="0" w:color="000000"/>
            </w:tcBorders>
          </w:tcPr>
          <w:p w14:paraId="074C7675"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Costinești</w:t>
            </w:r>
          </w:p>
          <w:p w14:paraId="1B691A22"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Schitu</w:t>
            </w:r>
          </w:p>
        </w:tc>
        <w:tc>
          <w:tcPr>
            <w:tcW w:w="1134" w:type="dxa"/>
            <w:tcBorders>
              <w:top w:val="single" w:sz="6" w:space="0" w:color="000000"/>
              <w:left w:val="single" w:sz="6" w:space="0" w:color="000000"/>
              <w:bottom w:val="single" w:sz="6" w:space="0" w:color="000000"/>
              <w:right w:val="single" w:sz="6" w:space="0" w:color="000000"/>
            </w:tcBorders>
          </w:tcPr>
          <w:p w14:paraId="2A1C4399" w14:textId="77777777" w:rsidR="00BC11DC" w:rsidRPr="00BC11DC" w:rsidRDefault="00BC11DC" w:rsidP="00935E16">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IV</w:t>
            </w:r>
          </w:p>
          <w:p w14:paraId="195A15BB" w14:textId="77777777" w:rsidR="00BC11DC" w:rsidRPr="00BC11DC" w:rsidRDefault="00BC11DC" w:rsidP="00935E16">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V</w:t>
            </w:r>
          </w:p>
        </w:tc>
      </w:tr>
      <w:tr w:rsidR="00BC11DC" w:rsidRPr="00BC11DC" w14:paraId="542EFAAB" w14:textId="77777777" w:rsidTr="00583732">
        <w:tc>
          <w:tcPr>
            <w:tcW w:w="560" w:type="dxa"/>
          </w:tcPr>
          <w:p w14:paraId="1CB8305B"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17</w:t>
            </w:r>
          </w:p>
        </w:tc>
        <w:tc>
          <w:tcPr>
            <w:tcW w:w="1419" w:type="dxa"/>
            <w:tcBorders>
              <w:top w:val="single" w:sz="6" w:space="0" w:color="000000"/>
              <w:left w:val="single" w:sz="6" w:space="0" w:color="000000"/>
              <w:bottom w:val="single" w:sz="6" w:space="0" w:color="000000"/>
              <w:right w:val="single" w:sz="6" w:space="0" w:color="000000"/>
            </w:tcBorders>
          </w:tcPr>
          <w:p w14:paraId="6123DC30"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23 August</w:t>
            </w:r>
          </w:p>
        </w:tc>
        <w:tc>
          <w:tcPr>
            <w:tcW w:w="1373" w:type="dxa"/>
            <w:tcBorders>
              <w:top w:val="single" w:sz="6" w:space="0" w:color="000000"/>
              <w:left w:val="single" w:sz="6" w:space="0" w:color="000000"/>
              <w:bottom w:val="single" w:sz="6" w:space="0" w:color="000000"/>
              <w:right w:val="single" w:sz="6" w:space="0" w:color="000000"/>
            </w:tcBorders>
          </w:tcPr>
          <w:p w14:paraId="37C30211"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Comună</w:t>
            </w:r>
          </w:p>
        </w:tc>
        <w:tc>
          <w:tcPr>
            <w:tcW w:w="901" w:type="dxa"/>
            <w:tcBorders>
              <w:top w:val="single" w:sz="6" w:space="0" w:color="000000"/>
              <w:left w:val="single" w:sz="6" w:space="0" w:color="000000"/>
              <w:bottom w:val="single" w:sz="6" w:space="0" w:color="000000"/>
              <w:right w:val="single" w:sz="6" w:space="0" w:color="000000"/>
            </w:tcBorders>
          </w:tcPr>
          <w:p w14:paraId="4F331DD7"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5.178</w:t>
            </w:r>
          </w:p>
        </w:tc>
        <w:tc>
          <w:tcPr>
            <w:tcW w:w="708" w:type="dxa"/>
            <w:tcBorders>
              <w:top w:val="single" w:sz="6" w:space="0" w:color="000000"/>
              <w:left w:val="single" w:sz="6" w:space="0" w:color="000000"/>
              <w:bottom w:val="single" w:sz="6" w:space="0" w:color="000000"/>
              <w:right w:val="single" w:sz="6" w:space="0" w:color="000000"/>
            </w:tcBorders>
          </w:tcPr>
          <w:p w14:paraId="770CAEDF"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1,29</w:t>
            </w:r>
          </w:p>
        </w:tc>
        <w:tc>
          <w:tcPr>
            <w:tcW w:w="991" w:type="dxa"/>
            <w:tcBorders>
              <w:top w:val="single" w:sz="6" w:space="0" w:color="000000"/>
              <w:left w:val="single" w:sz="6" w:space="0" w:color="000000"/>
              <w:bottom w:val="single" w:sz="6" w:space="0" w:color="000000"/>
              <w:right w:val="single" w:sz="6" w:space="0" w:color="000000"/>
            </w:tcBorders>
          </w:tcPr>
          <w:p w14:paraId="3C9DA530"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7.313</w:t>
            </w:r>
          </w:p>
        </w:tc>
        <w:tc>
          <w:tcPr>
            <w:tcW w:w="708" w:type="dxa"/>
            <w:tcBorders>
              <w:top w:val="single" w:sz="6" w:space="0" w:color="000000"/>
              <w:left w:val="single" w:sz="6" w:space="0" w:color="000000"/>
              <w:bottom w:val="single" w:sz="6" w:space="0" w:color="000000"/>
              <w:right w:val="single" w:sz="6" w:space="0" w:color="000000"/>
            </w:tcBorders>
          </w:tcPr>
          <w:p w14:paraId="06D6E5CD"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2,06</w:t>
            </w:r>
          </w:p>
        </w:tc>
        <w:tc>
          <w:tcPr>
            <w:tcW w:w="1699" w:type="dxa"/>
            <w:tcBorders>
              <w:top w:val="single" w:sz="6" w:space="0" w:color="000000"/>
              <w:left w:val="single" w:sz="6" w:space="0" w:color="000000"/>
              <w:bottom w:val="single" w:sz="6" w:space="0" w:color="000000"/>
              <w:right w:val="single" w:sz="6" w:space="0" w:color="000000"/>
            </w:tcBorders>
          </w:tcPr>
          <w:p w14:paraId="7D3AA842"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23 August</w:t>
            </w:r>
          </w:p>
          <w:p w14:paraId="4E55F46C"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Dulcești</w:t>
            </w:r>
          </w:p>
          <w:p w14:paraId="528EA43B"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Moșneni</w:t>
            </w:r>
          </w:p>
        </w:tc>
        <w:tc>
          <w:tcPr>
            <w:tcW w:w="1134" w:type="dxa"/>
            <w:tcBorders>
              <w:top w:val="single" w:sz="6" w:space="0" w:color="000000"/>
              <w:left w:val="single" w:sz="6" w:space="0" w:color="000000"/>
              <w:bottom w:val="single" w:sz="6" w:space="0" w:color="000000"/>
              <w:right w:val="single" w:sz="6" w:space="0" w:color="000000"/>
            </w:tcBorders>
          </w:tcPr>
          <w:p w14:paraId="453F52D6" w14:textId="77777777" w:rsidR="00BC11DC" w:rsidRPr="00BC11DC" w:rsidRDefault="00BC11DC" w:rsidP="00935E16">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IV</w:t>
            </w:r>
          </w:p>
          <w:p w14:paraId="2959A8B2" w14:textId="77777777" w:rsidR="00BC11DC" w:rsidRPr="00BC11DC" w:rsidRDefault="00BC11DC" w:rsidP="00935E16">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V</w:t>
            </w:r>
          </w:p>
          <w:p w14:paraId="6FA97D0B" w14:textId="77777777" w:rsidR="00BC11DC" w:rsidRPr="00BC11DC" w:rsidRDefault="00BC11DC" w:rsidP="00935E16">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V</w:t>
            </w:r>
          </w:p>
        </w:tc>
      </w:tr>
      <w:tr w:rsidR="00BC11DC" w:rsidRPr="00BC11DC" w14:paraId="41E2E771" w14:textId="77777777" w:rsidTr="00583732">
        <w:tc>
          <w:tcPr>
            <w:tcW w:w="560" w:type="dxa"/>
          </w:tcPr>
          <w:p w14:paraId="29534CB6"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18</w:t>
            </w:r>
          </w:p>
        </w:tc>
        <w:tc>
          <w:tcPr>
            <w:tcW w:w="1419" w:type="dxa"/>
            <w:tcBorders>
              <w:top w:val="single" w:sz="6" w:space="0" w:color="000000"/>
              <w:left w:val="single" w:sz="6" w:space="0" w:color="000000"/>
              <w:bottom w:val="single" w:sz="6" w:space="0" w:color="000000"/>
              <w:right w:val="single" w:sz="6" w:space="0" w:color="000000"/>
            </w:tcBorders>
          </w:tcPr>
          <w:p w14:paraId="7BB2ACBE"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Mangalia</w:t>
            </w:r>
          </w:p>
        </w:tc>
        <w:tc>
          <w:tcPr>
            <w:tcW w:w="1373" w:type="dxa"/>
            <w:tcBorders>
              <w:top w:val="single" w:sz="6" w:space="0" w:color="000000"/>
              <w:left w:val="single" w:sz="6" w:space="0" w:color="000000"/>
              <w:bottom w:val="single" w:sz="6" w:space="0" w:color="000000"/>
              <w:right w:val="single" w:sz="6" w:space="0" w:color="000000"/>
            </w:tcBorders>
          </w:tcPr>
          <w:p w14:paraId="1099F1EF"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Municipiu/ stațiune</w:t>
            </w:r>
          </w:p>
        </w:tc>
        <w:tc>
          <w:tcPr>
            <w:tcW w:w="901" w:type="dxa"/>
            <w:tcBorders>
              <w:top w:val="single" w:sz="6" w:space="0" w:color="000000"/>
              <w:left w:val="single" w:sz="6" w:space="0" w:color="000000"/>
              <w:bottom w:val="single" w:sz="6" w:space="0" w:color="000000"/>
              <w:right w:val="single" w:sz="6" w:space="0" w:color="000000"/>
            </w:tcBorders>
          </w:tcPr>
          <w:p w14:paraId="7CE30981"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31.950</w:t>
            </w:r>
          </w:p>
        </w:tc>
        <w:tc>
          <w:tcPr>
            <w:tcW w:w="708" w:type="dxa"/>
            <w:tcBorders>
              <w:top w:val="single" w:sz="6" w:space="0" w:color="000000"/>
              <w:left w:val="single" w:sz="6" w:space="0" w:color="000000"/>
              <w:bottom w:val="single" w:sz="6" w:space="0" w:color="000000"/>
              <w:right w:val="single" w:sz="6" w:space="0" w:color="000000"/>
            </w:tcBorders>
          </w:tcPr>
          <w:p w14:paraId="2CF09619"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7,97</w:t>
            </w:r>
          </w:p>
        </w:tc>
        <w:tc>
          <w:tcPr>
            <w:tcW w:w="991" w:type="dxa"/>
            <w:tcBorders>
              <w:top w:val="single" w:sz="6" w:space="0" w:color="000000"/>
              <w:left w:val="single" w:sz="6" w:space="0" w:color="000000"/>
              <w:bottom w:val="single" w:sz="6" w:space="0" w:color="000000"/>
              <w:right w:val="single" w:sz="6" w:space="0" w:color="000000"/>
            </w:tcBorders>
          </w:tcPr>
          <w:p w14:paraId="24BAF6DB"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6.230</w:t>
            </w:r>
          </w:p>
        </w:tc>
        <w:tc>
          <w:tcPr>
            <w:tcW w:w="708" w:type="dxa"/>
            <w:tcBorders>
              <w:top w:val="single" w:sz="6" w:space="0" w:color="000000"/>
              <w:left w:val="single" w:sz="6" w:space="0" w:color="000000"/>
              <w:bottom w:val="single" w:sz="6" w:space="0" w:color="000000"/>
              <w:right w:val="single" w:sz="6" w:space="0" w:color="000000"/>
            </w:tcBorders>
          </w:tcPr>
          <w:p w14:paraId="339CE4C2"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1,75</w:t>
            </w:r>
          </w:p>
        </w:tc>
        <w:tc>
          <w:tcPr>
            <w:tcW w:w="1699" w:type="dxa"/>
            <w:tcBorders>
              <w:top w:val="single" w:sz="6" w:space="0" w:color="000000"/>
              <w:left w:val="single" w:sz="6" w:space="0" w:color="000000"/>
              <w:bottom w:val="single" w:sz="6" w:space="0" w:color="000000"/>
              <w:right w:val="single" w:sz="6" w:space="0" w:color="000000"/>
            </w:tcBorders>
          </w:tcPr>
          <w:p w14:paraId="2500BEF8" w14:textId="77777777" w:rsidR="00BC11DC" w:rsidRPr="00BC11DC" w:rsidRDefault="00BC11DC" w:rsidP="00935E16">
            <w:pPr>
              <w:spacing w:before="0" w:after="0" w:line="240" w:lineRule="auto"/>
              <w:ind w:firstLine="0"/>
              <w:jc w:val="left"/>
              <w:rPr>
                <w:rFonts w:eastAsia="Times New Roman"/>
                <w:b/>
                <w:kern w:val="0"/>
                <w:sz w:val="20"/>
                <w:szCs w:val="20"/>
                <w:lang w:val="ro-RO"/>
              </w:rPr>
            </w:pPr>
            <w:r w:rsidRPr="00BC11DC">
              <w:rPr>
                <w:rFonts w:eastAsia="Times New Roman"/>
                <w:kern w:val="0"/>
                <w:sz w:val="20"/>
                <w:szCs w:val="20"/>
                <w:lang w:val="ro-RO"/>
              </w:rPr>
              <w:t>Mangalia</w:t>
            </w:r>
          </w:p>
        </w:tc>
        <w:tc>
          <w:tcPr>
            <w:tcW w:w="1134" w:type="dxa"/>
            <w:tcBorders>
              <w:top w:val="single" w:sz="6" w:space="0" w:color="000000"/>
              <w:left w:val="single" w:sz="6" w:space="0" w:color="000000"/>
              <w:bottom w:val="single" w:sz="6" w:space="0" w:color="000000"/>
              <w:right w:val="single" w:sz="6" w:space="0" w:color="000000"/>
            </w:tcBorders>
          </w:tcPr>
          <w:p w14:paraId="28AAF76D"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II</w:t>
            </w:r>
          </w:p>
        </w:tc>
      </w:tr>
      <w:tr w:rsidR="00BC11DC" w:rsidRPr="00BC11DC" w14:paraId="179FF2C9" w14:textId="77777777" w:rsidTr="00583732">
        <w:tc>
          <w:tcPr>
            <w:tcW w:w="560" w:type="dxa"/>
          </w:tcPr>
          <w:p w14:paraId="38D5A188"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19</w:t>
            </w:r>
          </w:p>
        </w:tc>
        <w:tc>
          <w:tcPr>
            <w:tcW w:w="1419" w:type="dxa"/>
            <w:tcBorders>
              <w:top w:val="single" w:sz="6" w:space="0" w:color="000000"/>
              <w:left w:val="single" w:sz="6" w:space="0" w:color="000000"/>
              <w:bottom w:val="single" w:sz="6" w:space="0" w:color="000000"/>
              <w:right w:val="single" w:sz="6" w:space="0" w:color="000000"/>
            </w:tcBorders>
          </w:tcPr>
          <w:p w14:paraId="76A2C32F" w14:textId="77777777" w:rsidR="00BC11DC" w:rsidRPr="00BC11DC" w:rsidRDefault="00BC11DC" w:rsidP="00935E16">
            <w:pPr>
              <w:spacing w:before="0" w:after="0" w:line="240" w:lineRule="auto"/>
              <w:ind w:firstLine="0"/>
              <w:jc w:val="center"/>
              <w:rPr>
                <w:rFonts w:eastAsia="Times New Roman"/>
                <w:kern w:val="0"/>
                <w:sz w:val="20"/>
                <w:szCs w:val="20"/>
                <w:lang w:val="ro-RO"/>
              </w:rPr>
            </w:pPr>
            <w:r w:rsidRPr="00BC11DC">
              <w:rPr>
                <w:rFonts w:eastAsia="Times New Roman"/>
                <w:kern w:val="0"/>
                <w:sz w:val="20"/>
                <w:szCs w:val="20"/>
                <w:lang w:val="ro-RO"/>
              </w:rPr>
              <w:t>Limanu</w:t>
            </w:r>
          </w:p>
        </w:tc>
        <w:tc>
          <w:tcPr>
            <w:tcW w:w="1373" w:type="dxa"/>
            <w:tcBorders>
              <w:top w:val="single" w:sz="6" w:space="0" w:color="000000"/>
              <w:left w:val="single" w:sz="6" w:space="0" w:color="000000"/>
              <w:bottom w:val="single" w:sz="6" w:space="0" w:color="000000"/>
              <w:right w:val="single" w:sz="6" w:space="0" w:color="000000"/>
            </w:tcBorders>
          </w:tcPr>
          <w:p w14:paraId="5D26C7AD"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Comună</w:t>
            </w:r>
          </w:p>
        </w:tc>
        <w:tc>
          <w:tcPr>
            <w:tcW w:w="901" w:type="dxa"/>
            <w:tcBorders>
              <w:top w:val="single" w:sz="6" w:space="0" w:color="000000"/>
              <w:left w:val="single" w:sz="6" w:space="0" w:color="000000"/>
              <w:bottom w:val="single" w:sz="6" w:space="0" w:color="000000"/>
              <w:right w:val="single" w:sz="6" w:space="0" w:color="000000"/>
            </w:tcBorders>
          </w:tcPr>
          <w:p w14:paraId="33C71D60"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6.350</w:t>
            </w:r>
          </w:p>
        </w:tc>
        <w:tc>
          <w:tcPr>
            <w:tcW w:w="708" w:type="dxa"/>
            <w:tcBorders>
              <w:top w:val="single" w:sz="6" w:space="0" w:color="000000"/>
              <w:left w:val="single" w:sz="6" w:space="0" w:color="000000"/>
              <w:bottom w:val="single" w:sz="6" w:space="0" w:color="000000"/>
              <w:right w:val="single" w:sz="6" w:space="0" w:color="000000"/>
            </w:tcBorders>
          </w:tcPr>
          <w:p w14:paraId="78BECA6E"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1,58</w:t>
            </w:r>
          </w:p>
        </w:tc>
        <w:tc>
          <w:tcPr>
            <w:tcW w:w="991" w:type="dxa"/>
            <w:tcBorders>
              <w:top w:val="single" w:sz="6" w:space="0" w:color="000000"/>
              <w:left w:val="single" w:sz="6" w:space="0" w:color="000000"/>
              <w:bottom w:val="single" w:sz="6" w:space="0" w:color="000000"/>
              <w:right w:val="single" w:sz="6" w:space="0" w:color="000000"/>
            </w:tcBorders>
          </w:tcPr>
          <w:p w14:paraId="4A68E701"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7.571</w:t>
            </w:r>
          </w:p>
        </w:tc>
        <w:tc>
          <w:tcPr>
            <w:tcW w:w="708" w:type="dxa"/>
            <w:tcBorders>
              <w:top w:val="single" w:sz="6" w:space="0" w:color="000000"/>
              <w:left w:val="single" w:sz="6" w:space="0" w:color="000000"/>
              <w:bottom w:val="single" w:sz="6" w:space="0" w:color="000000"/>
              <w:right w:val="single" w:sz="6" w:space="0" w:color="000000"/>
            </w:tcBorders>
          </w:tcPr>
          <w:p w14:paraId="3572F3BF" w14:textId="77777777" w:rsidR="00BC11DC" w:rsidRPr="00BC11DC" w:rsidRDefault="00BC11DC" w:rsidP="00935E16">
            <w:pPr>
              <w:spacing w:before="0" w:after="0" w:line="240" w:lineRule="auto"/>
              <w:ind w:firstLine="0"/>
              <w:jc w:val="center"/>
              <w:rPr>
                <w:rFonts w:eastAsia="Times New Roman"/>
                <w:b/>
                <w:kern w:val="0"/>
                <w:sz w:val="20"/>
                <w:szCs w:val="20"/>
                <w:lang w:val="ro-RO"/>
              </w:rPr>
            </w:pPr>
            <w:r w:rsidRPr="00BC11DC">
              <w:rPr>
                <w:rFonts w:eastAsia="Times New Roman"/>
                <w:kern w:val="0"/>
                <w:sz w:val="20"/>
                <w:szCs w:val="20"/>
                <w:lang w:val="ro-RO"/>
              </w:rPr>
              <w:t>2,13</w:t>
            </w:r>
          </w:p>
        </w:tc>
        <w:tc>
          <w:tcPr>
            <w:tcW w:w="1699" w:type="dxa"/>
            <w:tcBorders>
              <w:top w:val="single" w:sz="6" w:space="0" w:color="000000"/>
              <w:left w:val="single" w:sz="6" w:space="0" w:color="000000"/>
              <w:bottom w:val="single" w:sz="6" w:space="0" w:color="000000"/>
              <w:right w:val="single" w:sz="6" w:space="0" w:color="000000"/>
            </w:tcBorders>
          </w:tcPr>
          <w:p w14:paraId="15FDACD2"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Limanu</w:t>
            </w:r>
          </w:p>
          <w:p w14:paraId="3FDBC43D"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Hagieni</w:t>
            </w:r>
          </w:p>
          <w:p w14:paraId="6D042ABB"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2 Mai</w:t>
            </w:r>
          </w:p>
          <w:p w14:paraId="53E82837" w14:textId="77777777" w:rsidR="00BC11DC" w:rsidRPr="00BC11DC" w:rsidRDefault="00BC11DC" w:rsidP="00935E16">
            <w:pPr>
              <w:pBdr>
                <w:top w:val="nil"/>
                <w:left w:val="nil"/>
                <w:bottom w:val="nil"/>
                <w:right w:val="nil"/>
                <w:between w:val="nil"/>
              </w:pBdr>
              <w:spacing w:before="0" w:after="0" w:line="240" w:lineRule="auto"/>
              <w:ind w:firstLine="0"/>
              <w:rPr>
                <w:rFonts w:eastAsia="Times New Roman"/>
                <w:color w:val="000000"/>
                <w:kern w:val="0"/>
                <w:sz w:val="20"/>
                <w:szCs w:val="20"/>
                <w:lang w:val="ro-RO"/>
              </w:rPr>
            </w:pPr>
            <w:r w:rsidRPr="00BC11DC">
              <w:rPr>
                <w:rFonts w:eastAsia="Times New Roman"/>
                <w:color w:val="000000"/>
                <w:kern w:val="0"/>
                <w:sz w:val="20"/>
                <w:szCs w:val="20"/>
                <w:lang w:val="ro-RO"/>
              </w:rPr>
              <w:t>Vama Veche</w:t>
            </w:r>
          </w:p>
        </w:tc>
        <w:tc>
          <w:tcPr>
            <w:tcW w:w="1134" w:type="dxa"/>
            <w:tcBorders>
              <w:top w:val="single" w:sz="6" w:space="0" w:color="000000"/>
              <w:left w:val="single" w:sz="6" w:space="0" w:color="000000"/>
              <w:bottom w:val="single" w:sz="6" w:space="0" w:color="000000"/>
              <w:right w:val="single" w:sz="6" w:space="0" w:color="000000"/>
            </w:tcBorders>
          </w:tcPr>
          <w:p w14:paraId="0C5BAF8F" w14:textId="77777777" w:rsidR="00BC11DC" w:rsidRPr="00BC11DC" w:rsidRDefault="00BC11DC" w:rsidP="00935E16">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IV</w:t>
            </w:r>
          </w:p>
          <w:p w14:paraId="346AB1CE" w14:textId="77777777" w:rsidR="00BC11DC" w:rsidRPr="00BC11DC" w:rsidRDefault="00BC11DC" w:rsidP="00935E16">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V</w:t>
            </w:r>
          </w:p>
          <w:p w14:paraId="7C33EFCB" w14:textId="77777777" w:rsidR="00BC11DC" w:rsidRPr="00BC11DC" w:rsidRDefault="00BC11DC" w:rsidP="00935E16">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V</w:t>
            </w:r>
          </w:p>
          <w:p w14:paraId="6F833548" w14:textId="77777777" w:rsidR="00BC11DC" w:rsidRPr="00BC11DC" w:rsidRDefault="00BC11DC" w:rsidP="00935E16">
            <w:pPr>
              <w:pBdr>
                <w:top w:val="nil"/>
                <w:left w:val="nil"/>
                <w:bottom w:val="nil"/>
                <w:right w:val="nil"/>
                <w:between w:val="nil"/>
              </w:pBdr>
              <w:spacing w:before="0" w:after="0" w:line="240" w:lineRule="auto"/>
              <w:ind w:firstLine="0"/>
              <w:jc w:val="center"/>
              <w:rPr>
                <w:rFonts w:eastAsia="Times New Roman"/>
                <w:color w:val="000000"/>
                <w:kern w:val="0"/>
                <w:sz w:val="20"/>
                <w:szCs w:val="20"/>
                <w:lang w:val="ro-RO"/>
              </w:rPr>
            </w:pPr>
            <w:r w:rsidRPr="00BC11DC">
              <w:rPr>
                <w:rFonts w:eastAsia="Times New Roman"/>
                <w:color w:val="000000"/>
                <w:kern w:val="0"/>
                <w:sz w:val="20"/>
                <w:szCs w:val="20"/>
                <w:lang w:val="ro-RO"/>
              </w:rPr>
              <w:t>V</w:t>
            </w:r>
          </w:p>
        </w:tc>
      </w:tr>
      <w:tr w:rsidR="00BC11DC" w:rsidRPr="00BC11DC" w14:paraId="73D36010" w14:textId="77777777" w:rsidTr="00583732">
        <w:tc>
          <w:tcPr>
            <w:tcW w:w="3352" w:type="dxa"/>
            <w:gridSpan w:val="3"/>
            <w:tcBorders>
              <w:right w:val="single" w:sz="6" w:space="0" w:color="000000"/>
            </w:tcBorders>
          </w:tcPr>
          <w:p w14:paraId="6E31C496" w14:textId="77777777" w:rsidR="00BC11DC" w:rsidRPr="0033469D" w:rsidRDefault="00BC11DC" w:rsidP="00935E16">
            <w:pPr>
              <w:spacing w:before="0" w:after="0"/>
              <w:ind w:firstLine="0"/>
              <w:jc w:val="center"/>
              <w:rPr>
                <w:rFonts w:eastAsia="Times New Roman"/>
                <w:b/>
                <w:kern w:val="0"/>
                <w:sz w:val="20"/>
                <w:szCs w:val="20"/>
                <w:lang w:val="ro-RO"/>
              </w:rPr>
            </w:pPr>
            <w:r w:rsidRPr="0033469D">
              <w:rPr>
                <w:rFonts w:eastAsia="Times New Roman"/>
                <w:b/>
                <w:kern w:val="0"/>
                <w:sz w:val="20"/>
                <w:szCs w:val="20"/>
                <w:lang w:val="ro-RO"/>
              </w:rPr>
              <w:t>Total în județ Constanța</w:t>
            </w:r>
          </w:p>
        </w:tc>
        <w:tc>
          <w:tcPr>
            <w:tcW w:w="901" w:type="dxa"/>
            <w:tcBorders>
              <w:top w:val="single" w:sz="6" w:space="0" w:color="000000"/>
              <w:left w:val="single" w:sz="6" w:space="0" w:color="000000"/>
              <w:bottom w:val="single" w:sz="6" w:space="0" w:color="000000"/>
              <w:right w:val="single" w:sz="6" w:space="0" w:color="000000"/>
            </w:tcBorders>
            <w:shd w:val="clear" w:color="auto" w:fill="F2F2F2"/>
          </w:tcPr>
          <w:p w14:paraId="064F97D8" w14:textId="77777777" w:rsidR="00BC11DC" w:rsidRPr="0033469D" w:rsidRDefault="00BC11DC" w:rsidP="00935E16">
            <w:pPr>
              <w:spacing w:before="0" w:after="0"/>
              <w:ind w:firstLine="0"/>
              <w:jc w:val="center"/>
              <w:rPr>
                <w:rFonts w:eastAsia="Times New Roman"/>
                <w:kern w:val="0"/>
                <w:sz w:val="20"/>
                <w:szCs w:val="20"/>
                <w:lang w:val="ro-RO"/>
              </w:rPr>
            </w:pPr>
            <w:r w:rsidRPr="0033469D">
              <w:rPr>
                <w:rFonts w:eastAsia="Times New Roman"/>
                <w:b/>
                <w:kern w:val="0"/>
                <w:sz w:val="20"/>
                <w:szCs w:val="20"/>
                <w:lang w:val="ro-RO"/>
              </w:rPr>
              <w:t>389.782</w:t>
            </w:r>
          </w:p>
        </w:tc>
        <w:tc>
          <w:tcPr>
            <w:tcW w:w="708" w:type="dxa"/>
            <w:tcBorders>
              <w:top w:val="single" w:sz="6" w:space="0" w:color="000000"/>
              <w:left w:val="single" w:sz="6" w:space="0" w:color="000000"/>
              <w:bottom w:val="single" w:sz="6" w:space="0" w:color="000000"/>
              <w:right w:val="single" w:sz="6" w:space="0" w:color="000000"/>
            </w:tcBorders>
            <w:shd w:val="clear" w:color="auto" w:fill="F2F2F2"/>
          </w:tcPr>
          <w:p w14:paraId="3680FBEE" w14:textId="77777777" w:rsidR="00BC11DC" w:rsidRPr="0033469D" w:rsidRDefault="00BC11DC" w:rsidP="00935E16">
            <w:pPr>
              <w:spacing w:before="0" w:after="0"/>
              <w:ind w:firstLine="0"/>
              <w:jc w:val="center"/>
              <w:rPr>
                <w:rFonts w:eastAsia="Times New Roman"/>
                <w:kern w:val="0"/>
                <w:sz w:val="20"/>
                <w:szCs w:val="20"/>
                <w:lang w:val="ro-RO"/>
              </w:rPr>
            </w:pPr>
            <w:r w:rsidRPr="0033469D">
              <w:rPr>
                <w:rFonts w:eastAsia="Times New Roman"/>
                <w:b/>
                <w:kern w:val="0"/>
                <w:sz w:val="20"/>
                <w:szCs w:val="20"/>
                <w:lang w:val="ro-RO"/>
              </w:rPr>
              <w:t>97,24</w:t>
            </w:r>
          </w:p>
        </w:tc>
        <w:tc>
          <w:tcPr>
            <w:tcW w:w="991" w:type="dxa"/>
            <w:tcBorders>
              <w:top w:val="single" w:sz="6" w:space="0" w:color="000000"/>
              <w:left w:val="single" w:sz="6" w:space="0" w:color="000000"/>
              <w:bottom w:val="single" w:sz="6" w:space="0" w:color="000000"/>
              <w:right w:val="single" w:sz="6" w:space="0" w:color="000000"/>
            </w:tcBorders>
            <w:shd w:val="clear" w:color="auto" w:fill="F2F2F2"/>
          </w:tcPr>
          <w:p w14:paraId="0D4DB7B9" w14:textId="77777777" w:rsidR="00BC11DC" w:rsidRPr="0033469D" w:rsidRDefault="00BC11DC" w:rsidP="00935E16">
            <w:pPr>
              <w:spacing w:before="0" w:after="0"/>
              <w:ind w:firstLine="0"/>
              <w:jc w:val="center"/>
              <w:rPr>
                <w:rFonts w:eastAsia="Times New Roman"/>
                <w:kern w:val="0"/>
                <w:sz w:val="20"/>
                <w:szCs w:val="20"/>
                <w:lang w:val="ro-RO"/>
              </w:rPr>
            </w:pPr>
            <w:r w:rsidRPr="0033469D">
              <w:rPr>
                <w:rFonts w:eastAsia="Times New Roman"/>
                <w:b/>
                <w:kern w:val="0"/>
                <w:sz w:val="20"/>
                <w:szCs w:val="20"/>
                <w:lang w:val="ro-RO"/>
              </w:rPr>
              <w:t>125.000</w:t>
            </w:r>
          </w:p>
        </w:tc>
        <w:tc>
          <w:tcPr>
            <w:tcW w:w="708" w:type="dxa"/>
            <w:tcBorders>
              <w:top w:val="single" w:sz="6" w:space="0" w:color="000000"/>
              <w:left w:val="single" w:sz="6" w:space="0" w:color="000000"/>
              <w:bottom w:val="single" w:sz="6" w:space="0" w:color="000000"/>
              <w:right w:val="single" w:sz="6" w:space="0" w:color="000000"/>
            </w:tcBorders>
            <w:shd w:val="clear" w:color="auto" w:fill="F2F2F2"/>
          </w:tcPr>
          <w:p w14:paraId="798DFB03" w14:textId="77777777" w:rsidR="00BC11DC" w:rsidRPr="0033469D" w:rsidRDefault="00BC11DC" w:rsidP="00935E16">
            <w:pPr>
              <w:spacing w:before="0" w:after="0"/>
              <w:ind w:firstLine="0"/>
              <w:jc w:val="center"/>
              <w:rPr>
                <w:rFonts w:eastAsia="Times New Roman"/>
                <w:kern w:val="0"/>
                <w:sz w:val="20"/>
                <w:szCs w:val="20"/>
                <w:lang w:val="ro-RO"/>
              </w:rPr>
            </w:pPr>
            <w:r w:rsidRPr="0033469D">
              <w:rPr>
                <w:rFonts w:eastAsia="Times New Roman"/>
                <w:b/>
                <w:kern w:val="0"/>
                <w:sz w:val="20"/>
                <w:szCs w:val="20"/>
                <w:lang w:val="ro-RO"/>
              </w:rPr>
              <w:t>35,17</w:t>
            </w:r>
          </w:p>
        </w:tc>
        <w:tc>
          <w:tcPr>
            <w:tcW w:w="2833" w:type="dxa"/>
            <w:gridSpan w:val="2"/>
            <w:tcBorders>
              <w:top w:val="single" w:sz="6" w:space="0" w:color="000000"/>
              <w:left w:val="single" w:sz="6" w:space="0" w:color="000000"/>
              <w:bottom w:val="single" w:sz="6" w:space="0" w:color="000000"/>
              <w:right w:val="single" w:sz="6" w:space="0" w:color="000000"/>
            </w:tcBorders>
          </w:tcPr>
          <w:p w14:paraId="56E394E1" w14:textId="77777777" w:rsidR="00BC11DC" w:rsidRPr="0033469D" w:rsidRDefault="00BC11DC" w:rsidP="00935E16">
            <w:pPr>
              <w:pBdr>
                <w:top w:val="nil"/>
                <w:left w:val="nil"/>
                <w:bottom w:val="nil"/>
                <w:right w:val="nil"/>
                <w:between w:val="nil"/>
              </w:pBdr>
              <w:spacing w:before="0" w:after="0"/>
              <w:ind w:firstLine="0"/>
              <w:jc w:val="center"/>
              <w:rPr>
                <w:rFonts w:eastAsia="Times New Roman"/>
                <w:color w:val="000000"/>
                <w:kern w:val="0"/>
                <w:sz w:val="20"/>
                <w:szCs w:val="20"/>
                <w:lang w:val="ro-RO"/>
              </w:rPr>
            </w:pPr>
          </w:p>
        </w:tc>
      </w:tr>
      <w:tr w:rsidR="00BC11DC" w:rsidRPr="00BC11DC" w14:paraId="1B545F7D" w14:textId="77777777" w:rsidTr="00583732">
        <w:tc>
          <w:tcPr>
            <w:tcW w:w="3352" w:type="dxa"/>
            <w:gridSpan w:val="3"/>
            <w:tcBorders>
              <w:right w:val="single" w:sz="6" w:space="0" w:color="000000"/>
            </w:tcBorders>
          </w:tcPr>
          <w:p w14:paraId="0F194E56" w14:textId="77777777" w:rsidR="00BC11DC" w:rsidRPr="0033469D" w:rsidRDefault="00BC11DC" w:rsidP="00935E16">
            <w:pPr>
              <w:spacing w:before="0" w:after="0"/>
              <w:ind w:firstLine="0"/>
              <w:jc w:val="center"/>
              <w:rPr>
                <w:rFonts w:eastAsia="Times New Roman"/>
                <w:b/>
                <w:kern w:val="0"/>
                <w:sz w:val="20"/>
                <w:szCs w:val="20"/>
                <w:lang w:val="ro-RO"/>
              </w:rPr>
            </w:pPr>
            <w:r w:rsidRPr="0033469D">
              <w:rPr>
                <w:rFonts w:eastAsia="Times New Roman"/>
                <w:b/>
                <w:kern w:val="0"/>
                <w:sz w:val="20"/>
                <w:szCs w:val="20"/>
                <w:lang w:val="ro-RO"/>
              </w:rPr>
              <w:t>Total zonă costieră</w:t>
            </w:r>
          </w:p>
        </w:tc>
        <w:tc>
          <w:tcPr>
            <w:tcW w:w="901" w:type="dxa"/>
            <w:tcBorders>
              <w:top w:val="single" w:sz="6" w:space="0" w:color="000000"/>
              <w:left w:val="single" w:sz="6" w:space="0" w:color="000000"/>
              <w:bottom w:val="single" w:sz="6" w:space="0" w:color="000000"/>
              <w:right w:val="single" w:sz="6" w:space="0" w:color="000000"/>
            </w:tcBorders>
            <w:shd w:val="clear" w:color="auto" w:fill="F2F2F2"/>
          </w:tcPr>
          <w:p w14:paraId="58DEEAEB" w14:textId="77777777" w:rsidR="00BC11DC" w:rsidRPr="0033469D" w:rsidRDefault="00BC11DC" w:rsidP="00935E16">
            <w:pPr>
              <w:spacing w:before="0" w:after="0"/>
              <w:ind w:firstLine="0"/>
              <w:jc w:val="center"/>
              <w:rPr>
                <w:rFonts w:eastAsia="Times New Roman"/>
                <w:b/>
                <w:kern w:val="0"/>
                <w:sz w:val="20"/>
                <w:szCs w:val="20"/>
                <w:lang w:val="ro-RO"/>
              </w:rPr>
            </w:pPr>
            <w:r w:rsidRPr="0033469D">
              <w:rPr>
                <w:rFonts w:eastAsia="Times New Roman"/>
                <w:b/>
                <w:kern w:val="0"/>
                <w:sz w:val="20"/>
                <w:szCs w:val="20"/>
                <w:lang w:val="ro-RO"/>
              </w:rPr>
              <w:t>400.828</w:t>
            </w:r>
          </w:p>
        </w:tc>
        <w:tc>
          <w:tcPr>
            <w:tcW w:w="708" w:type="dxa"/>
            <w:tcBorders>
              <w:top w:val="single" w:sz="6" w:space="0" w:color="000000"/>
              <w:left w:val="single" w:sz="6" w:space="0" w:color="000000"/>
              <w:bottom w:val="single" w:sz="6" w:space="0" w:color="000000"/>
              <w:right w:val="single" w:sz="6" w:space="0" w:color="000000"/>
            </w:tcBorders>
            <w:shd w:val="clear" w:color="auto" w:fill="F2F2F2"/>
          </w:tcPr>
          <w:p w14:paraId="7AE7239E" w14:textId="77777777" w:rsidR="00BC11DC" w:rsidRPr="0033469D" w:rsidRDefault="00BC11DC" w:rsidP="00935E16">
            <w:pPr>
              <w:spacing w:before="0" w:after="0"/>
              <w:ind w:firstLine="0"/>
              <w:jc w:val="center"/>
              <w:rPr>
                <w:rFonts w:eastAsia="Times New Roman"/>
                <w:b/>
                <w:kern w:val="0"/>
                <w:sz w:val="20"/>
                <w:szCs w:val="20"/>
                <w:lang w:val="ro-RO"/>
              </w:rPr>
            </w:pPr>
            <w:r w:rsidRPr="0033469D">
              <w:rPr>
                <w:rFonts w:eastAsia="Times New Roman"/>
                <w:b/>
                <w:kern w:val="0"/>
                <w:sz w:val="20"/>
                <w:szCs w:val="20"/>
                <w:lang w:val="ro-RO"/>
              </w:rPr>
              <w:t>100,0</w:t>
            </w:r>
          </w:p>
        </w:tc>
        <w:tc>
          <w:tcPr>
            <w:tcW w:w="991" w:type="dxa"/>
            <w:tcBorders>
              <w:top w:val="single" w:sz="6" w:space="0" w:color="000000"/>
              <w:left w:val="single" w:sz="6" w:space="0" w:color="000000"/>
              <w:bottom w:val="single" w:sz="6" w:space="0" w:color="000000"/>
              <w:right w:val="single" w:sz="6" w:space="0" w:color="000000"/>
            </w:tcBorders>
            <w:shd w:val="clear" w:color="auto" w:fill="F2F2F2"/>
          </w:tcPr>
          <w:p w14:paraId="104E53F8" w14:textId="77777777" w:rsidR="00BC11DC" w:rsidRPr="0033469D" w:rsidRDefault="00BC11DC" w:rsidP="00935E16">
            <w:pPr>
              <w:spacing w:before="0" w:after="0"/>
              <w:ind w:firstLine="0"/>
              <w:jc w:val="center"/>
              <w:rPr>
                <w:rFonts w:eastAsia="Times New Roman"/>
                <w:b/>
                <w:kern w:val="0"/>
                <w:sz w:val="20"/>
                <w:szCs w:val="20"/>
                <w:lang w:val="ro-RO"/>
              </w:rPr>
            </w:pPr>
            <w:r w:rsidRPr="0033469D">
              <w:rPr>
                <w:rFonts w:eastAsia="Times New Roman"/>
                <w:b/>
                <w:kern w:val="0"/>
                <w:sz w:val="20"/>
                <w:szCs w:val="20"/>
                <w:lang w:val="ro-RO"/>
              </w:rPr>
              <w:t>355.447</w:t>
            </w:r>
          </w:p>
        </w:tc>
        <w:tc>
          <w:tcPr>
            <w:tcW w:w="708" w:type="dxa"/>
            <w:tcBorders>
              <w:top w:val="single" w:sz="6" w:space="0" w:color="000000"/>
              <w:left w:val="single" w:sz="6" w:space="0" w:color="000000"/>
              <w:bottom w:val="single" w:sz="6" w:space="0" w:color="000000"/>
              <w:right w:val="single" w:sz="6" w:space="0" w:color="000000"/>
            </w:tcBorders>
            <w:shd w:val="clear" w:color="auto" w:fill="F2F2F2"/>
          </w:tcPr>
          <w:p w14:paraId="27F81667" w14:textId="77777777" w:rsidR="00BC11DC" w:rsidRPr="0033469D" w:rsidRDefault="00BC11DC" w:rsidP="00935E16">
            <w:pPr>
              <w:spacing w:before="0" w:after="0"/>
              <w:ind w:firstLine="0"/>
              <w:jc w:val="center"/>
              <w:rPr>
                <w:rFonts w:eastAsia="Times New Roman"/>
                <w:b/>
                <w:kern w:val="0"/>
                <w:sz w:val="20"/>
                <w:szCs w:val="20"/>
                <w:lang w:val="ro-RO"/>
              </w:rPr>
            </w:pPr>
            <w:r w:rsidRPr="0033469D">
              <w:rPr>
                <w:rFonts w:eastAsia="Times New Roman"/>
                <w:b/>
                <w:kern w:val="0"/>
                <w:sz w:val="20"/>
                <w:szCs w:val="20"/>
                <w:lang w:val="ro-RO"/>
              </w:rPr>
              <w:t>100,0</w:t>
            </w:r>
          </w:p>
        </w:tc>
        <w:tc>
          <w:tcPr>
            <w:tcW w:w="2833" w:type="dxa"/>
            <w:gridSpan w:val="2"/>
            <w:tcBorders>
              <w:top w:val="single" w:sz="6" w:space="0" w:color="000000"/>
              <w:left w:val="single" w:sz="6" w:space="0" w:color="000000"/>
              <w:bottom w:val="single" w:sz="6" w:space="0" w:color="000000"/>
              <w:right w:val="single" w:sz="6" w:space="0" w:color="000000"/>
            </w:tcBorders>
          </w:tcPr>
          <w:p w14:paraId="738047EE" w14:textId="77777777" w:rsidR="00BC11DC" w:rsidRPr="0033469D" w:rsidRDefault="00BC11DC" w:rsidP="00935E16">
            <w:pPr>
              <w:pBdr>
                <w:top w:val="nil"/>
                <w:left w:val="nil"/>
                <w:bottom w:val="nil"/>
                <w:right w:val="nil"/>
                <w:between w:val="nil"/>
              </w:pBdr>
              <w:spacing w:before="0" w:after="0"/>
              <w:ind w:firstLine="0"/>
              <w:jc w:val="center"/>
              <w:rPr>
                <w:rFonts w:eastAsia="Times New Roman"/>
                <w:color w:val="000000"/>
                <w:kern w:val="0"/>
                <w:sz w:val="20"/>
                <w:szCs w:val="20"/>
                <w:lang w:val="ro-RO"/>
              </w:rPr>
            </w:pPr>
          </w:p>
        </w:tc>
      </w:tr>
    </w:tbl>
    <w:p w14:paraId="0EDFF2CA" w14:textId="77777777" w:rsidR="008C6A37" w:rsidRPr="008C6A37" w:rsidRDefault="008C6A37" w:rsidP="00BC11DC">
      <w:pPr>
        <w:ind w:firstLine="567"/>
        <w:rPr>
          <w:b/>
          <w:i/>
          <w:lang w:val="ro-RO"/>
        </w:rPr>
      </w:pPr>
      <w:r w:rsidRPr="008C6A37">
        <w:rPr>
          <w:b/>
          <w:i/>
          <w:lang w:val="ro-RO"/>
        </w:rPr>
        <w:t>Surse: date RPL 2021, Tempo on-line, Lege nr. 290/2018 pentru modificarea și completarea Legii nr. 2/1968 privind organizarea administrativă a teritoriului României și Lege nr. 351 din 6 iulie 2001 privind aprobarea PATN - Secţiunea a IV-a Rețeaua de localităţi.</w:t>
      </w:r>
    </w:p>
    <w:p w14:paraId="4071E196" w14:textId="77777777" w:rsidR="008C6A37" w:rsidRPr="008C6A37" w:rsidRDefault="008C6A37" w:rsidP="00BC11DC">
      <w:pPr>
        <w:ind w:firstLine="567"/>
        <w:rPr>
          <w:b/>
          <w:i/>
          <w:lang w:val="ro-RO"/>
        </w:rPr>
      </w:pPr>
    </w:p>
    <w:p w14:paraId="6BE805CA" w14:textId="77777777" w:rsidR="008C6A37" w:rsidRPr="008C6A37" w:rsidRDefault="006377CA" w:rsidP="00BC11DC">
      <w:pPr>
        <w:ind w:firstLine="567"/>
        <w:rPr>
          <w:b/>
          <w:lang w:val="ro-RO"/>
        </w:rPr>
      </w:pPr>
      <w:r w:rsidRPr="008C6A37">
        <w:rPr>
          <w:b/>
          <w:noProof/>
          <w:lang w:val="ro-RO" w:eastAsia="ro-RO"/>
        </w:rPr>
        <w:lastRenderedPageBreak/>
        <w:drawing>
          <wp:inline distT="0" distB="0" distL="0" distR="0" wp14:anchorId="49A0B883" wp14:editId="35D353A8">
            <wp:extent cx="5219700" cy="6934200"/>
            <wp:effectExtent l="0" t="0" r="0" b="0"/>
            <wp:docPr id="1" name="image2.jpg" descr="https://lh6.googleusercontent.com/pCfb53ES1x2fuivuungceqGNieTFokfhszQYl1-cR5cMAWsgM53Bzzv8IzVucjBfSMq1Z0RauV5O6G_zWIG1jqeEkhj6eeBWzeeREir-dE4BNwWQx68RijgWUwOV0UYDw20KRtyOo2QInwtL9FwbG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descr="https://lh6.googleusercontent.com/pCfb53ES1x2fuivuungceqGNieTFokfhszQYl1-cR5cMAWsgM53Bzzv8IzVucjBfSMq1Z0RauV5O6G_zWIG1jqeEkhj6eeBWzeeREir-dE4BNwWQx68RijgWUwOV0UYDw20KRtyOo2QInwtL9FwbGtc"/>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19700" cy="6934200"/>
                    </a:xfrm>
                    <a:prstGeom prst="rect">
                      <a:avLst/>
                    </a:prstGeom>
                    <a:noFill/>
                    <a:ln>
                      <a:noFill/>
                    </a:ln>
                  </pic:spPr>
                </pic:pic>
              </a:graphicData>
            </a:graphic>
          </wp:inline>
        </w:drawing>
      </w:r>
    </w:p>
    <w:p w14:paraId="3F330F78" w14:textId="5F201ABF" w:rsidR="008C6A37" w:rsidRPr="008C6A37" w:rsidRDefault="008C6A37" w:rsidP="00BC11DC">
      <w:pPr>
        <w:ind w:firstLine="567"/>
        <w:jc w:val="center"/>
        <w:rPr>
          <w:b/>
          <w:lang w:val="ro-RO"/>
        </w:rPr>
      </w:pPr>
      <w:r w:rsidRPr="008C6A37">
        <w:rPr>
          <w:b/>
          <w:lang w:val="ro-RO"/>
        </w:rPr>
        <w:t xml:space="preserve">Fig. </w:t>
      </w:r>
      <w:r w:rsidR="00940876">
        <w:rPr>
          <w:b/>
          <w:lang w:val="ro-RO"/>
        </w:rPr>
        <w:t>1.</w:t>
      </w:r>
      <w:r w:rsidRPr="008C6A37">
        <w:rPr>
          <w:b/>
          <w:lang w:val="ro-RO"/>
        </w:rPr>
        <w:t>3.1 Harta zonei costiere</w:t>
      </w:r>
    </w:p>
    <w:p w14:paraId="24E53674" w14:textId="77777777" w:rsidR="008C6A37" w:rsidRPr="008C6A37" w:rsidRDefault="008915D2" w:rsidP="00BC11DC">
      <w:pPr>
        <w:ind w:firstLine="567"/>
        <w:rPr>
          <w:b/>
          <w:lang w:val="ro-RO"/>
        </w:rPr>
      </w:pPr>
      <w:r>
        <w:rPr>
          <w:b/>
          <w:lang w:val="ro-RO"/>
        </w:rPr>
        <w:br w:type="page"/>
      </w:r>
    </w:p>
    <w:p w14:paraId="0866BB0A" w14:textId="6DAEEB60" w:rsidR="008C6A37" w:rsidRPr="00940876" w:rsidRDefault="008C6A37" w:rsidP="005D2CE5">
      <w:pPr>
        <w:pStyle w:val="Heading3"/>
      </w:pPr>
      <w:r w:rsidRPr="00940876">
        <w:lastRenderedPageBreak/>
        <w:t xml:space="preserve"> </w:t>
      </w:r>
      <w:bookmarkStart w:id="8" w:name="_Toc150247008"/>
      <w:bookmarkStart w:id="9" w:name="_Toc169625095"/>
      <w:r w:rsidR="00940876" w:rsidRPr="00940876">
        <w:t>1.</w:t>
      </w:r>
      <w:r w:rsidR="008915D2" w:rsidRPr="00940876">
        <w:t xml:space="preserve">3.1. </w:t>
      </w:r>
      <w:r w:rsidRPr="00940876">
        <w:t xml:space="preserve">Cadrul </w:t>
      </w:r>
      <w:r w:rsidRPr="005D2CE5">
        <w:t>natural</w:t>
      </w:r>
      <w:bookmarkEnd w:id="8"/>
      <w:bookmarkEnd w:id="9"/>
    </w:p>
    <w:p w14:paraId="68221944" w14:textId="77777777" w:rsidR="008C6A37" w:rsidRPr="008C6A37" w:rsidRDefault="008C6A37" w:rsidP="00BC11DC">
      <w:pPr>
        <w:ind w:firstLine="567"/>
        <w:rPr>
          <w:b/>
          <w:i/>
          <w:lang w:val="ro-RO"/>
        </w:rPr>
      </w:pPr>
      <w:r w:rsidRPr="008C6A37">
        <w:rPr>
          <w:b/>
          <w:i/>
          <w:lang w:val="ro-RO"/>
        </w:rPr>
        <w:t>Relief și Climă</w:t>
      </w:r>
    </w:p>
    <w:p w14:paraId="7F302D1A" w14:textId="77777777" w:rsidR="008C6A37" w:rsidRPr="008C6A37" w:rsidRDefault="008C6A37" w:rsidP="00BC11DC">
      <w:pPr>
        <w:ind w:firstLine="567"/>
        <w:rPr>
          <w:lang w:val="ro-RO"/>
        </w:rPr>
      </w:pPr>
      <w:r w:rsidRPr="008C6A37">
        <w:rPr>
          <w:lang w:val="ro-RO"/>
        </w:rPr>
        <w:t xml:space="preserve">Morfologia și relieful zonei costiere sunt diferite de-a lungul celor aproximativ 245 km dintre Golful Musura și Vama Veche și sunt rezultatul unei geneze și a unei evoluții diferite, materializate în procese și o dinamică diferite. Astfel, Unitatea Nordică, situată între Golful Musura și Capul Midia și având o lungime de circa 165 km, este preponderent naturală și înglobează țărmul Deltei Dunării, caracterizat prin prezența plajelor nisipoase, pe alocuri a dunelor litorale și a conurilor de rever, a barierelor litorale, a spiturilor și insulelor barieră, a gurilor de vărsare ale Dunării (cu morfologia specifică), a câmpurilor de țărm formate din grinduri maritime despărțite de suprafețe lacustre, japșe, canale sau suprafețe mlăștinoase acoperite cu stuf, precum și a sistemelor de bare și șanțuri în domeniul submers. </w:t>
      </w:r>
    </w:p>
    <w:p w14:paraId="763F31C2" w14:textId="77777777" w:rsidR="008C6A37" w:rsidRPr="008C6A37" w:rsidRDefault="008C6A37" w:rsidP="00BC11DC">
      <w:pPr>
        <w:ind w:firstLine="567"/>
        <w:rPr>
          <w:lang w:val="ro-RO"/>
        </w:rPr>
      </w:pPr>
      <w:r w:rsidRPr="008C6A37">
        <w:rPr>
          <w:lang w:val="ro-RO"/>
        </w:rPr>
        <w:t>Unitatea Sudică, întinsă între Capul Midia și Vama Veche, pe o lungime de circa 80 km, este puternic antropizată, morfologia coastei fiind influențată de prezența diferitelor tipuri de infrastructuri socio-economice sau structuri de protecție costieră. Relieful este reprezentat prin plaje artificiale și, pe alocuri, naturale, faleze tăiate în loess, platforme de țărm tăiate în calcar, bariere litorale și uneori sisteme de bare și șanțuri nisipoase sau platforme calcaroase submerse.</w:t>
      </w:r>
    </w:p>
    <w:p w14:paraId="7164CE4B" w14:textId="77777777" w:rsidR="008C6A37" w:rsidRPr="008C6A37" w:rsidRDefault="008C6A37" w:rsidP="00BC11DC">
      <w:pPr>
        <w:ind w:firstLine="567"/>
        <w:rPr>
          <w:lang w:val="ro-RO"/>
        </w:rPr>
      </w:pPr>
      <w:r w:rsidRPr="008C6A37">
        <w:rPr>
          <w:lang w:val="ro-RO"/>
        </w:rPr>
        <w:t>Clima zonei studiate este temperat-continentală, cu influențe cauzate de situarea acesteia la interfața dintre suprafața continentală a Dobrogei și Marea Neagră. Conform datelor furnizate de ANM pentru perioada 1961 - 2021, temperaturile medii anuale în zona costieră (cuprinse între 11,8°C la Sulina și 12,1°C la Constanța) sunt superioare mediei pe ţară. Mediile lunare multianuale sunt cuprinse între 20,1°C și 23,0°C, în sezonul cald (iunie - august), și între 0,6°C și 3,6°C, în sezonul rece (decembrie - februarie). Cantitățile medii anuale de precipitații înregistrate în perioada 1991-2020 sunt cuprinse între 240-494 mm (sursa: ANM).</w:t>
      </w:r>
    </w:p>
    <w:p w14:paraId="434B05F6" w14:textId="77777777" w:rsidR="008C6A37" w:rsidRPr="008C6A37" w:rsidRDefault="008C6A37" w:rsidP="00BC11DC">
      <w:pPr>
        <w:ind w:firstLine="567"/>
        <w:rPr>
          <w:lang w:val="ro-RO"/>
        </w:rPr>
      </w:pPr>
      <w:r w:rsidRPr="008C6A37">
        <w:rPr>
          <w:lang w:val="ro-RO"/>
        </w:rPr>
        <w:t xml:space="preserve">Zona costieră este caracterizată prin viteze mari ale vântului datorită conexiunilor complexe stabilite între traiectoriile furtunilor venite din Atlantic, activitatea de ciclogeneza din bazinul Mării Mediterane și circulația atmosferică din bazinul Mării Negre. Un alt motiv al acestor valori mari ale vitezei vântului îl reprezintă și rugozitatea foarte scăzută a suprafeței apei. Cele mai puternice vânturi se înregistrează iarna (decembrie - februarie), preponderent din sector N și NE (Sulina) și N și V (Constanța și Mangalia). </w:t>
      </w:r>
    </w:p>
    <w:p w14:paraId="30308BCE" w14:textId="77777777" w:rsidR="008C6A37" w:rsidRPr="008C6A37" w:rsidRDefault="008C6A37" w:rsidP="00BC11DC">
      <w:pPr>
        <w:ind w:firstLine="567"/>
        <w:rPr>
          <w:b/>
          <w:i/>
          <w:lang w:val="ro-RO"/>
        </w:rPr>
      </w:pPr>
      <w:r w:rsidRPr="008C6A37">
        <w:rPr>
          <w:b/>
          <w:i/>
          <w:lang w:val="ro-RO"/>
        </w:rPr>
        <w:t>Geologia și dinamica țărmului</w:t>
      </w:r>
    </w:p>
    <w:p w14:paraId="517024B8" w14:textId="77777777" w:rsidR="008C6A37" w:rsidRPr="008C6A37" w:rsidRDefault="008C6A37" w:rsidP="00BC11DC">
      <w:pPr>
        <w:ind w:firstLine="567"/>
        <w:rPr>
          <w:lang w:val="ro-RO"/>
        </w:rPr>
      </w:pPr>
      <w:r w:rsidRPr="008C6A37">
        <w:rPr>
          <w:lang w:val="ro-RO"/>
        </w:rPr>
        <w:t>Litoralul  românesc al Mării Negre este împărţit în două unităţi cu caracteristici geomorfologice, geologice şi sedimentologice distincte (Stănică și colab., 2013). În sectorul nordic, zona litorală românească reprezintă frontul Deltei Dunării și a complexului Razim-Sinoe. Depozitele din zona litorală, ca și cele deltaice și lacustre din vecinătatea țărmului aparțin Cuaternarului. Geomorfologia actuală a Deltei Dunării este rezultatul interacțiunii permanente dintre fluviu și mare, din Holocen până în prezent (Panin, 1996). De la Capul Midia spre sud, până în Bulgaria, zona litorală  este alcătuită din faleze (loess, argila, calcar) separate de cordoane litorale nisipoase. Falezele pot avea la bază mici plaje buzunar.</w:t>
      </w:r>
    </w:p>
    <w:p w14:paraId="563D7A3D" w14:textId="77777777" w:rsidR="008C6A37" w:rsidRPr="008C6A37" w:rsidRDefault="008C6A37" w:rsidP="00BC11DC">
      <w:pPr>
        <w:ind w:firstLine="567"/>
        <w:rPr>
          <w:lang w:val="ro-RO"/>
        </w:rPr>
      </w:pPr>
      <w:r w:rsidRPr="008C6A37">
        <w:rPr>
          <w:lang w:val="ro-RO"/>
        </w:rPr>
        <w:t xml:space="preserve">Din punct de vedere al dinamicii costiere cele mai erozive sectoare din cadrul Deltei Dunării sunt reprezentate de partea centrală a țărmului Sulina–Sfântu Gheorghe și de țărmul </w:t>
      </w:r>
      <w:r w:rsidRPr="008C6A37">
        <w:rPr>
          <w:lang w:val="ro-RO"/>
        </w:rPr>
        <w:lastRenderedPageBreak/>
        <w:t xml:space="preserve">Zătoane (Perișor Nord). Cele mai acumulative sectoare din cadrul Deltei Dunării sunt reprezentate de plaja Sulina și de sectoarele Periteașca și Cap Midia. Dinamica recentă (2011–2022) a sectorului sudic al țărmului românesc al Mării Negre este marcată de lucrările de combatere a eroziunii costiere care constau în construcția diferitelor diguri de protecție și în alimentarea cu sediment a plajelor. </w:t>
      </w:r>
    </w:p>
    <w:p w14:paraId="0F87565F" w14:textId="77777777" w:rsidR="008C6A37" w:rsidRPr="008C6A37" w:rsidRDefault="008C6A37" w:rsidP="00BC11DC">
      <w:pPr>
        <w:ind w:firstLine="567"/>
        <w:rPr>
          <w:b/>
          <w:i/>
          <w:lang w:val="ro-RO"/>
        </w:rPr>
      </w:pPr>
      <w:r w:rsidRPr="008C6A37">
        <w:rPr>
          <w:b/>
          <w:i/>
          <w:lang w:val="ro-RO"/>
        </w:rPr>
        <w:t>Condiții hidrografice</w:t>
      </w:r>
    </w:p>
    <w:p w14:paraId="560936AE" w14:textId="77777777" w:rsidR="008C6A37" w:rsidRPr="008C6A37" w:rsidRDefault="008C6A37" w:rsidP="00BC11DC">
      <w:pPr>
        <w:ind w:firstLine="567"/>
        <w:rPr>
          <w:lang w:val="ro-RO"/>
        </w:rPr>
      </w:pPr>
      <w:r w:rsidRPr="008C6A37">
        <w:rPr>
          <w:lang w:val="ro-RO"/>
        </w:rPr>
        <w:t>Apele curgătoare sunt reprezentate în zona deltei de brațele principale ale Dunării, canale cu circulație activă a apei, canale şi gârle din zone naturale cu regim liber și canale şi gârle din interiorul incintelor amenajate cu circulaţia apei controlată sau fără circulaţie a apei (ex. incinta Murighiol).</w:t>
      </w:r>
    </w:p>
    <w:p w14:paraId="3A838595" w14:textId="77777777" w:rsidR="008C6A37" w:rsidRPr="008C6A37" w:rsidRDefault="008C6A37" w:rsidP="00BC11DC">
      <w:pPr>
        <w:ind w:firstLine="567"/>
        <w:rPr>
          <w:lang w:val="ro-RO"/>
        </w:rPr>
      </w:pPr>
      <w:r w:rsidRPr="008C6A37">
        <w:rPr>
          <w:lang w:val="ro-RO"/>
        </w:rPr>
        <w:t xml:space="preserve"> Brațul Chilia este cel mai tânăr și mai lung (120 km) și transportă cea mai mare cantitate de apă. În zona costieră, brațul Chilia este localizat începând din dreptul localităţii Periprava, până la gura de vărsare a brațului Musura. Brațul Sulina, localizat în zona de studiu începând de la Mila 10 până la vărsarea în mare, este deversorul central al Dunării și este singurul braț navigabil, cu o lungime de 83,8 km. Brațul Sfântul Gheorghe, localizat în zona de studiu începând, aproximativ, din dreptul localităţii Murighiol până la vărsare, este cel mai sudic și mai vechi braț din Delta Dunării, cu o lungime de 108 km, suferind și el, de-a lungul timpului, modificări prin rectificarea meandrelor sale (Tiron, 2010). Înainte de vărsare, din brațul Sfântu Gheorghe se desprinde un alt braț, pe partea dreaptă, care, la rândul său, se bifurcă în Gârla de Mijloc și Gârla Turcească, ambele debușând într-un golf - Meleaua Sacalin.</w:t>
      </w:r>
    </w:p>
    <w:p w14:paraId="62A86CD5" w14:textId="77777777" w:rsidR="008C6A37" w:rsidRPr="008C6A37" w:rsidRDefault="008C6A37" w:rsidP="00BC11DC">
      <w:pPr>
        <w:ind w:firstLine="567"/>
        <w:rPr>
          <w:lang w:val="ro-RO"/>
        </w:rPr>
      </w:pPr>
      <w:r w:rsidRPr="008C6A37">
        <w:rPr>
          <w:lang w:val="ro-RO"/>
        </w:rPr>
        <w:t>Canalele cu circulaţie activă a apei, sunt reprezentate de Dunavăţ, Dranov, Lipoveni, etc., în timp ce canalele și gârlele din zone naturale cu regim liber sunt reprezentate, printre altele, de Ivancea, Crasnicol, Tărâţă-Belciug, Lejai, Palade, Buhaz-Zăton, Vătafu-Împuţita, canalul Japşa Vătafu, Gârla Macovei, Perişor, centura Lipoveni-Dranov, canal între canalele Dunavăţ şi Dranov paralel cu brațul Sfântul Gheorghe.</w:t>
      </w:r>
    </w:p>
    <w:p w14:paraId="7264210F" w14:textId="77777777" w:rsidR="008C6A37" w:rsidRPr="008C6A37" w:rsidRDefault="008C6A37" w:rsidP="00BC11DC">
      <w:pPr>
        <w:ind w:firstLine="567"/>
        <w:rPr>
          <w:lang w:val="ro-RO"/>
        </w:rPr>
      </w:pPr>
      <w:r w:rsidRPr="008C6A37">
        <w:rPr>
          <w:lang w:val="ro-RO"/>
        </w:rPr>
        <w:t xml:space="preserve">În ceea ce privește râurile, marea lor majoritate au văi înguste şi caracter intermitent şi se termină în lacuri de tip liman. Cursurile de apă mai importante din zona de studiu sunt: râul Casimcea care se varsă în lacul Taşaul şi canalul Carasu în lungul căruia s-a realizat cea mai mare parte a canalului Dunăre - Marea Neagră. </w:t>
      </w:r>
    </w:p>
    <w:p w14:paraId="06553C0E" w14:textId="77777777" w:rsidR="008C6A37" w:rsidRPr="008C6A37" w:rsidRDefault="008C6A37" w:rsidP="00BC11DC">
      <w:pPr>
        <w:ind w:firstLine="567"/>
        <w:rPr>
          <w:lang w:val="ro-RO"/>
        </w:rPr>
      </w:pPr>
      <w:r w:rsidRPr="008C6A37">
        <w:rPr>
          <w:lang w:val="ro-RO"/>
        </w:rPr>
        <w:t>Apele stagnante includ lacurile, apele costiere, lagune conectate la mare şi golfurile parţial închise. În zona deltei şi a complexului Razim-Sinoe cele mai importante sunt complexul acvatic Roşu-Puiu, complexul acvatic Gorgova-Uzlina; Complexul acvatic Dunavăţ-Dranov; lacul Răducului și complexul acvatic Razim-Sinoe cu lacurile Razim, Sinoe, Golovița, Zmeica Istria, Tuzla și Nuntași. Cele mai importante sisteme hidrografice din sudul zonei costiere sunt Tașaul, Corbu, Siutghiol, Tăbăcăriei, Agigea, Techirghiol, Tatlageac și  limanul Mangalia.</w:t>
      </w:r>
    </w:p>
    <w:p w14:paraId="0EEDA574" w14:textId="77777777" w:rsidR="008C6A37" w:rsidRPr="008C6A37" w:rsidRDefault="008C6A37" w:rsidP="00BC11DC">
      <w:pPr>
        <w:ind w:firstLine="567"/>
        <w:rPr>
          <w:lang w:val="ro-RO"/>
        </w:rPr>
      </w:pPr>
      <w:r w:rsidRPr="008C6A37">
        <w:rPr>
          <w:lang w:val="ro-RO"/>
        </w:rPr>
        <w:t xml:space="preserve">Apele marine, exceptând Golful Musura şi Meleaua Sacalin (golfuri parţial închise) corespund platformei continentale românești. Partea marină a zonei costiere cuprinde apele teritoriale, de la linia de bază pâna la 12 mile marine în larg. </w:t>
      </w:r>
    </w:p>
    <w:p w14:paraId="4DF107BD" w14:textId="0E485DCA" w:rsidR="008C6A37" w:rsidRPr="00940876" w:rsidRDefault="00940876" w:rsidP="005D2CE5">
      <w:pPr>
        <w:pStyle w:val="Heading3"/>
      </w:pPr>
      <w:bookmarkStart w:id="10" w:name="_Toc150247009"/>
      <w:bookmarkStart w:id="11" w:name="_Toc169625096"/>
      <w:r w:rsidRPr="00940876">
        <w:lastRenderedPageBreak/>
        <w:t>1.</w:t>
      </w:r>
      <w:r w:rsidR="008915D2" w:rsidRPr="00940876">
        <w:t xml:space="preserve">3.2. </w:t>
      </w:r>
      <w:r w:rsidR="008C6A37" w:rsidRPr="00940876">
        <w:t xml:space="preserve">Situația actuală a </w:t>
      </w:r>
      <w:r w:rsidR="008C6A37" w:rsidRPr="005D2CE5">
        <w:t>mediului</w:t>
      </w:r>
      <w:r w:rsidR="008C6A37" w:rsidRPr="00940876">
        <w:t>, probleme și nevoi identificate</w:t>
      </w:r>
      <w:bookmarkEnd w:id="10"/>
      <w:bookmarkEnd w:id="11"/>
    </w:p>
    <w:p w14:paraId="32C2CB22" w14:textId="77777777" w:rsidR="008C6A37" w:rsidRPr="008C6A37" w:rsidRDefault="008C6A37" w:rsidP="00BC11DC">
      <w:pPr>
        <w:ind w:firstLine="567"/>
        <w:rPr>
          <w:b/>
          <w:i/>
          <w:lang w:val="ro-RO"/>
        </w:rPr>
      </w:pPr>
      <w:r w:rsidRPr="008C6A37">
        <w:rPr>
          <w:b/>
          <w:i/>
          <w:lang w:val="ro-RO"/>
        </w:rPr>
        <w:t>Calitatea aerului, apei și solurilor</w:t>
      </w:r>
    </w:p>
    <w:p w14:paraId="75F79949" w14:textId="77777777" w:rsidR="008C6A37" w:rsidRPr="008C6A37" w:rsidRDefault="008C6A37" w:rsidP="00BC11DC">
      <w:pPr>
        <w:ind w:firstLine="567"/>
        <w:rPr>
          <w:i/>
          <w:lang w:val="ro-RO"/>
        </w:rPr>
      </w:pPr>
      <w:r w:rsidRPr="008C6A37">
        <w:rPr>
          <w:i/>
          <w:lang w:val="ro-RO"/>
        </w:rPr>
        <w:t>Aer</w:t>
      </w:r>
    </w:p>
    <w:p w14:paraId="36C07FBA" w14:textId="6D897AF2" w:rsidR="008C6A37" w:rsidRPr="008C6A37" w:rsidRDefault="008C6A37" w:rsidP="00BC11DC">
      <w:pPr>
        <w:ind w:firstLine="567"/>
        <w:rPr>
          <w:lang w:val="ro-RO"/>
        </w:rPr>
      </w:pPr>
      <w:r w:rsidRPr="008C6A37">
        <w:rPr>
          <w:lang w:val="ro-RO"/>
        </w:rPr>
        <w:t>Datele furnizate de AJPM Tulcea și Constanța arată valori medii anuale ale poluanţilor atmosferici monitorizaţi, prevăzuţi în legislaţia română (CO, NO</w:t>
      </w:r>
      <w:r w:rsidRPr="008C6A37">
        <w:rPr>
          <w:vertAlign w:val="subscript"/>
          <w:lang w:val="ro-RO"/>
        </w:rPr>
        <w:t>2</w:t>
      </w:r>
      <w:r w:rsidRPr="008C6A37">
        <w:rPr>
          <w:lang w:val="ro-RO"/>
        </w:rPr>
        <w:t>, SO</w:t>
      </w:r>
      <w:r w:rsidRPr="008C6A37">
        <w:rPr>
          <w:vertAlign w:val="subscript"/>
          <w:lang w:val="ro-RO"/>
        </w:rPr>
        <w:t>2</w:t>
      </w:r>
      <w:r w:rsidRPr="008C6A37">
        <w:rPr>
          <w:lang w:val="ro-RO"/>
        </w:rPr>
        <w:t>, C</w:t>
      </w:r>
      <w:r w:rsidRPr="008C6A37">
        <w:rPr>
          <w:vertAlign w:val="subscript"/>
          <w:lang w:val="ro-RO"/>
        </w:rPr>
        <w:t>6</w:t>
      </w:r>
      <w:r w:rsidRPr="008C6A37">
        <w:rPr>
          <w:lang w:val="ro-RO"/>
        </w:rPr>
        <w:t>H</w:t>
      </w:r>
      <w:r w:rsidRPr="008C6A37">
        <w:rPr>
          <w:vertAlign w:val="subscript"/>
          <w:lang w:val="ro-RO"/>
        </w:rPr>
        <w:t>6</w:t>
      </w:r>
      <w:r w:rsidRPr="008C6A37">
        <w:rPr>
          <w:lang w:val="ro-RO"/>
        </w:rPr>
        <w:t xml:space="preserve">, ozon troposferic, metale grele), sub valorile limită impuse prin Legea nr. 104/2011 privind calitatea aerului înconjurător. </w:t>
      </w:r>
      <w:r w:rsidR="0039799F">
        <w:rPr>
          <w:lang w:val="ro-RO"/>
        </w:rPr>
        <w:t xml:space="preserve">Deși din punct de vedere al obligațiilor de monitorizare a calității aerului asumate de România, amplasamente și numărul punctelor de prelevare sunt conforme cu cerințele prevăzute de legislația națională (Legea 104/2011 privind calitatea aerului înconjurător) și cea europeană (Directiva 2008/50/CE a Parlamentului European și a Consiliului din 21 mai 2008 privind calitatea aerului înconjurător și un aer mai curat pentru Europa) </w:t>
      </w:r>
      <w:r w:rsidRPr="008C6A37">
        <w:rPr>
          <w:lang w:val="ro-RO"/>
        </w:rPr>
        <w:t xml:space="preserve"> trebuie remarcat</w:t>
      </w:r>
      <w:r w:rsidR="0039799F">
        <w:rPr>
          <w:lang w:val="ro-RO"/>
        </w:rPr>
        <w:t xml:space="preserve"> faptul că, spre deosebire de zona sudică (unde există 6 stații de monitorizare), în partea nordică a zonei costiere, aferentă județului Tulcea, nu există nicio stație de monitorizare a calității aerului</w:t>
      </w:r>
      <w:r w:rsidRPr="008C6A37">
        <w:rPr>
          <w:lang w:val="ro-RO"/>
        </w:rPr>
        <w:t xml:space="preserve">. Mai mult, din raportările Agențiilor Județene de Protecție a Mediului reiese, în unele cazuri, o lipsă de continuitate a măsurătorilor ceea ce alterează valorile medii anuale calculate, precum și modele de prognoză a dispersiei poluanților în atmosferă. </w:t>
      </w:r>
    </w:p>
    <w:p w14:paraId="11F0E64E" w14:textId="77777777" w:rsidR="008C6A37" w:rsidRPr="008C6A37" w:rsidRDefault="008C6A37" w:rsidP="00BC11DC">
      <w:pPr>
        <w:ind w:firstLine="567"/>
        <w:rPr>
          <w:i/>
          <w:lang w:val="ro-RO"/>
        </w:rPr>
      </w:pPr>
      <w:r w:rsidRPr="008C6A37">
        <w:rPr>
          <w:i/>
          <w:lang w:val="ro-RO"/>
        </w:rPr>
        <w:t>Ape subterane</w:t>
      </w:r>
    </w:p>
    <w:p w14:paraId="61BFE8BE" w14:textId="77777777" w:rsidR="008C6A37" w:rsidRPr="008C6A37" w:rsidRDefault="008C6A37" w:rsidP="00BC11DC">
      <w:pPr>
        <w:ind w:firstLine="567"/>
        <w:rPr>
          <w:lang w:val="ro-RO"/>
        </w:rPr>
      </w:pPr>
      <w:r w:rsidRPr="008C6A37">
        <w:rPr>
          <w:lang w:val="ro-RO"/>
        </w:rPr>
        <w:t>În zona costieră sunt prezente 6 corpuri de ape subterane din totalul celor 10 de la nivelul Dobrogei. Din punct de vedere calitativ, măsurătorile periodice realizate de către ABADL arată frecvente depășiri ale valorilor standard pentru azotați în ceea ce privește corpurile de apă subterană RODL04 (Cobadin-Mangalia), RODL05 (Dobrogea Centrală) și RODL10 (Dobrogea Sud), ceea ce face ca aceste corpuri de apă să fie la risc de neatingere a stării chimice bune.</w:t>
      </w:r>
    </w:p>
    <w:p w14:paraId="1A50B9E3" w14:textId="77777777" w:rsidR="008C6A37" w:rsidRPr="008C6A37" w:rsidRDefault="008C6A37" w:rsidP="00BC11DC">
      <w:pPr>
        <w:ind w:firstLine="567"/>
        <w:rPr>
          <w:i/>
          <w:lang w:val="ro-RO"/>
        </w:rPr>
      </w:pPr>
      <w:r w:rsidRPr="008C6A37">
        <w:rPr>
          <w:i/>
          <w:lang w:val="ro-RO"/>
        </w:rPr>
        <w:t>Ape de suprafață</w:t>
      </w:r>
    </w:p>
    <w:p w14:paraId="25F7EC6B" w14:textId="77777777" w:rsidR="008C6A37" w:rsidRPr="008C6A37" w:rsidRDefault="008C6A37" w:rsidP="00BC11DC">
      <w:pPr>
        <w:ind w:firstLine="567"/>
        <w:rPr>
          <w:lang w:val="ro-RO"/>
        </w:rPr>
      </w:pPr>
      <w:r w:rsidRPr="008C6A37">
        <w:rPr>
          <w:lang w:val="ro-RO"/>
        </w:rPr>
        <w:t xml:space="preserve">Măsurătorile fizico-chimice realizate de către ANAR pe brațele Dunării arată o tendință de scădere a nivelului nutrienților și metalelor grele, dar și o ușoară creștere a nivelului hidrocarburilor observată în ultimii 2 ani, în special la Sulina, cel mai probabil datorită intensificării traficului naval pe canalul Sulina, în contextul conflictului armat declanșat de invazia Rusiei în Ucraina. </w:t>
      </w:r>
    </w:p>
    <w:p w14:paraId="33358C21" w14:textId="77777777" w:rsidR="008C6A37" w:rsidRPr="008C6A37" w:rsidRDefault="008C6A37" w:rsidP="00BC11DC">
      <w:pPr>
        <w:ind w:firstLine="567"/>
        <w:rPr>
          <w:lang w:val="ro-RO"/>
        </w:rPr>
      </w:pPr>
      <w:r w:rsidRPr="008C6A37">
        <w:rPr>
          <w:lang w:val="ro-RO"/>
        </w:rPr>
        <w:t>Măsurătorile realizate de către INCD GeoEcoMar în lacurile din partea nordică a zonei costiere indică o stare ecologică bună și foarte bună pentru oxigenul dizolv</w:t>
      </w:r>
      <w:r w:rsidR="00A92A31">
        <w:rPr>
          <w:lang w:val="ro-RO"/>
        </w:rPr>
        <w:t>at și nutrienți. Totuși, referi</w:t>
      </w:r>
      <w:r w:rsidRPr="008C6A37">
        <w:rPr>
          <w:lang w:val="ro-RO"/>
        </w:rPr>
        <w:t>tor la oxigenul dizolvat, în unele lacuri, canale, gârle, s-au observat frecvent fenomene hipoxice, sau chiar anoxice, cu consecințe grave asupra faunei acvatice (inclusiv resursa piscicolă). În partea de sud a zonei costiere, măsurătorile realizate de către INCD GeoEcoMar indică o stare ecologică moderată pentru indicatorul fosfați și o stare ecologică foarte bună pentru compușii anorganici cu azot.</w:t>
      </w:r>
    </w:p>
    <w:p w14:paraId="284D9DDD" w14:textId="77777777" w:rsidR="008C6A37" w:rsidRPr="008C6A37" w:rsidRDefault="008C6A37" w:rsidP="00BC11DC">
      <w:pPr>
        <w:ind w:firstLine="567"/>
        <w:rPr>
          <w:lang w:val="ro-RO"/>
        </w:rPr>
      </w:pPr>
      <w:r w:rsidRPr="008C6A37">
        <w:rPr>
          <w:lang w:val="ro-RO"/>
        </w:rPr>
        <w:t xml:space="preserve">În ceea ce privește nivelul poluării în sistemele acvatice dulcicole, au fost luate în considerare determinările poluanților în sedimente realizate de către INCD GeoEcoMar. În cea mai mare parte a  probelor de sedimente prelevate din brațele Sulina și Sfântu Gheorghe, precum și din lacurile din Delta Dunării nu au fost determinate concentrații ale metalelor grele </w:t>
      </w:r>
      <w:r w:rsidRPr="008C6A37">
        <w:rPr>
          <w:lang w:val="ro-RO"/>
        </w:rPr>
        <w:lastRenderedPageBreak/>
        <w:t>care să depășească într-un procent mai mare de 15% concentrațiile caracteristice fondului natural, cu excepția nichelului.</w:t>
      </w:r>
    </w:p>
    <w:p w14:paraId="44ADF2E3" w14:textId="77777777" w:rsidR="008C6A37" w:rsidRPr="008C6A37" w:rsidRDefault="008C6A37" w:rsidP="00BC11DC">
      <w:pPr>
        <w:ind w:firstLine="567"/>
        <w:rPr>
          <w:lang w:val="ro-RO"/>
        </w:rPr>
      </w:pPr>
      <w:r w:rsidRPr="008C6A37">
        <w:rPr>
          <w:lang w:val="ro-RO"/>
        </w:rPr>
        <w:t xml:space="preserve">În lacurile litorale din sudul zonei costiere datele furnizate de INCD GeoEcoMar au arătat sedimente poluate în toate lacurile litorale analizate (cel mai ridicat nivel al poluării fiind determinat în lacul Tăbăcărie). </w:t>
      </w:r>
    </w:p>
    <w:p w14:paraId="604BD2DE" w14:textId="77777777" w:rsidR="008C6A37" w:rsidRPr="008C6A37" w:rsidRDefault="008C6A37" w:rsidP="00BC11DC">
      <w:pPr>
        <w:ind w:firstLine="567"/>
        <w:rPr>
          <w:i/>
          <w:lang w:val="ro-RO"/>
        </w:rPr>
      </w:pPr>
      <w:r w:rsidRPr="008C6A37">
        <w:rPr>
          <w:i/>
          <w:lang w:val="ro-RO"/>
        </w:rPr>
        <w:t>Ape marine</w:t>
      </w:r>
    </w:p>
    <w:p w14:paraId="57E577C6" w14:textId="77777777" w:rsidR="008C6A37" w:rsidRPr="008C6A37" w:rsidRDefault="008C6A37" w:rsidP="00BC11DC">
      <w:pPr>
        <w:ind w:firstLine="567"/>
        <w:rPr>
          <w:lang w:val="ro-RO"/>
        </w:rPr>
      </w:pPr>
      <w:r w:rsidRPr="008C6A37">
        <w:rPr>
          <w:lang w:val="ro-RO"/>
        </w:rPr>
        <w:t>Măsurătorile realizate în ultimii ani de către INCDM Grigore Antipa privind nivelul concentrațiilor nutrienților și clorofilei indică medii anuale situate cu mult sub valorile prag stabilite pentru definirea stării ecologice bune (SEB) a apelor costiere și a celor cu salinitate variabilă, în conformitate cu cerințele DCSMM (Boicenco și colab., 2018).</w:t>
      </w:r>
    </w:p>
    <w:p w14:paraId="1930BAB4" w14:textId="77777777" w:rsidR="008C6A37" w:rsidRPr="008C6A37" w:rsidRDefault="008C6A37" w:rsidP="00BC11DC">
      <w:pPr>
        <w:ind w:firstLine="567"/>
        <w:rPr>
          <w:lang w:val="ro-RO"/>
        </w:rPr>
      </w:pPr>
      <w:r w:rsidRPr="008C6A37">
        <w:rPr>
          <w:lang w:val="ro-RO"/>
        </w:rPr>
        <w:t xml:space="preserve">Similar, în cazul metalelor grele și poluanților organici, concentrațiile acestora prezintă o distribuție spațială heterogenă, existând diferențe semnificative între diferite sectoare ale litoralului românesc. Conform INCDM (2022), starea chimică a apelor marine din punct de vedere al indicatorului metale grele în apă, în vara anului 2021, a fost una bună în raport cu standardele de calitate pentru metale grele (WFD-EQS Directive 2013/39/EU). Depășiri frecvente ale valorilor standard de calitate propuse pentru apă, în vederea definirii stării chimice bune conform Directivei 2013/39/EU, au fost observate, în 2021, pentru o serie de pesticide organoclorurate (suma de ciclodiene, suma de DDT și p,p’ DDT), indicând în cazul acestora o stare chimică proastă (INCDM, 2022). </w:t>
      </w:r>
    </w:p>
    <w:p w14:paraId="7D7741B6" w14:textId="77777777" w:rsidR="008C6A37" w:rsidRPr="008C6A37" w:rsidRDefault="008C6A37" w:rsidP="00BC11DC">
      <w:pPr>
        <w:ind w:firstLine="567"/>
        <w:rPr>
          <w:lang w:val="ro-RO"/>
        </w:rPr>
      </w:pPr>
      <w:r w:rsidRPr="008C6A37">
        <w:rPr>
          <w:lang w:val="ro-RO"/>
        </w:rPr>
        <w:t xml:space="preserve">Mai relevante pentru aprecierea nivelului poluării sunt măsurătorile concentrațiilor poluanților în sedimentele marine. În cazul metalelor grele, starea sedimentelor marine, în raport cu standardele de calitate pentru sedimente marine (ERL), este considerată bună (INCDM, 2022). Referitor la poluanții organici, majoritatea concentraţiilor hidrocarburilor totale s-au situat în 2021, sub limita maxim admisibilă impusă de Ordinul MAPPM nr.756/1997, indicând o stare ecologică bună. Conţinutul total de hidrocarburi aromatice polinucleare (HAP) a depășit, în 2021, valoarea prag de 1,00 µg/g în 1,3 % din probele analizate (INCDM, 2022), ceea ce indică o stare ecologică bună și pentru HAP. Atât în cazul hidrocarburilor totale, cât și a HAP, cele mai ridicate valori s-au determinat în zonele de deversare a apelor epurate din stațiile Constanța-Sud și Eforie (INCDM, 2022). Concentraţiile cele mai ridicate ale pesticidelor organoclorurate în sedimente au fost măsurate în zona de influență directă a Dunării, dar și în partea sudică (zona porturilor Constanța și Mangalia, zone de deversare a apelor epurate din stația Eforie) (INCDM, 2022). Depăşiri frecvente ale valorilor limită propuse pentru definirea stării ecologice bune s-au observat în special pentru HCB și lindan sugerând o stare chimică proastă pentru acești compuși. </w:t>
      </w:r>
    </w:p>
    <w:p w14:paraId="6320D767" w14:textId="77777777" w:rsidR="008C6A37" w:rsidRPr="008C6A37" w:rsidRDefault="008C6A37" w:rsidP="00BC11DC">
      <w:pPr>
        <w:ind w:firstLine="567"/>
        <w:rPr>
          <w:i/>
          <w:lang w:val="ro-RO"/>
        </w:rPr>
      </w:pPr>
      <w:r w:rsidRPr="008C6A37">
        <w:rPr>
          <w:i/>
          <w:lang w:val="ro-RO"/>
        </w:rPr>
        <w:t>Ape de îmbăiere</w:t>
      </w:r>
    </w:p>
    <w:p w14:paraId="7DF48705" w14:textId="77777777" w:rsidR="008C6A37" w:rsidRPr="008C6A37" w:rsidRDefault="008C6A37" w:rsidP="00BC11DC">
      <w:pPr>
        <w:ind w:firstLine="567"/>
        <w:rPr>
          <w:lang w:val="ro-RO"/>
        </w:rPr>
      </w:pPr>
      <w:r w:rsidRPr="008C6A37">
        <w:rPr>
          <w:lang w:val="ro-RO"/>
        </w:rPr>
        <w:t xml:space="preserve">Conform Raportului anual privind calitatea apelor de îmbăiere elaborat la nivel european, în anul 2022 au fost identificate 50 de zone de îmbăiere (de la Gura Portiţei la Vama Veche). Dintre acestea, 46 s-au încadrat în valorile corespunzătoare ale calității excelente, iar 4 zone de îmbăiere au fost de calitate bună. </w:t>
      </w:r>
    </w:p>
    <w:p w14:paraId="28ECCDA5" w14:textId="77777777" w:rsidR="008C6A37" w:rsidRPr="008C6A37" w:rsidRDefault="008C6A37" w:rsidP="00BC11DC">
      <w:pPr>
        <w:ind w:firstLine="567"/>
        <w:rPr>
          <w:i/>
          <w:lang w:val="ro-RO"/>
        </w:rPr>
      </w:pPr>
      <w:r w:rsidRPr="008C6A37">
        <w:rPr>
          <w:i/>
          <w:lang w:val="ro-RO"/>
        </w:rPr>
        <w:t>Soluri</w:t>
      </w:r>
    </w:p>
    <w:p w14:paraId="1F99EC1D" w14:textId="77777777" w:rsidR="008C6A37" w:rsidRPr="008C6A37" w:rsidRDefault="008C6A37" w:rsidP="00BC11DC">
      <w:pPr>
        <w:ind w:firstLine="567"/>
        <w:rPr>
          <w:lang w:val="ro-RO"/>
        </w:rPr>
      </w:pPr>
      <w:r w:rsidRPr="008C6A37">
        <w:rPr>
          <w:lang w:val="ro-RO"/>
        </w:rPr>
        <w:lastRenderedPageBreak/>
        <w:t>Cea mai mare parte din solurile din zona costieră sunt încadrate în categoria solurilor foarte productive, fiind reprezentate de cernoziomuri și kastanoziomuri, incluse în clasa Cernisoluri. În Dobrogea, cernoziomurile sunt caracterizate printr-un conținut mediu de humus (3,5-4%), sunt bine asigurate în săruri solubile și au un conținut mediu de elemente nutritive, pH-ul poate varia între 7 la cernoziomuri tipice și 8,4 la cernoziomuri calcarice și la kastanoziomuri. Aceste caracteristici oferă condiții medii de fertilitate, fiind favorabile pentru majoritatea culturilor agricole.</w:t>
      </w:r>
      <w:r w:rsidRPr="008C6A37">
        <w:rPr>
          <w:lang w:val="ro-RO"/>
        </w:rPr>
        <w:tab/>
      </w:r>
    </w:p>
    <w:p w14:paraId="6F03DEB6" w14:textId="77777777" w:rsidR="008C6A37" w:rsidRPr="008C6A37" w:rsidRDefault="008C6A37" w:rsidP="00BC11DC">
      <w:pPr>
        <w:ind w:firstLine="567"/>
        <w:rPr>
          <w:lang w:val="ro-RO"/>
        </w:rPr>
      </w:pPr>
      <w:r w:rsidRPr="008C6A37">
        <w:rPr>
          <w:lang w:val="ro-RO"/>
        </w:rPr>
        <w:t>Principalii indicatori fizici de caracterizare a solurilor sunt alcătuirea granulometrică (textura), structura și gradul de tasare. Solurile din zona costieră sunt în cea mai mare parte soluri lutoase sau cu un conținut mai ridicat în fracțiuni granulometrice grosiere (soluri nisipoase) ceea ce oferă un regim aerohidric favorabil dezvoltării plantelor. În condiții naturale solurile sunt bine structurate, prezinta agregate structurale stabile, de regulă cu structură poliedrică bine dezvoltată. </w:t>
      </w:r>
    </w:p>
    <w:p w14:paraId="0283E594" w14:textId="77777777" w:rsidR="008C6A37" w:rsidRPr="008C6A37" w:rsidRDefault="008C6A37" w:rsidP="00BC11DC">
      <w:pPr>
        <w:ind w:firstLine="567"/>
        <w:rPr>
          <w:lang w:val="ro-RO"/>
        </w:rPr>
      </w:pPr>
      <w:r w:rsidRPr="008C6A37">
        <w:rPr>
          <w:lang w:val="ro-RO"/>
        </w:rPr>
        <w:t xml:space="preserve">Din punct de vedere al riscurilor de degradare sunt de menționat eroziunea hidrică și eoliană, poluare urbană și industrială, aridizare, pierderea stratului de turbă din Delta Dunarii sau salinizarea solurilor. </w:t>
      </w:r>
    </w:p>
    <w:p w14:paraId="190B232E" w14:textId="77777777" w:rsidR="008C6A37" w:rsidRPr="008C6A37" w:rsidRDefault="008C6A37" w:rsidP="00BC11DC">
      <w:pPr>
        <w:ind w:firstLine="567"/>
        <w:rPr>
          <w:b/>
          <w:i/>
          <w:lang w:val="ro-RO"/>
        </w:rPr>
      </w:pPr>
      <w:r w:rsidRPr="008C6A37">
        <w:rPr>
          <w:b/>
          <w:i/>
          <w:lang w:val="ro-RO"/>
        </w:rPr>
        <w:t xml:space="preserve">Biodiversitate și habitate </w:t>
      </w:r>
    </w:p>
    <w:p w14:paraId="5B5148F8" w14:textId="77777777" w:rsidR="008C6A37" w:rsidRPr="008C6A37" w:rsidRDefault="008C6A37" w:rsidP="00BC11DC">
      <w:pPr>
        <w:ind w:firstLine="567"/>
        <w:rPr>
          <w:lang w:val="ro-RO"/>
        </w:rPr>
      </w:pPr>
      <w:r w:rsidRPr="008C6A37">
        <w:rPr>
          <w:lang w:val="ro-RO"/>
        </w:rPr>
        <w:t>În zona costieră, biodiversitatea se poate cuantifica în număr de specii, tipuri de habitate și arii protejate. Numărul total de specii din zona litorală nu poate fi stabilit cu precizie, existând, pe de o parte, grupe taxonomice insuficient cunoscute, iar pe de altă parte există specii străine și invazive care apar în permanență în habitatele acvatice (marine și dulcicole) și terestre datorită diverselor activități umane, de la transporturi la turism și de la activitățile agricole la industria pet-shopurilor. Datele din literatura de specialitate din anii 2000 (Gomoiu și Skolka, 1998; Skolka  și colab., 2005; Făgăraș și colab., 2008) indică un număr de circa 12.900 de specii pentru Dobrogea, dintre care 10.596 animale și 2.271 plante. Între acestea, 3.159 sunt specii marine sau prezente în lacurile paramarine (fără a include insecte, aranee, acarieni si miriapode), iar dintre ele, 1.168 sunt microalge și macroalge, iar 1.991 animale (nevertebrate și vertebrate).</w:t>
      </w:r>
    </w:p>
    <w:p w14:paraId="586937D8" w14:textId="77777777" w:rsidR="008C6A37" w:rsidRPr="008C6A37" w:rsidRDefault="008C6A37" w:rsidP="00BC11DC">
      <w:pPr>
        <w:ind w:firstLine="567"/>
        <w:rPr>
          <w:lang w:val="ro-RO"/>
        </w:rPr>
      </w:pPr>
      <w:r w:rsidRPr="008C6A37">
        <w:rPr>
          <w:lang w:val="ro-RO"/>
        </w:rPr>
        <w:t xml:space="preserve">În ceea ce privește diversitatea habitatelor, în zona costieră se regăsesc două regiuni biogeografice europene, respectiv pontică și stepică. Bioregiunea pontică include zona de litoral maritim până la circa 10 km în interiorul uscatului, malurile lacurilor paramarine și întreg sistemul de grinduri care separă complexul lagunar Razim – Sinoe de mare, iar in zona Deltei Dunăre include toată zona situată la circa 20 km de țărmul mării. Bioregiunea stepică se întinde în toată partea continentală a zonei costiere, până la limita UAT-urilor componente. În cadrul bioregiunii pontice au fost identificate 16 tipuri de habitate costiere, marine și de dune (7 dintre ele fiind exclusiv marine), 5 tipuri de habitate de apă dulce, 7 tipuri de habitate de pajiști și tufărișuri, 1 tip de habitat prioritar de mlaștină și 2 tipuri de habitate de pădure. În aceste habitate se întâlnesc 79 de specii de animale și 6 specii de plante aflate pe listele Directivei Habitate și peste o treime din numărul total de specii de păsări incluse în Directiva Păsări (dintre acestea, 12 sunt amenințate la nivel global). Bioregiunea stepică este mai puțin bogată în habitate în zona costieră fiind menționate doar 2 tipuri de habitate de dune, unul dintre acestea fiind prioritar, 6 tipuri de habitate de ape dulci, 1 tip de habitat de tufărișuri, 6 tipuri de habitate </w:t>
      </w:r>
      <w:r w:rsidRPr="008C6A37">
        <w:rPr>
          <w:lang w:val="ro-RO"/>
        </w:rPr>
        <w:lastRenderedPageBreak/>
        <w:t>de pajiști, 1 tip de habitat de stâncărie și 8 tipuri de habitate de pădure. Bioregiunea se caracterizează printr-un impact deosebit de ridicat al activităților antropice care a condus la fragmentarea habitatelor naturale datorită defrișărilor, extinderii agriculturii, suprapășunatului, desecărilor și extinderii localităților.</w:t>
      </w:r>
    </w:p>
    <w:p w14:paraId="57904CEF" w14:textId="77777777" w:rsidR="008C6A37" w:rsidRPr="008C6A37" w:rsidRDefault="008C6A37" w:rsidP="00BC11DC">
      <w:pPr>
        <w:ind w:firstLine="567"/>
        <w:rPr>
          <w:lang w:val="ro-RO"/>
        </w:rPr>
      </w:pPr>
      <w:r w:rsidRPr="008C6A37">
        <w:rPr>
          <w:lang w:val="ro-RO"/>
        </w:rPr>
        <w:t xml:space="preserve">Habitatele de </w:t>
      </w:r>
      <w:r w:rsidR="00A92A31">
        <w:rPr>
          <w:lang w:val="ro-RO"/>
        </w:rPr>
        <w:t>tip pelagic prezintă o component</w:t>
      </w:r>
      <w:r w:rsidRPr="008C6A37">
        <w:rPr>
          <w:lang w:val="ro-RO"/>
        </w:rPr>
        <w:t>ă specifică de microalge care formează fitoplanctonul și o serie de nevertebrate de talie mică sau medie la care se adaugă stadii larvare ale organismelor care trăiesc pe fundul mării și care formează zooplanctonul. La acestea se adaugă speciile care înoată activ și care sunt reprezentate de pești – nectonul și mamiferele marine (</w:t>
      </w:r>
      <w:r w:rsidRPr="008C6A37">
        <w:rPr>
          <w:i/>
          <w:lang w:val="ro-RO"/>
        </w:rPr>
        <w:t>Tursiops truncatus ssp. ponticus</w:t>
      </w:r>
      <w:r w:rsidRPr="008C6A37">
        <w:rPr>
          <w:lang w:val="ro-RO"/>
        </w:rPr>
        <w:t xml:space="preserve">, </w:t>
      </w:r>
      <w:r w:rsidRPr="008C6A37">
        <w:rPr>
          <w:i/>
          <w:lang w:val="ro-RO"/>
        </w:rPr>
        <w:t>Delphinus delphis ssp. ponticus</w:t>
      </w:r>
      <w:r w:rsidRPr="008C6A37">
        <w:rPr>
          <w:lang w:val="ro-RO"/>
        </w:rPr>
        <w:t xml:space="preserve"> și </w:t>
      </w:r>
      <w:r w:rsidRPr="008C6A37">
        <w:rPr>
          <w:i/>
          <w:lang w:val="ro-RO"/>
        </w:rPr>
        <w:t>Phocoena phocoena ssp. relicta</w:t>
      </w:r>
      <w:r w:rsidRPr="008C6A37">
        <w:rPr>
          <w:lang w:val="ro-RO"/>
        </w:rPr>
        <w:t xml:space="preserve">).  În ultimii 20 de ani, vidra - </w:t>
      </w:r>
      <w:r w:rsidRPr="008C6A37">
        <w:rPr>
          <w:i/>
          <w:lang w:val="ro-RO"/>
        </w:rPr>
        <w:t>Lutra lutra</w:t>
      </w:r>
      <w:r w:rsidRPr="008C6A37">
        <w:rPr>
          <w:lang w:val="ro-RO"/>
        </w:rPr>
        <w:t xml:space="preserve"> - a devenit de asemenea o prezență constantă în zona litorală, nu numai în lacurile paramarine (efectivele acestei specii nu au au fost estimate până în prezent).</w:t>
      </w:r>
    </w:p>
    <w:p w14:paraId="55E44324" w14:textId="77777777" w:rsidR="008C6A37" w:rsidRPr="008C6A37" w:rsidRDefault="008C6A37" w:rsidP="00BC11DC">
      <w:pPr>
        <w:ind w:firstLine="567"/>
        <w:rPr>
          <w:lang w:val="ro-RO"/>
        </w:rPr>
      </w:pPr>
      <w:r w:rsidRPr="008C6A37">
        <w:rPr>
          <w:lang w:val="ro-RO"/>
        </w:rPr>
        <w:t>Cele 20 de tipuri principale de habitate marine bentale sunt caracterizate fiecare printr-o faună caracteristică formată din alge microfite și macrofite – fitobentos – și de o faună specifică – zoobentosul. Cele mai bogate în ce privește biodiversitatea sunt habitatele de zone stâncoase din sudul litoralului, habitatele de nisipuri sau mâluri din zona centrală și de nord fiind mai sărace în specii dar prezentând de asemenea o serie de endemisme care definesc Marea Neagră. De asemenea, diferitele habitate bentale sunt diferențiate și prin modul care sunt afectate de impactul antropic.</w:t>
      </w:r>
    </w:p>
    <w:p w14:paraId="30F09F82" w14:textId="77777777" w:rsidR="008C6A37" w:rsidRPr="008C6A37" w:rsidRDefault="008C6A37" w:rsidP="00BC11DC">
      <w:pPr>
        <w:ind w:firstLine="567"/>
        <w:rPr>
          <w:lang w:val="ro-RO"/>
        </w:rPr>
      </w:pPr>
      <w:r w:rsidRPr="008C6A37">
        <w:rPr>
          <w:lang w:val="ro-RO"/>
        </w:rPr>
        <w:t xml:space="preserve">Dezvoltarea infrastructurii urbane, industriale, agricole, turistice și de transport din zona costieră reprezintă cauza principală a pierderii biodiversității, ducând la degradarea, distrugerea şi fragmentarea habitatelor şi implicit la declinul populaţiilor naturale. Dezvoltarea urbană necontrolată, însoțită de diminuarea spațiilor verzi, a zonelor naturale și de măsuri insuficiente pentru colectarea şi tratarea corespunzătoare a deşeurilor şi a apelor uzate, au, de asemenea, efecte negative considerabile asupra biodiversităţii. Pierderi majore de biodiversitate sunt datorate și supraexploatării resurselor naturale, poluării și speciilor alogene invazive. </w:t>
      </w:r>
    </w:p>
    <w:p w14:paraId="1A24197E" w14:textId="77777777" w:rsidR="008C6A37" w:rsidRPr="008C6A37" w:rsidRDefault="008C6A37" w:rsidP="00BC11DC">
      <w:pPr>
        <w:ind w:firstLine="567"/>
        <w:rPr>
          <w:lang w:val="ro-RO"/>
        </w:rPr>
      </w:pPr>
      <w:r w:rsidRPr="008C6A37">
        <w:rPr>
          <w:b/>
          <w:i/>
          <w:lang w:val="ro-RO"/>
        </w:rPr>
        <w:t>Arii protejate (marine /terestre)</w:t>
      </w:r>
      <w:r w:rsidRPr="008C6A37">
        <w:rPr>
          <w:i/>
          <w:lang w:val="ro-RO"/>
        </w:rPr>
        <w:t xml:space="preserve"> </w:t>
      </w:r>
    </w:p>
    <w:p w14:paraId="75F2B363" w14:textId="77777777" w:rsidR="008C6A37" w:rsidRPr="008C6A37" w:rsidRDefault="008C6A37" w:rsidP="00BC11DC">
      <w:pPr>
        <w:ind w:firstLine="567"/>
        <w:rPr>
          <w:lang w:val="ro-RO"/>
        </w:rPr>
      </w:pPr>
      <w:r w:rsidRPr="008C6A37">
        <w:rPr>
          <w:lang w:val="ro-RO"/>
        </w:rPr>
        <w:t xml:space="preserve">În zona costieră se găsesc 23 arii protejate incluse în Rețeaua Ecologică NATURA 2000, plus Rezervația Biosferei Delta Dunării care se suprapune în mare măsură cu ROSCI0065 și ROSCI0066. Aceste arii protejate sunt atât arii protejate desemnate ca situri de importanță comunitară, respectiv SCI-uri, cât și arii de importanță avifaunistică, respectiv SPA-uri. </w:t>
      </w:r>
    </w:p>
    <w:p w14:paraId="7AD8DB24" w14:textId="77777777" w:rsidR="008C6A37" w:rsidRPr="008C6A37" w:rsidRDefault="008C6A37" w:rsidP="00BC11DC">
      <w:pPr>
        <w:ind w:firstLine="567"/>
        <w:rPr>
          <w:lang w:val="ro-RO"/>
        </w:rPr>
      </w:pPr>
      <w:r w:rsidRPr="008C6A37">
        <w:rPr>
          <w:lang w:val="ro-RO"/>
        </w:rPr>
        <w:t>În conformitate cu prevederile Ordinului nr. 46/2016 al Ministrului Mediului, Apelor și Pădurilor privind instituirea regimului de arie naturală protejată şi declararea siturilor de importanţă comunitară ca parte integrantă a reţelei ecologice europene Natura 2000 în România, rețeaua de arii protejate din zona costieră este constituită din 15 SCI-uri și 8 SPA-uri. SCI-urile din zona costieră se suprapun parțial cu SPA-urile, ocupând o suprafață totală de 12.986,88 km</w:t>
      </w:r>
      <w:r w:rsidRPr="008C6A37">
        <w:rPr>
          <w:vertAlign w:val="superscript"/>
          <w:lang w:val="ro-RO"/>
        </w:rPr>
        <w:t>2</w:t>
      </w:r>
      <w:r w:rsidRPr="008C6A37">
        <w:rPr>
          <w:lang w:val="ro-RO"/>
        </w:rPr>
        <w:t>, dintre care SPA-urile reprezintă 51,17%, iar SCI-urile 48,83%. În apele teritoriale marine cele 8 SCI-uri ocupă 80,21% din suprafața totală, evidențiind importanța zonei costiere din punct de vedere a biodiversității ridicate, dar și a varietății habitatelor bentale marine. O diversitate ridicată întâlnim și în zona terestră unde avem 7 SCI-uri și 7 SPA-uri, ce ocupă o suprafață totală de 7910,49 km</w:t>
      </w:r>
      <w:r w:rsidRPr="008C6A37">
        <w:rPr>
          <w:vertAlign w:val="superscript"/>
          <w:lang w:val="ro-RO"/>
        </w:rPr>
        <w:t>2</w:t>
      </w:r>
      <w:r w:rsidRPr="008C6A37">
        <w:rPr>
          <w:lang w:val="ro-RO"/>
        </w:rPr>
        <w:t xml:space="preserve">. </w:t>
      </w:r>
    </w:p>
    <w:p w14:paraId="6C5BEFC8" w14:textId="77777777" w:rsidR="008C6A37" w:rsidRPr="008C6A37" w:rsidRDefault="008C6A37" w:rsidP="00BC11DC">
      <w:pPr>
        <w:ind w:firstLine="567"/>
        <w:rPr>
          <w:lang w:val="ro-RO"/>
        </w:rPr>
      </w:pPr>
      <w:r w:rsidRPr="008C6A37">
        <w:rPr>
          <w:lang w:val="ro-RO"/>
        </w:rPr>
        <w:lastRenderedPageBreak/>
        <w:t>Din cele 23 de arii protejate doar 13 au Plan de Management, iar dintre acestea patru SCI-uri din apele teritoriale marine au Planuri de Management elaborate pe limitele vechi.</w:t>
      </w:r>
    </w:p>
    <w:p w14:paraId="1E0AC7AA" w14:textId="77777777" w:rsidR="008C6A37" w:rsidRPr="008C6A37" w:rsidRDefault="008C6A37" w:rsidP="00BC11DC">
      <w:pPr>
        <w:ind w:firstLine="567"/>
        <w:rPr>
          <w:lang w:val="ro-RO"/>
        </w:rPr>
      </w:pPr>
      <w:r w:rsidRPr="008C6A37">
        <w:rPr>
          <w:b/>
          <w:i/>
          <w:lang w:val="ro-RO"/>
        </w:rPr>
        <w:t>Elemente de peisaj</w:t>
      </w:r>
    </w:p>
    <w:p w14:paraId="1E9A8FEA" w14:textId="77777777" w:rsidR="008C6A37" w:rsidRPr="008C6A37" w:rsidRDefault="008C6A37" w:rsidP="00BC11DC">
      <w:pPr>
        <w:ind w:firstLine="567"/>
        <w:rPr>
          <w:lang w:val="ro-RO"/>
        </w:rPr>
      </w:pPr>
      <w:r w:rsidRPr="008C6A37">
        <w:rPr>
          <w:lang w:val="ro-RO"/>
        </w:rPr>
        <w:t>Peisajul zonei costiere reprezintă o resursă esențială pentru derularea activităților economice și creșterea atractivității teritoriale, astfel încât stă la baza bunăstării individuale și sociale, prin asigurarea calității mediului de locuire și a dezvoltării de tip durabil.</w:t>
      </w:r>
    </w:p>
    <w:p w14:paraId="2A8FBE9A" w14:textId="77777777" w:rsidR="008C6A37" w:rsidRPr="008C6A37" w:rsidRDefault="008C6A37" w:rsidP="00BC11DC">
      <w:pPr>
        <w:ind w:firstLine="567"/>
        <w:rPr>
          <w:lang w:val="ro-RO"/>
        </w:rPr>
      </w:pPr>
      <w:r w:rsidRPr="008C6A37">
        <w:rPr>
          <w:lang w:val="ro-RO"/>
        </w:rPr>
        <w:t>Peisajul constituie un subiect al activității de planificare spațială a teritoriului, păstrarea calității caracteristicilor majore ale acestuia făcând obiectul analizelor complexe de fundamentare a planurilor de amenajare a teritoriului la nivel zonal precum și a planurilor de urbanism (PUG, PUZ) si al regulamentelor aferente acestora.</w:t>
      </w:r>
    </w:p>
    <w:p w14:paraId="678FF56E" w14:textId="77777777" w:rsidR="008C6A37" w:rsidRPr="008C6A37" w:rsidRDefault="008C6A37" w:rsidP="00BC11DC">
      <w:pPr>
        <w:ind w:firstLine="567"/>
        <w:rPr>
          <w:lang w:val="ro-RO"/>
        </w:rPr>
      </w:pPr>
      <w:r w:rsidRPr="008C6A37">
        <w:rPr>
          <w:lang w:val="ro-RO"/>
        </w:rPr>
        <w:t>Utilizând metodologia pentru “Atlasul peisajelor” (MDLAP, 2014), în zona costieră românească s-au delimitat patru unități de peisaj, după cum urmează::</w:t>
      </w:r>
    </w:p>
    <w:p w14:paraId="18C774D9" w14:textId="77777777" w:rsidR="008C6A37" w:rsidRPr="008C6A37" w:rsidRDefault="008C6A37" w:rsidP="00920C1F">
      <w:pPr>
        <w:numPr>
          <w:ilvl w:val="0"/>
          <w:numId w:val="7"/>
        </w:numPr>
        <w:ind w:firstLine="567"/>
        <w:rPr>
          <w:lang w:val="ro-RO"/>
        </w:rPr>
      </w:pPr>
      <w:r w:rsidRPr="008C6A37">
        <w:rPr>
          <w:lang w:val="ro-RO"/>
        </w:rPr>
        <w:t>Unitatea de peisaj Dunărea maritimă (C.A Rosetti - Jurilovca);</w:t>
      </w:r>
    </w:p>
    <w:p w14:paraId="36DA7449" w14:textId="77777777" w:rsidR="008C6A37" w:rsidRPr="008C6A37" w:rsidRDefault="008C6A37" w:rsidP="00920C1F">
      <w:pPr>
        <w:numPr>
          <w:ilvl w:val="0"/>
          <w:numId w:val="7"/>
        </w:numPr>
        <w:ind w:firstLine="567"/>
        <w:rPr>
          <w:lang w:val="ro-RO"/>
        </w:rPr>
      </w:pPr>
      <w:r w:rsidRPr="008C6A37">
        <w:rPr>
          <w:lang w:val="ro-RO"/>
        </w:rPr>
        <w:t>Unitatea de peisaj Sinoe (Mihai Viteazu - Corbu);</w:t>
      </w:r>
    </w:p>
    <w:p w14:paraId="75ABEAFC" w14:textId="77777777" w:rsidR="008C6A37" w:rsidRPr="008C6A37" w:rsidRDefault="008C6A37" w:rsidP="00920C1F">
      <w:pPr>
        <w:numPr>
          <w:ilvl w:val="0"/>
          <w:numId w:val="7"/>
        </w:numPr>
        <w:ind w:firstLine="567"/>
        <w:rPr>
          <w:lang w:val="ro-RO"/>
        </w:rPr>
      </w:pPr>
      <w:r w:rsidRPr="008C6A37">
        <w:rPr>
          <w:lang w:val="ro-RO"/>
        </w:rPr>
        <w:t>Unitatea de peisaj Constanța (Năvodari - Agigea);</w:t>
      </w:r>
    </w:p>
    <w:p w14:paraId="5F62B6E9" w14:textId="77777777" w:rsidR="008C6A37" w:rsidRPr="008C6A37" w:rsidRDefault="008C6A37" w:rsidP="00920C1F">
      <w:pPr>
        <w:numPr>
          <w:ilvl w:val="0"/>
          <w:numId w:val="7"/>
        </w:numPr>
        <w:ind w:firstLine="567"/>
        <w:rPr>
          <w:lang w:val="ro-RO"/>
        </w:rPr>
      </w:pPr>
      <w:r w:rsidRPr="008C6A37">
        <w:rPr>
          <w:lang w:val="ro-RO"/>
        </w:rPr>
        <w:t>Unitatea de peisaj Litoral (Eforie - Limanu).</w:t>
      </w:r>
    </w:p>
    <w:p w14:paraId="6910021A" w14:textId="77777777" w:rsidR="008C6A37" w:rsidRPr="008C6A37" w:rsidRDefault="008C6A37" w:rsidP="00BC11DC">
      <w:pPr>
        <w:ind w:firstLine="567"/>
        <w:rPr>
          <w:lang w:val="ro-RO"/>
        </w:rPr>
      </w:pPr>
      <w:r w:rsidRPr="008C6A37">
        <w:rPr>
          <w:lang w:val="ro-RO"/>
        </w:rPr>
        <w:t>Principalele probleme privind gestionarea peisajului în zona costieră sunt:</w:t>
      </w:r>
    </w:p>
    <w:p w14:paraId="262D8A25" w14:textId="77777777" w:rsidR="008C6A37" w:rsidRPr="008C6A37" w:rsidRDefault="008C6A37" w:rsidP="00920C1F">
      <w:pPr>
        <w:numPr>
          <w:ilvl w:val="0"/>
          <w:numId w:val="11"/>
        </w:numPr>
        <w:ind w:firstLine="567"/>
        <w:rPr>
          <w:lang w:val="ro-RO"/>
        </w:rPr>
      </w:pPr>
      <w:r w:rsidRPr="008C6A37">
        <w:rPr>
          <w:lang w:val="ro-RO"/>
        </w:rPr>
        <w:t>cadrul de reglementări actuale privind amenajarea teritoriului și urbanism nu asigură abordarea integrată a teritoriului zonei costiere, inclusiv a peisajului  costier;</w:t>
      </w:r>
    </w:p>
    <w:p w14:paraId="3C197A18" w14:textId="77777777" w:rsidR="008C6A37" w:rsidRPr="008C6A37" w:rsidRDefault="008C6A37" w:rsidP="00920C1F">
      <w:pPr>
        <w:numPr>
          <w:ilvl w:val="0"/>
          <w:numId w:val="11"/>
        </w:numPr>
        <w:ind w:firstLine="567"/>
        <w:rPr>
          <w:lang w:val="ro-RO"/>
        </w:rPr>
      </w:pPr>
      <w:r w:rsidRPr="008C6A37">
        <w:rPr>
          <w:lang w:val="ro-RO"/>
        </w:rPr>
        <w:t>lipsa unei metodologii de inventariere și evaluare specifică peisajului costier, care să susțină procesele de elaborare a instrumentelor de planificare spațială a teritoriului zonei costiere;</w:t>
      </w:r>
    </w:p>
    <w:p w14:paraId="386DBD97" w14:textId="77777777" w:rsidR="008C6A37" w:rsidRPr="008C6A37" w:rsidRDefault="008C6A37" w:rsidP="00920C1F">
      <w:pPr>
        <w:numPr>
          <w:ilvl w:val="0"/>
          <w:numId w:val="11"/>
        </w:numPr>
        <w:ind w:firstLine="567"/>
        <w:rPr>
          <w:lang w:val="ro-RO"/>
        </w:rPr>
      </w:pPr>
      <w:r w:rsidRPr="008C6A37">
        <w:rPr>
          <w:lang w:val="ro-RO"/>
        </w:rPr>
        <w:t>lipsa unui sistem de monitorizare pentru gestionarea integrată a elementele constitutive ale peisajului costier;</w:t>
      </w:r>
    </w:p>
    <w:p w14:paraId="650F1FA5" w14:textId="77777777" w:rsidR="008C6A37" w:rsidRPr="008C6A37" w:rsidRDefault="008C6A37" w:rsidP="00920C1F">
      <w:pPr>
        <w:numPr>
          <w:ilvl w:val="0"/>
          <w:numId w:val="11"/>
        </w:numPr>
        <w:ind w:firstLine="567"/>
        <w:rPr>
          <w:lang w:val="ro-RO"/>
        </w:rPr>
      </w:pPr>
      <w:r w:rsidRPr="008C6A37">
        <w:rPr>
          <w:lang w:val="ro-RO"/>
        </w:rPr>
        <w:t>nivel slab de conștientizare privind valoarea și rolul peisajelor pentru asigurarea dezvoltării economice și creșterea calității vieții în zona costieră.</w:t>
      </w:r>
    </w:p>
    <w:p w14:paraId="103DFC53" w14:textId="77777777" w:rsidR="008C6A37" w:rsidRPr="008C6A37" w:rsidRDefault="008C6A37" w:rsidP="00BC11DC">
      <w:pPr>
        <w:ind w:firstLine="567"/>
        <w:rPr>
          <w:b/>
          <w:i/>
          <w:lang w:val="ro-RO"/>
        </w:rPr>
      </w:pPr>
      <w:r w:rsidRPr="008C6A37">
        <w:rPr>
          <w:b/>
          <w:i/>
          <w:lang w:val="ro-RO"/>
        </w:rPr>
        <w:t>Patrimoniu Cultural</w:t>
      </w:r>
    </w:p>
    <w:p w14:paraId="3505A789" w14:textId="599FA5EE" w:rsidR="008C6A37" w:rsidRPr="008C6A37" w:rsidRDefault="008C6A37" w:rsidP="00BC11DC">
      <w:pPr>
        <w:ind w:firstLine="567"/>
        <w:rPr>
          <w:lang w:val="ro-RO"/>
        </w:rPr>
      </w:pPr>
      <w:r w:rsidRPr="008C6A37">
        <w:rPr>
          <w:lang w:val="ro-RO"/>
        </w:rPr>
        <w:t xml:space="preserve">În zona costieră au fost identificate și clasate în Lista Monumentelor Istorice (LMI) din România un număr de 426 monumente, ansambluri și situri terestre, dintre care 297 în județul Constanța și 129 în județul Tulcea. Alături de acestea este clasat în LMI Situl arheologic subacvatic situat pe platforma continentală a litoralului românesc al Mării Negre. </w:t>
      </w:r>
      <w:r w:rsidR="009B3E40">
        <w:rPr>
          <w:lang w:val="ro-RO"/>
        </w:rPr>
        <w:t xml:space="preserve">Astfel, întreaga zonă costieră este situată în zona de protecție a monumentului istoric Situl arheologic subacavtic clasat în Lista Monumentelor Istorice cu codurile CT-I-s-A-02561 și TL-I-s-A-05721. </w:t>
      </w:r>
      <w:r w:rsidRPr="008C6A37">
        <w:rPr>
          <w:lang w:val="ro-RO"/>
        </w:rPr>
        <w:t xml:space="preserve">Din categoriile tipologice se observă că cea mai mare pondere o au monumentele și siturile arheologice, în număr de 214, urmate de cele de arhitectură în număr de 167, apoi 39 de for public și 6 memorial-funerare. Din punct de vedere al grupei valorice, 126 monumente, ansambluri și situri sunt înscrise  în categoria A (valoare națională, universală) și 300 în categoria B (valoare locală). Din perspectiva repartizării spațiale a patrimoniului, numărul cel </w:t>
      </w:r>
      <w:r w:rsidRPr="008C6A37">
        <w:rPr>
          <w:lang w:val="ro-RO"/>
        </w:rPr>
        <w:lastRenderedPageBreak/>
        <w:t>mai mare de monumente se regăsește în mediul urban, în municipiile Constanța și Mangalia, precum și în orașul Sulina, tot aici înregistrându-se și cea mai mare pondere a patrimoniului arhitectural, de for public și memorial-funerar. În ceea ce privește patrimoniul arheologic, acesta predomină în mediul rural, în județul Constanța fiind o concentrare de circa 70%.</w:t>
      </w:r>
    </w:p>
    <w:p w14:paraId="34F91321" w14:textId="77777777" w:rsidR="008C6A37" w:rsidRPr="008C6A37" w:rsidRDefault="008C6A37" w:rsidP="00BC11DC">
      <w:pPr>
        <w:ind w:firstLine="567"/>
        <w:rPr>
          <w:lang w:val="ro-RO"/>
        </w:rPr>
      </w:pPr>
      <w:r w:rsidRPr="008C6A37">
        <w:rPr>
          <w:lang w:val="ro-RO"/>
        </w:rPr>
        <w:t>Patrimoniul arheologic din zona costieră este, din păcate, în mare parte neglijat, lipsind măsurile de  pază, întreținere, conservare și restaurare, fiind afectat de construcții, uneori necontrolate sau neautorizate și de nerespectarea regulamentelor de urbanism. În ceea ce privește patrimoniul arhitectural și zonele istorice ale localităților, lipsa regulamentelor de urbanism care să integreze conservarea patrimoniului în dezvoltarea comunităților, în acord cu nevoile de modernizare și adaptare la cerințele actuale, a condus la o degradare continuă reflectată în demolări și transformări excesive ale construcțiilor istorice și modificări ale vechilor țesuturi urbane.</w:t>
      </w:r>
    </w:p>
    <w:p w14:paraId="525FA317" w14:textId="77777777" w:rsidR="008C6A37" w:rsidRPr="008C6A37" w:rsidRDefault="008C6A37" w:rsidP="00BC11DC">
      <w:pPr>
        <w:ind w:firstLine="567"/>
        <w:rPr>
          <w:lang w:val="ro-RO"/>
        </w:rPr>
      </w:pPr>
      <w:r w:rsidRPr="008C6A37">
        <w:rPr>
          <w:lang w:val="ro-RO"/>
        </w:rPr>
        <w:t>Referitor la patrimoniul cultural subacvatic, cele mai importante inițiative în domeniu au fost proiectele HERAS –“Submarine Archaeological  Heritage in the Western Black Sea Shelf” și ”Western Black Sea Underwater Cultural Touristic Routes”, coordonate de INCD GeoEcoMar. Prin aceste proiecte s-a început dezvoltarea unei baze de date care cuprinde epavele din vestul Mării Negre și a fost realizată o hartă preliminară a posibilelor situri subacvatice, precum și posibile rute turistice subacvatice.</w:t>
      </w:r>
    </w:p>
    <w:p w14:paraId="3A009BD9" w14:textId="77777777" w:rsidR="008C6A37" w:rsidRPr="008C6A37" w:rsidRDefault="008C6A37" w:rsidP="00BC11DC">
      <w:pPr>
        <w:ind w:firstLine="567"/>
        <w:rPr>
          <w:b/>
          <w:i/>
          <w:lang w:val="ro-RO"/>
        </w:rPr>
      </w:pPr>
      <w:r w:rsidRPr="008C6A37">
        <w:rPr>
          <w:b/>
          <w:i/>
          <w:lang w:val="ro-RO"/>
        </w:rPr>
        <w:t>Resurse biotice și abiotice</w:t>
      </w:r>
    </w:p>
    <w:p w14:paraId="44679C4A" w14:textId="77777777" w:rsidR="008C6A37" w:rsidRPr="008C6A37" w:rsidRDefault="008C6A37" w:rsidP="00BC11DC">
      <w:pPr>
        <w:ind w:firstLine="567"/>
        <w:rPr>
          <w:i/>
          <w:lang w:val="ro-RO"/>
        </w:rPr>
      </w:pPr>
      <w:r w:rsidRPr="008C6A37">
        <w:rPr>
          <w:i/>
          <w:lang w:val="ro-RO"/>
        </w:rPr>
        <w:t>Resursa piscicolă</w:t>
      </w:r>
    </w:p>
    <w:p w14:paraId="55E38F29" w14:textId="77777777" w:rsidR="008C6A37" w:rsidRPr="008C6A37" w:rsidRDefault="008C6A37" w:rsidP="00BC11DC">
      <w:pPr>
        <w:ind w:firstLine="567"/>
        <w:rPr>
          <w:lang w:val="ro-RO"/>
        </w:rPr>
      </w:pPr>
      <w:r w:rsidRPr="008C6A37">
        <w:rPr>
          <w:lang w:val="ro-RO"/>
        </w:rPr>
        <w:t>Resursele marine vii sunt materii prime importante ale industriilor alimentare, farmaceutice, cosmetice, în zootehnie, etc. O importanță deosebită se acordă în prezent utilizării raționale a resursei piscicole, atât în scop economic, cât și ecologic, stopării suprapescuitului, a poluării, precum și menținerii echilibrului ecosistemic referitor la biodiversitate, integritate populaţională, lanţuri trofice și stocuri.</w:t>
      </w:r>
    </w:p>
    <w:p w14:paraId="15F7EE4A" w14:textId="77777777" w:rsidR="008C6A37" w:rsidRPr="008C6A37" w:rsidRDefault="008C6A37" w:rsidP="00BC11DC">
      <w:pPr>
        <w:ind w:firstLine="567"/>
        <w:rPr>
          <w:lang w:val="ro-RO"/>
        </w:rPr>
      </w:pPr>
      <w:r w:rsidRPr="008C6A37">
        <w:rPr>
          <w:lang w:val="ro-RO"/>
        </w:rPr>
        <w:t>În ultimele decenii s-a observat o tendinţă de reducere a numărului de specii înregistrate, în special datorită pescuitului excesiv şi poluării, acestea numărându-se printre principalele ameninţări pentru stabilitatea stocurilor. Totuși, conform INCDM (2022), diversitatea speciilor de pești a crescut în ultimii 6 ani cu aproximativ 51%. Această creştere se datorează însă speciilor auxiliare (în număr redus de exemplare) și folosirii de unelte şi tehnici de colectare diverse. Cele mai numeroase specii identificate aparţin familiei Gobiidae, urmată de speciile din Familia Mugilidae.</w:t>
      </w:r>
    </w:p>
    <w:p w14:paraId="637D50EA" w14:textId="77777777" w:rsidR="008C6A37" w:rsidRPr="008C6A37" w:rsidRDefault="008C6A37" w:rsidP="00BC11DC">
      <w:pPr>
        <w:ind w:firstLine="567"/>
        <w:rPr>
          <w:lang w:val="ro-RO"/>
        </w:rPr>
      </w:pPr>
      <w:r w:rsidRPr="008C6A37">
        <w:rPr>
          <w:lang w:val="ro-RO"/>
        </w:rPr>
        <w:t xml:space="preserve">Structura populaţională a ultimilor ani, indică prezenţa în capturi a unui număr mare de specii (24), cele mai importante fiind hamsia, stavridul, guvidele, lufarul (specii de talie mică), calcanul şi alosele (specii de talie mai mare). Dominanţa în capturi a revenit, speciei </w:t>
      </w:r>
      <w:r w:rsidRPr="008C6A37">
        <w:rPr>
          <w:i/>
          <w:lang w:val="ro-RO"/>
        </w:rPr>
        <w:t>Scophthalmus maximus</w:t>
      </w:r>
      <w:r w:rsidRPr="008C6A37">
        <w:rPr>
          <w:lang w:val="ro-RO"/>
        </w:rPr>
        <w:t xml:space="preserve"> - calcan (30,00-28,52%), urmată de: </w:t>
      </w:r>
      <w:r w:rsidRPr="008C6A37">
        <w:rPr>
          <w:i/>
          <w:lang w:val="ro-RO"/>
        </w:rPr>
        <w:t>Engraulis encrasicolus</w:t>
      </w:r>
      <w:r w:rsidRPr="008C6A37">
        <w:rPr>
          <w:lang w:val="ro-RO"/>
        </w:rPr>
        <w:t xml:space="preserve"> - hamsia (15,60-11,41%), </w:t>
      </w:r>
      <w:r w:rsidRPr="008C6A37">
        <w:rPr>
          <w:i/>
          <w:lang w:val="ro-RO"/>
        </w:rPr>
        <w:t>Trachurus mediterraneus</w:t>
      </w:r>
      <w:r w:rsidRPr="008C6A37">
        <w:rPr>
          <w:lang w:val="ro-RO"/>
        </w:rPr>
        <w:t xml:space="preserve"> ponticus - stavrid (11,20-7,60%), </w:t>
      </w:r>
      <w:r w:rsidRPr="008C6A37">
        <w:rPr>
          <w:i/>
          <w:lang w:val="ro-RO"/>
        </w:rPr>
        <w:t>Sprattus sprattus</w:t>
      </w:r>
      <w:r w:rsidRPr="008C6A37">
        <w:rPr>
          <w:lang w:val="ro-RO"/>
        </w:rPr>
        <w:t xml:space="preserve"> – șprot (18,60 – 23,57%), Gobiidae - guvizi (2,80-3,04%), </w:t>
      </w:r>
      <w:r w:rsidRPr="008C6A37">
        <w:rPr>
          <w:i/>
          <w:lang w:val="ro-RO"/>
        </w:rPr>
        <w:t>Pomatomus saltatrix</w:t>
      </w:r>
      <w:r w:rsidRPr="008C6A37">
        <w:rPr>
          <w:lang w:val="ro-RO"/>
        </w:rPr>
        <w:t xml:space="preserve"> – lufar (3,60-12,17%), </w:t>
      </w:r>
      <w:r w:rsidRPr="008C6A37">
        <w:rPr>
          <w:i/>
          <w:lang w:val="ro-RO"/>
        </w:rPr>
        <w:t>Mullus barbatus</w:t>
      </w:r>
      <w:r w:rsidRPr="008C6A37">
        <w:rPr>
          <w:lang w:val="ro-RO"/>
        </w:rPr>
        <w:t xml:space="preserve"> – barbun (5,36-9,89%), Alosae - alose (1,60-2,28%) şi 1% alte specii (INCDM, 2022).</w:t>
      </w:r>
    </w:p>
    <w:p w14:paraId="59961E83" w14:textId="77777777" w:rsidR="008C6A37" w:rsidRPr="008C6A37" w:rsidRDefault="008C6A37" w:rsidP="00BC11DC">
      <w:pPr>
        <w:ind w:firstLine="567"/>
        <w:rPr>
          <w:lang w:val="ro-RO"/>
        </w:rPr>
      </w:pPr>
      <w:r w:rsidRPr="008C6A37">
        <w:rPr>
          <w:lang w:val="ro-RO"/>
        </w:rPr>
        <w:lastRenderedPageBreak/>
        <w:t>Principalele moluște valorificabile de la țărmul românesc sunt midia (</w:t>
      </w:r>
      <w:r w:rsidRPr="008C6A37">
        <w:rPr>
          <w:i/>
          <w:lang w:val="ro-RO"/>
        </w:rPr>
        <w:t>Mytilus galloprovincialis</w:t>
      </w:r>
      <w:r w:rsidRPr="008C6A37">
        <w:rPr>
          <w:lang w:val="ro-RO"/>
        </w:rPr>
        <w:t>) și rapana (</w:t>
      </w:r>
      <w:r w:rsidRPr="008C6A37">
        <w:rPr>
          <w:i/>
          <w:lang w:val="ro-RO"/>
        </w:rPr>
        <w:t>Rapana venosa</w:t>
      </w:r>
      <w:r w:rsidRPr="008C6A37">
        <w:rPr>
          <w:lang w:val="ro-RO"/>
        </w:rPr>
        <w:t xml:space="preserve">). Datorită valorii nutriționale ridicate și capacității de formare de populații foarte extinse, midia din Marea Neagră este o componentă de bază în lanțul trofic marin, cu valoare ecologică (în procese de biofiltrare) și economică (resursă marină exploatabilă prin valorificare directă și acvacultură). </w:t>
      </w:r>
      <w:r w:rsidRPr="008C6A37">
        <w:rPr>
          <w:i/>
          <w:lang w:val="ro-RO"/>
        </w:rPr>
        <w:t>Rapana venosa</w:t>
      </w:r>
      <w:r w:rsidRPr="008C6A37">
        <w:rPr>
          <w:lang w:val="ro-RO"/>
        </w:rPr>
        <w:t>, cel mai cunoscut reprezentant al malacofaunei din Marea Neagră, intrat accidental cu apa de balast a navelor, are caracteristici adaptative de excepție (nu există specii concurente, nici prădători) și s-a instalat pe arii extinse în noile condiții. În prezent domină capturile pescărești de la țărmul românesc, consumând major stocurile de midie.</w:t>
      </w:r>
    </w:p>
    <w:p w14:paraId="6F1D6AF1" w14:textId="77777777" w:rsidR="008C6A37" w:rsidRPr="008C6A37" w:rsidRDefault="008C6A37" w:rsidP="00BC11DC">
      <w:pPr>
        <w:ind w:firstLine="567"/>
        <w:rPr>
          <w:i/>
          <w:lang w:val="ro-RO"/>
        </w:rPr>
      </w:pPr>
      <w:r w:rsidRPr="008C6A37">
        <w:rPr>
          <w:i/>
          <w:lang w:val="ro-RO"/>
        </w:rPr>
        <w:t>Resursa stuficolă</w:t>
      </w:r>
    </w:p>
    <w:p w14:paraId="569C9A35" w14:textId="77777777" w:rsidR="008C6A37" w:rsidRPr="008C6A37" w:rsidRDefault="008C6A37" w:rsidP="00BC11DC">
      <w:pPr>
        <w:ind w:firstLine="567"/>
        <w:rPr>
          <w:lang w:val="ro-RO"/>
        </w:rPr>
      </w:pPr>
      <w:r w:rsidRPr="008C6A37">
        <w:rPr>
          <w:lang w:val="ro-RO"/>
        </w:rPr>
        <w:t xml:space="preserve">Suprafața acoperită de stuf în Delta Dunării este de circa 173.000 ha, din care doar circa 10-20 % este exploatată în scop economic. Valorificarea resursei stuficole se poate face atât în scop comercial, cât și gospodăresc, ARBDD stabilind anual cote admisibile de exploatare pe baza studiilor de evaluare a resurselor stuficole. Astfel, recoltarea stufului este bine reglementată, pericolul exploatării nesustenabile a acestei resurse regenerabile fiind foarte redus. </w:t>
      </w:r>
    </w:p>
    <w:p w14:paraId="50D4CA6E" w14:textId="77777777" w:rsidR="008C6A37" w:rsidRPr="008C6A37" w:rsidRDefault="008C6A37" w:rsidP="00BC11DC">
      <w:pPr>
        <w:ind w:firstLine="567"/>
        <w:rPr>
          <w:lang w:val="ro-RO"/>
        </w:rPr>
      </w:pPr>
      <w:r w:rsidRPr="008C6A37">
        <w:rPr>
          <w:lang w:val="ro-RO"/>
        </w:rPr>
        <w:t>Una din problemele legate de exploatarea stufului o constituie nivelul scăzut de valorificare a resursei stuficole în special în zonele centrale ale Deltei Dunării, unde se constată fenomenul de “îmbătrânire“ a stufăriilor ca urmare a dezvoltării mai multor generații de stuf în aceeași zonă cu consecințe negative asupra habitatelor naturale, problemă care ar putea fi diminuată prin promovarea unor metode variate de valorificare a biomasei, inclusiv pentru producerea peleților combustibili. Utilizarea acestei resurse poate stopa declinul industriei de celuloză și hârtie.</w:t>
      </w:r>
    </w:p>
    <w:p w14:paraId="0E66BC60" w14:textId="77777777" w:rsidR="008C6A37" w:rsidRPr="008C6A37" w:rsidRDefault="008C6A37" w:rsidP="00BC11DC">
      <w:pPr>
        <w:ind w:firstLine="567"/>
        <w:rPr>
          <w:i/>
          <w:lang w:val="ro-RO"/>
        </w:rPr>
      </w:pPr>
      <w:r w:rsidRPr="008C6A37">
        <w:rPr>
          <w:i/>
          <w:lang w:val="ro-RO"/>
        </w:rPr>
        <w:t xml:space="preserve">Apa subterană </w:t>
      </w:r>
    </w:p>
    <w:p w14:paraId="16555D42" w14:textId="77777777" w:rsidR="008C6A37" w:rsidRPr="008C6A37" w:rsidRDefault="008C6A37" w:rsidP="00BC11DC">
      <w:pPr>
        <w:ind w:firstLine="567"/>
        <w:rPr>
          <w:lang w:val="ro-RO"/>
        </w:rPr>
      </w:pPr>
      <w:r w:rsidRPr="008C6A37">
        <w:rPr>
          <w:lang w:val="ro-RO"/>
        </w:rPr>
        <w:t xml:space="preserve">Conform </w:t>
      </w:r>
      <w:r w:rsidR="00DC18E4" w:rsidRPr="00DC18E4">
        <w:rPr>
          <w:lang w:val="ro-RO"/>
        </w:rPr>
        <w:t xml:space="preserve">Planului de Management actualizat al fluviului Dunărea, Deltei Dunării, spațiului hidrografic Dobrogea și apelor costiere (2022-2027), </w:t>
      </w:r>
      <w:r w:rsidRPr="008C6A37">
        <w:rPr>
          <w:lang w:val="ro-RO"/>
        </w:rPr>
        <w:t>aprobat prin HG 392/2023, în prezent, niciunul dintre corpurile de apă subterane din zona corpurilor de apă subterane nu a fost identificat, din punct de vedere cantitativ, la risc de neatingere a stării bune. Totuși, presiunea pe exploatarea apelor subterane pentru diverse folosințe (populație, industrie, zootehnie, etc.) este în creştere, volumele de apă subterană captate în ultimii ani fiind tot mai mari. Această problemă, a creșterii volumului de ape subterane exploatat, este amplificată și de factori naturali, în particular seceta, afectând astfel reîncărcarea acviferelor.</w:t>
      </w:r>
    </w:p>
    <w:p w14:paraId="63E77129" w14:textId="77777777" w:rsidR="008C6A37" w:rsidRPr="008C6A37" w:rsidRDefault="008C6A37" w:rsidP="00BC11DC">
      <w:pPr>
        <w:ind w:firstLine="567"/>
        <w:rPr>
          <w:i/>
          <w:lang w:val="ro-RO"/>
        </w:rPr>
      </w:pPr>
      <w:r w:rsidRPr="008C6A37">
        <w:rPr>
          <w:i/>
          <w:lang w:val="ro-RO"/>
        </w:rPr>
        <w:t>Ape mezotermale sulfuroase</w:t>
      </w:r>
    </w:p>
    <w:p w14:paraId="40ED16F9" w14:textId="77777777" w:rsidR="008C6A37" w:rsidRPr="008C6A37" w:rsidRDefault="008C6A37" w:rsidP="00BC11DC">
      <w:pPr>
        <w:ind w:firstLine="567"/>
        <w:rPr>
          <w:lang w:val="ro-RO"/>
        </w:rPr>
      </w:pPr>
      <w:r w:rsidRPr="008C6A37">
        <w:rPr>
          <w:lang w:val="ro-RO"/>
        </w:rPr>
        <w:t>Activitatea de exploatare a acestei resurse este reglementată prin acordarea de licențe de exploatare. Fiind o resursă regenerabilă, nu se pune, în prezent, problema nesustenabilității exploatării acesteia.</w:t>
      </w:r>
    </w:p>
    <w:p w14:paraId="62972991" w14:textId="77777777" w:rsidR="008C6A37" w:rsidRPr="008C6A37" w:rsidRDefault="008C6A37" w:rsidP="00BC11DC">
      <w:pPr>
        <w:ind w:firstLine="567"/>
        <w:rPr>
          <w:i/>
          <w:lang w:val="ro-RO"/>
        </w:rPr>
      </w:pPr>
      <w:r w:rsidRPr="008C6A37">
        <w:rPr>
          <w:i/>
          <w:lang w:val="ro-RO"/>
        </w:rPr>
        <w:t>Nămol sapropelic</w:t>
      </w:r>
    </w:p>
    <w:p w14:paraId="5C229B15" w14:textId="77777777" w:rsidR="008C6A37" w:rsidRPr="008C6A37" w:rsidRDefault="008C6A37" w:rsidP="00BC11DC">
      <w:pPr>
        <w:ind w:firstLine="567"/>
        <w:rPr>
          <w:lang w:val="ro-RO"/>
        </w:rPr>
      </w:pPr>
      <w:r w:rsidRPr="008C6A37">
        <w:rPr>
          <w:lang w:val="ro-RO"/>
        </w:rPr>
        <w:t xml:space="preserve">Nămolul sapropelic este principala resursă naturală din lacul Techirghiol. Principalele probleme referitoare la resursa de nămol din lacul Techirghiol sunt legate, pe de o parte, de pericolul contaminǎrii microbiologice, din cauza proximitǎții activității turistice, modificǎrilor </w:t>
      </w:r>
      <w:r w:rsidRPr="008C6A37">
        <w:rPr>
          <w:lang w:val="ro-RO"/>
        </w:rPr>
        <w:lastRenderedPageBreak/>
        <w:t xml:space="preserve">hidrologice şi a deficiențelor în colectarea apelor uzate și a celor meteorice, iar pe de altǎ parte, de pierderea diversitǎții şi afectarea principalelor specii ce contribuie la formarea sapropelului, amplificată de efectele schimbărilor climatice. În aceste condiții, exploatarea nǎmolului, concesionatǎ în prezent mai multor firme, trebuie monitorizatǎ cu atenție pentru evitarea riscurilor de supraexploatare şi/sau scǎdere a calitǎții acestuia. </w:t>
      </w:r>
    </w:p>
    <w:p w14:paraId="36A454B0" w14:textId="77777777" w:rsidR="008C6A37" w:rsidRPr="008C6A37" w:rsidRDefault="008C6A37" w:rsidP="00BC11DC">
      <w:pPr>
        <w:ind w:firstLine="567"/>
        <w:rPr>
          <w:i/>
          <w:lang w:val="ro-RO"/>
        </w:rPr>
      </w:pPr>
      <w:r w:rsidRPr="008C6A37">
        <w:rPr>
          <w:i/>
          <w:lang w:val="ro-RO"/>
        </w:rPr>
        <w:t xml:space="preserve">Calcare și șisturi verzi </w:t>
      </w:r>
    </w:p>
    <w:p w14:paraId="5951B888" w14:textId="77777777" w:rsidR="008C6A37" w:rsidRPr="008C6A37" w:rsidRDefault="008C6A37" w:rsidP="00BC11DC">
      <w:pPr>
        <w:ind w:firstLine="567"/>
        <w:rPr>
          <w:lang w:val="ro-RO"/>
        </w:rPr>
      </w:pPr>
      <w:r w:rsidRPr="008C6A37">
        <w:rPr>
          <w:lang w:val="ro-RO"/>
        </w:rPr>
        <w:t xml:space="preserve">Activitatea de extracție a calcarului industrial și pentru construcții este reglementată de ANRM, prin acordarea de licențe de exploatare, în zona lacului Tașaul. </w:t>
      </w:r>
    </w:p>
    <w:p w14:paraId="2F211605" w14:textId="77777777" w:rsidR="008C6A37" w:rsidRPr="008C6A37" w:rsidRDefault="008C6A37" w:rsidP="00BC11DC">
      <w:pPr>
        <w:ind w:firstLine="567"/>
        <w:rPr>
          <w:i/>
          <w:lang w:val="ro-RO"/>
        </w:rPr>
      </w:pPr>
      <w:r w:rsidRPr="008C6A37">
        <w:rPr>
          <w:i/>
          <w:lang w:val="ro-RO"/>
        </w:rPr>
        <w:t>Nisip din mare</w:t>
      </w:r>
    </w:p>
    <w:p w14:paraId="235684C7" w14:textId="77777777" w:rsidR="008C6A37" w:rsidRPr="008C6A37" w:rsidRDefault="008C6A37" w:rsidP="00BC11DC">
      <w:pPr>
        <w:ind w:firstLine="567"/>
        <w:rPr>
          <w:lang w:val="ro-RO"/>
        </w:rPr>
      </w:pPr>
      <w:r w:rsidRPr="008C6A37">
        <w:rPr>
          <w:lang w:val="ro-RO"/>
        </w:rPr>
        <w:t>În cazul acestei resurse nu se pune problema nesustenabilității exploatării, deoarece extragerea nisipului se face, în prezent, doar în scopul protecției contra eroziunii, prin lărgirea plajelor prin înnisipare, activitate realizată doar ocazional.</w:t>
      </w:r>
    </w:p>
    <w:p w14:paraId="49307A4B" w14:textId="1EF3BB5C" w:rsidR="008C6A37" w:rsidRPr="00940876" w:rsidRDefault="00940876" w:rsidP="005D2CE5">
      <w:pPr>
        <w:pStyle w:val="Heading3"/>
      </w:pPr>
      <w:bookmarkStart w:id="12" w:name="_Toc150247010"/>
      <w:bookmarkStart w:id="13" w:name="_Toc169625097"/>
      <w:r w:rsidRPr="00940876">
        <w:t>1.</w:t>
      </w:r>
      <w:r w:rsidR="008915D2" w:rsidRPr="00940876">
        <w:t>3.3.</w:t>
      </w:r>
      <w:r w:rsidR="008C6A37" w:rsidRPr="00940876">
        <w:t xml:space="preserve"> Aspecte </w:t>
      </w:r>
      <w:r w:rsidR="008C6A37" w:rsidRPr="005D2CE5">
        <w:t>socio</w:t>
      </w:r>
      <w:r w:rsidR="008C6A37" w:rsidRPr="00940876">
        <w:t>-demografice</w:t>
      </w:r>
      <w:bookmarkEnd w:id="12"/>
      <w:bookmarkEnd w:id="13"/>
    </w:p>
    <w:p w14:paraId="63D06B55" w14:textId="77777777" w:rsidR="008C6A37" w:rsidRPr="008C6A37" w:rsidRDefault="008C6A37" w:rsidP="00BC11DC">
      <w:pPr>
        <w:ind w:firstLine="567"/>
        <w:rPr>
          <w:lang w:val="ro-RO"/>
        </w:rPr>
      </w:pPr>
      <w:r w:rsidRPr="008C6A37">
        <w:rPr>
          <w:lang w:val="ro-RO"/>
        </w:rPr>
        <w:t>Conform datelor Recensământului Populației și Locuințelor (RPL) 2021 populația zonei costiere – mai sus definite – era în decembrie 2021, de 400.828 de locuitori (populație rezidentă), în scădere cu 15% față de RPL 2011. Din totalul populației, 87,28% dintre locuitori trăiesc în mediul urban (dintre care 73,76% în cele două municipii), iar 12,72% în mediul rural. Ponderea populației din mediul rural a sporit cu 0,8% față de RPL 2011. Se poate observa că populația este concentrată cu precădere, în mediul urban și în județul Constanța (97,24% din total). Pe de altă parte, cea mai mare parte a suprafeței zonei costiere, se află în județul Tulcea (64,83%) și în mediul rural, în cele 13 comune ale acesteia (82,47%). Această distribuție teritorială a populației determină valori foarte diferite ale densității, respectiv 4,79 locuitori / km</w:t>
      </w:r>
      <w:r w:rsidRPr="008C6A37">
        <w:rPr>
          <w:vertAlign w:val="superscript"/>
          <w:lang w:val="ro-RO"/>
        </w:rPr>
        <w:t>2</w:t>
      </w:r>
      <w:r w:rsidRPr="008C6A37">
        <w:rPr>
          <w:lang w:val="ro-RO"/>
        </w:rPr>
        <w:t xml:space="preserve"> în județul Tulcea și 311,83 locuitori / km</w:t>
      </w:r>
      <w:r w:rsidRPr="008C6A37">
        <w:rPr>
          <w:vertAlign w:val="superscript"/>
          <w:lang w:val="ro-RO"/>
        </w:rPr>
        <w:t>2</w:t>
      </w:r>
      <w:r w:rsidRPr="008C6A37">
        <w:rPr>
          <w:lang w:val="ro-RO"/>
        </w:rPr>
        <w:t xml:space="preserve"> în județul Constanța, valoarea medie a densității la nivelul zonei costiere fiind de 112,77 locuitori / km</w:t>
      </w:r>
      <w:r w:rsidRPr="008C6A37">
        <w:rPr>
          <w:vertAlign w:val="superscript"/>
          <w:lang w:val="ro-RO"/>
        </w:rPr>
        <w:t>2</w:t>
      </w:r>
      <w:r w:rsidRPr="008C6A37">
        <w:rPr>
          <w:lang w:val="ro-RO"/>
        </w:rPr>
        <w:t>.</w:t>
      </w:r>
    </w:p>
    <w:p w14:paraId="4DB27EC9" w14:textId="77777777" w:rsidR="008C6A37" w:rsidRPr="008C6A37" w:rsidRDefault="008C6A37" w:rsidP="00BC11DC">
      <w:pPr>
        <w:ind w:firstLine="567"/>
        <w:rPr>
          <w:lang w:val="ro-RO"/>
        </w:rPr>
      </w:pPr>
      <w:r w:rsidRPr="008C6A37">
        <w:rPr>
          <w:lang w:val="ro-RO"/>
        </w:rPr>
        <w:t xml:space="preserve">Valorile cele mai mari ale ratei natalității populației se înregistrează în mediul rural. Prin valorile peste media națională (8,6 la mie) se remarcă partea centrală a zonei, localitățile din nordul județului Constanța (Corbu, Săcele, Istria și Mihai Viteazu), precum și Sf. Gheorghe, Agigea și Limanu. În același timp, în cazul localităților urbane, doar la Mangalia și Sulina valorile acestui indicator sunt mai mici decât media națională (de 7,1 la mie în 2022). </w:t>
      </w:r>
    </w:p>
    <w:p w14:paraId="53B6B5DE" w14:textId="77777777" w:rsidR="008C6A37" w:rsidRPr="008C6A37" w:rsidRDefault="008C6A37" w:rsidP="00BC11DC">
      <w:pPr>
        <w:ind w:firstLine="567"/>
        <w:rPr>
          <w:lang w:val="ro-RO"/>
        </w:rPr>
      </w:pPr>
      <w:r w:rsidRPr="008C6A37">
        <w:rPr>
          <w:lang w:val="ro-RO"/>
        </w:rPr>
        <w:t>Dinamica ratei mortalității a cunoscut o evoluție diferențiată în ultimul timp. În cazul localităților urbane valorile acestui indicator se află pe un trend constant ascendent de la începutul anilor 1990, accelerat în anii 2020-2021 de efectele cauzate de COVID19. Cu excepția orașului  Năvodari, toate localitățile urbane au înregistrat rata mortalității peste media națională pentru mediul urban (de 13,6 la mie în 2021). Localitățile rurale au înregistrat o dinamică diferențiată a ratei mortalității, arătând un trend ascendent abia în a doua jumătate deceniului al doilea. COVID19 a avut un impact mai mic în mediul rural, majoritatea comunelor situându-se sub media națională de 17,4 la mie în 2021 (excepție face comuna C.A. Rosetti, cu o rată a mortalității a depășit de două ori media națională pentru zonele rurale).</w:t>
      </w:r>
    </w:p>
    <w:p w14:paraId="236BDF1D" w14:textId="77777777" w:rsidR="008C6A37" w:rsidRPr="008C6A37" w:rsidRDefault="008C6A37" w:rsidP="00BC11DC">
      <w:pPr>
        <w:ind w:firstLine="567"/>
        <w:rPr>
          <w:lang w:val="ro-RO"/>
        </w:rPr>
      </w:pPr>
      <w:r w:rsidRPr="008C6A37">
        <w:rPr>
          <w:lang w:val="ro-RO"/>
        </w:rPr>
        <w:t xml:space="preserve">Rata sporului natural în anul 2021 este negativă în toate localitățile din zona de coastă fără excepție. Prin valorile peste media națională (-5,2 la mie pentru mediul urban și -7,8 pentru </w:t>
      </w:r>
      <w:r w:rsidRPr="008C6A37">
        <w:rPr>
          <w:lang w:val="ro-RO"/>
        </w:rPr>
        <w:lastRenderedPageBreak/>
        <w:t>mediul rural) se remarcă doar orașul Năvodari, pentru mediul urban, și 8 din 13 localități din mediul rural. Comuna C.A. Rosetti iese în evidență printr-o valoare extremă a ratei sporului (-34 la mie în 2021).</w:t>
      </w:r>
    </w:p>
    <w:p w14:paraId="7C5B30BA" w14:textId="77777777" w:rsidR="008C6A37" w:rsidRPr="008C6A37" w:rsidRDefault="008C6A37" w:rsidP="00BC11DC">
      <w:pPr>
        <w:ind w:firstLine="567"/>
        <w:rPr>
          <w:lang w:val="ro-RO"/>
        </w:rPr>
      </w:pPr>
      <w:r w:rsidRPr="008C6A37">
        <w:rPr>
          <w:lang w:val="ro-RO"/>
        </w:rPr>
        <w:t>Gradul de îmbătrânire a populației este într-o continuă creștere începând cu anii 1990. Zona Deltei Dunării se remarcă printr-o îmbătrânire avansată atât mediul urban, cât și în mediul rural. Dintre localitățile urbane se remarcă Techirghiol și Năvodari unde valorile acestui indicator se află sub 100%. În același timp în mediul rural doar 4 localități au depășit valoarea de 100% (Sf. Gheorghe, C.A. Rosetti, Jurilovca și Tuzla). În distribuția spațială a indicatorului se remarcă contrastul dintre zona Deltei, în care se înregistrează valorile cele mai mari și zona centrală (Mihai Viteazu, Istria, Săcele, Corbu și Năvodari) cu valorile cele mai mici: Mihai Viteazu este singura localitate cu gradul de îmbătrânire de sub 50%.</w:t>
      </w:r>
    </w:p>
    <w:p w14:paraId="51693D90" w14:textId="77777777" w:rsidR="008C6A37" w:rsidRPr="008C6A37" w:rsidRDefault="008C6A37" w:rsidP="00A92A31">
      <w:pPr>
        <w:ind w:firstLine="567"/>
        <w:rPr>
          <w:lang w:val="ro-RO"/>
        </w:rPr>
      </w:pPr>
      <w:r w:rsidRPr="008C6A37">
        <w:rPr>
          <w:lang w:val="ro-RO"/>
        </w:rPr>
        <w:t>În ceea ce privește tendințele migraționiste de lungă durată, estimate pe baza recensământului populației din 2021, zona de coastă se divizează în două părți distincte: (i) jumătatea nordică (la nord de Năvodari), puțin atractivă, în care ponderea celor născuți în alte localități oscilează între 30 și 40% și (ii) localitățile din jumătatea sudică, conduse detașat de orașul Năvodari (cu circa 70% născuți în alte localități), printre care doar Constanța și Tuzla au valori mai mici, ap</w:t>
      </w:r>
      <w:r w:rsidR="00A92A31">
        <w:rPr>
          <w:lang w:val="ro-RO"/>
        </w:rPr>
        <w:t>ropiate celor din nordul zonei.</w:t>
      </w:r>
    </w:p>
    <w:p w14:paraId="4D6BB007" w14:textId="60CA5CC2" w:rsidR="008C6A37" w:rsidRPr="00940876" w:rsidRDefault="00940876" w:rsidP="005D2CE5">
      <w:pPr>
        <w:pStyle w:val="Heading3"/>
      </w:pPr>
      <w:bookmarkStart w:id="14" w:name="_Toc150247011"/>
      <w:bookmarkStart w:id="15" w:name="_Toc169625098"/>
      <w:r w:rsidRPr="00940876">
        <w:t>1.</w:t>
      </w:r>
      <w:r w:rsidR="008915D2" w:rsidRPr="00940876">
        <w:t>3.4.</w:t>
      </w:r>
      <w:r w:rsidR="005D2CE5">
        <w:t xml:space="preserve"> </w:t>
      </w:r>
      <w:r w:rsidR="008C6A37" w:rsidRPr="00940876">
        <w:t xml:space="preserve">Dezvoltare </w:t>
      </w:r>
      <w:r w:rsidR="008C6A37" w:rsidRPr="005D2CE5">
        <w:t>socio</w:t>
      </w:r>
      <w:r w:rsidR="008C6A37" w:rsidRPr="00940876">
        <w:t>-economică</w:t>
      </w:r>
      <w:bookmarkEnd w:id="14"/>
      <w:bookmarkEnd w:id="15"/>
    </w:p>
    <w:p w14:paraId="374CD9E8" w14:textId="77777777" w:rsidR="008C6A37" w:rsidRPr="008C6A37" w:rsidRDefault="008C6A37" w:rsidP="00BC11DC">
      <w:pPr>
        <w:ind w:firstLine="567"/>
        <w:rPr>
          <w:b/>
          <w:i/>
          <w:lang w:val="ro-RO"/>
        </w:rPr>
      </w:pPr>
      <w:r w:rsidRPr="008C6A37">
        <w:rPr>
          <w:b/>
          <w:i/>
          <w:lang w:val="ro-RO"/>
        </w:rPr>
        <w:t>Pescuit și Acvacultură</w:t>
      </w:r>
    </w:p>
    <w:p w14:paraId="1A505933" w14:textId="77777777" w:rsidR="008C6A37" w:rsidRPr="008C6A37" w:rsidRDefault="008C6A37" w:rsidP="00BC11DC">
      <w:pPr>
        <w:ind w:firstLine="567"/>
        <w:rPr>
          <w:lang w:val="ro-RO"/>
        </w:rPr>
      </w:pPr>
      <w:r w:rsidRPr="008C6A37">
        <w:rPr>
          <w:lang w:val="ro-RO"/>
        </w:rPr>
        <w:t>Pescuitul marin se desfășoară  de la țărm până la izobata de 60 metri (adâncimi mai mari pentru pescuitul specializat de calcan, scrumbie și rechin), acoperind așadar, o mare suprafață a părții marine a zonei costiere. Activitatea de pescuit industrial se realizează folosindu-se unelte active și unelte fixe. Pescuitul cu unelte active se efectuează la adâncimi mai mari de 20 m, cu nave trauler, folosindu-se ca unelte traulul pelagic, beam traulul şi năvodul. Pescuitul cu unelte fixe este practicat în lungul litoralului românesc, la adâncimi mici, de 2-11 m, cu taliene, dar și la adâncimi de 20-60 m, când sunt folosite instalaţii, plase și capcane destinate capturării speciilor de pești care migrează în ape puțin adânci, precum și alte unelte cum ar fi talianul, setca, volte, țaparine și paragate.</w:t>
      </w:r>
    </w:p>
    <w:p w14:paraId="177AAAAF" w14:textId="77777777" w:rsidR="008C6A37" w:rsidRPr="008C6A37" w:rsidRDefault="008C6A37" w:rsidP="00BC11DC">
      <w:pPr>
        <w:ind w:firstLine="567"/>
        <w:rPr>
          <w:lang w:val="ro-RO"/>
        </w:rPr>
      </w:pPr>
      <w:r w:rsidRPr="008C6A37">
        <w:rPr>
          <w:lang w:val="ro-RO"/>
        </w:rPr>
        <w:t>Nivelul capturii și eficiența pescuitului, depind de efortul de pescuit (numărul de nave, numărul de taliene, numărul de zile efective de pescuit, etc), evoluția condițiilor hidroclimatice, starea stocurilor principalelor specii și factorii antropici. Conform ANPA, principalele specii înregistrate în capturi, în 2022, au fost: rapana (2453 t); midiile (446 t); hamsia (30 t); șprot (62 t); stavridul (20 t); lufarul (32 t); calcanul (75 t) și barbunul (26 t).  Pe lângă acestea au mai fost semnalate și (2 t); guvizii (8 t) și alosele (6 t).</w:t>
      </w:r>
    </w:p>
    <w:p w14:paraId="57F2B50B" w14:textId="77777777" w:rsidR="008C6A37" w:rsidRPr="008C6A37" w:rsidRDefault="008C6A37" w:rsidP="00BC11DC">
      <w:pPr>
        <w:ind w:firstLine="567"/>
        <w:rPr>
          <w:lang w:val="ro-RO"/>
        </w:rPr>
      </w:pPr>
      <w:r w:rsidRPr="008C6A37">
        <w:rPr>
          <w:lang w:val="ro-RO"/>
        </w:rPr>
        <w:t>Pescuitul în Delta Dunării a cunoscut în ultimii ani tendință descendentă semnificativă, de la 3600 t/an în 2017, până la 1610 t/an în 2022.</w:t>
      </w:r>
    </w:p>
    <w:p w14:paraId="15184D0D" w14:textId="77777777" w:rsidR="008C6A37" w:rsidRPr="008C6A37" w:rsidRDefault="008C6A37" w:rsidP="00BC11DC">
      <w:pPr>
        <w:ind w:firstLine="567"/>
        <w:rPr>
          <w:lang w:val="ro-RO"/>
        </w:rPr>
      </w:pPr>
      <w:r w:rsidRPr="008C6A37">
        <w:rPr>
          <w:lang w:val="ro-RO"/>
        </w:rPr>
        <w:t>Principalele probleme cu care se confruntă sectorul pescăresc în zona costieră sunt:</w:t>
      </w:r>
    </w:p>
    <w:p w14:paraId="6050AE55" w14:textId="77777777" w:rsidR="008C6A37" w:rsidRPr="008C6A37" w:rsidRDefault="008C6A37" w:rsidP="00BC11DC">
      <w:pPr>
        <w:ind w:firstLine="567"/>
        <w:rPr>
          <w:lang w:val="ro-RO"/>
        </w:rPr>
      </w:pPr>
      <w:r w:rsidRPr="008C6A37">
        <w:rPr>
          <w:lang w:val="ro-RO"/>
        </w:rPr>
        <w:t>•</w:t>
      </w:r>
      <w:r w:rsidRPr="008C6A37">
        <w:rPr>
          <w:lang w:val="ro-RO"/>
        </w:rPr>
        <w:tab/>
        <w:t xml:space="preserve">infrastructura specifică (porturi, puncte de debarcare, puncte de primă vânzare) este, în prezent, slab dezvoltată. Infrastructura de porturi pescărești cu dane specializate și spații de </w:t>
      </w:r>
      <w:r w:rsidRPr="008C6A37">
        <w:rPr>
          <w:lang w:val="ro-RO"/>
        </w:rPr>
        <w:lastRenderedPageBreak/>
        <w:t>depozitare, precum și locațiile pentru organizarea primei vânzări a peștelui sunt insuficiente și necesită îmbunătățirea facilităților existente;</w:t>
      </w:r>
    </w:p>
    <w:p w14:paraId="123CDF14" w14:textId="77777777" w:rsidR="008C6A37" w:rsidRPr="008C6A37" w:rsidRDefault="008C6A37" w:rsidP="00BC11DC">
      <w:pPr>
        <w:ind w:firstLine="567"/>
        <w:rPr>
          <w:lang w:val="ro-RO"/>
        </w:rPr>
      </w:pPr>
      <w:r w:rsidRPr="008C6A37">
        <w:rPr>
          <w:lang w:val="ro-RO"/>
        </w:rPr>
        <w:t>•</w:t>
      </w:r>
      <w:r w:rsidRPr="008C6A37">
        <w:rPr>
          <w:lang w:val="ro-RO"/>
        </w:rPr>
        <w:tab/>
        <w:t>flota de pescuit este învechită, poluatoare;</w:t>
      </w:r>
    </w:p>
    <w:p w14:paraId="4446C0D5" w14:textId="77777777" w:rsidR="008C6A37" w:rsidRPr="008C6A37" w:rsidRDefault="008C6A37" w:rsidP="00BC11DC">
      <w:pPr>
        <w:ind w:firstLine="567"/>
        <w:rPr>
          <w:lang w:val="ro-RO"/>
        </w:rPr>
      </w:pPr>
      <w:r w:rsidRPr="008C6A37">
        <w:rPr>
          <w:lang w:val="ro-RO"/>
        </w:rPr>
        <w:t>•</w:t>
      </w:r>
      <w:r w:rsidRPr="008C6A37">
        <w:rPr>
          <w:lang w:val="ro-RO"/>
        </w:rPr>
        <w:tab/>
        <w:t>în ciuda numeroaselor reglementări, încă există practici sau comportamente nesustenabile care duc la impact nedorit al pescuitului asupra ecosistemelor acvatice;</w:t>
      </w:r>
    </w:p>
    <w:p w14:paraId="6960788E" w14:textId="77777777" w:rsidR="008C6A37" w:rsidRPr="008C6A37" w:rsidRDefault="008C6A37" w:rsidP="00BC11DC">
      <w:pPr>
        <w:ind w:firstLine="567"/>
        <w:rPr>
          <w:lang w:val="ro-RO"/>
        </w:rPr>
      </w:pPr>
      <w:r w:rsidRPr="008C6A37">
        <w:rPr>
          <w:lang w:val="ro-RO"/>
        </w:rPr>
        <w:t>•</w:t>
      </w:r>
      <w:r w:rsidRPr="008C6A37">
        <w:rPr>
          <w:lang w:val="ro-RO"/>
        </w:rPr>
        <w:tab/>
        <w:t>delimitarea zonelor prioritare de pescuit nu este foarte clară, lipsind criteriile clare pentru stabilirea acestora;</w:t>
      </w:r>
    </w:p>
    <w:p w14:paraId="34FDBCDF" w14:textId="77777777" w:rsidR="008C6A37" w:rsidRPr="008C6A37" w:rsidRDefault="008C6A37" w:rsidP="00BC11DC">
      <w:pPr>
        <w:ind w:firstLine="567"/>
        <w:rPr>
          <w:lang w:val="ro-RO"/>
        </w:rPr>
      </w:pPr>
      <w:r w:rsidRPr="008C6A37">
        <w:rPr>
          <w:lang w:val="ro-RO"/>
        </w:rPr>
        <w:t>•</w:t>
      </w:r>
      <w:r w:rsidRPr="008C6A37">
        <w:rPr>
          <w:lang w:val="ro-RO"/>
        </w:rPr>
        <w:tab/>
        <w:t>starea precară a stocurilor de sturioni din Dunăre și Marea Neagră și supraexploatarea stocurilor de calcan din Marea Neagră;</w:t>
      </w:r>
    </w:p>
    <w:p w14:paraId="05439653" w14:textId="77777777" w:rsidR="008C6A37" w:rsidRPr="008C6A37" w:rsidRDefault="008C6A37" w:rsidP="00BC11DC">
      <w:pPr>
        <w:ind w:firstLine="567"/>
        <w:rPr>
          <w:lang w:val="ro-RO"/>
        </w:rPr>
      </w:pPr>
      <w:r w:rsidRPr="008C6A37">
        <w:rPr>
          <w:lang w:val="ro-RO"/>
        </w:rPr>
        <w:t>•</w:t>
      </w:r>
      <w:r w:rsidRPr="008C6A37">
        <w:rPr>
          <w:lang w:val="ro-RO"/>
        </w:rPr>
        <w:tab/>
        <w:t xml:space="preserve">modificarea sau transformarea habitatelor de reproducere sau hrănire a speciilor de pești ca urmare a lucrările hidrotehnice; </w:t>
      </w:r>
    </w:p>
    <w:p w14:paraId="0CEAA36E" w14:textId="77777777" w:rsidR="008C6A37" w:rsidRPr="008C6A37" w:rsidRDefault="008C6A37" w:rsidP="00BC11DC">
      <w:pPr>
        <w:ind w:firstLine="567"/>
        <w:rPr>
          <w:lang w:val="ro-RO"/>
        </w:rPr>
      </w:pPr>
      <w:r w:rsidRPr="008C6A37">
        <w:rPr>
          <w:lang w:val="ro-RO"/>
        </w:rPr>
        <w:t>•</w:t>
      </w:r>
      <w:r w:rsidRPr="008C6A37">
        <w:rPr>
          <w:lang w:val="ro-RO"/>
        </w:rPr>
        <w:tab/>
        <w:t>lipsa zonǎrii habitatelor de reproducere şi înmulțire a principalelor specii exploatabile;</w:t>
      </w:r>
    </w:p>
    <w:p w14:paraId="208C6C0F" w14:textId="77777777" w:rsidR="008C6A37" w:rsidRPr="008C6A37" w:rsidRDefault="008C6A37" w:rsidP="00BC11DC">
      <w:pPr>
        <w:ind w:firstLine="567"/>
        <w:rPr>
          <w:lang w:val="ro-RO"/>
        </w:rPr>
      </w:pPr>
      <w:r w:rsidRPr="008C6A37">
        <w:rPr>
          <w:lang w:val="ro-RO"/>
        </w:rPr>
        <w:t>•</w:t>
      </w:r>
      <w:r w:rsidRPr="008C6A37">
        <w:rPr>
          <w:lang w:val="ro-RO"/>
        </w:rPr>
        <w:tab/>
        <w:t>lipsa zonǎrii habitatelor cu potențial productiv din punct de vedere al resurselor piscicole, precum şi a informațiilor despre ariile vulnerabile la activitǎțile umane ce impacteazǎ productivitatea şi diversitatea biologicǎ, importante pentru susținerea stocurilor;</w:t>
      </w:r>
    </w:p>
    <w:p w14:paraId="461A3EA9" w14:textId="77777777" w:rsidR="008C6A37" w:rsidRPr="008C6A37" w:rsidRDefault="008C6A37" w:rsidP="00BC11DC">
      <w:pPr>
        <w:ind w:firstLine="567"/>
        <w:rPr>
          <w:lang w:val="ro-RO"/>
        </w:rPr>
      </w:pPr>
      <w:r w:rsidRPr="008C6A37">
        <w:rPr>
          <w:lang w:val="ro-RO"/>
        </w:rPr>
        <w:t>•</w:t>
      </w:r>
      <w:r w:rsidRPr="008C6A37">
        <w:rPr>
          <w:lang w:val="ro-RO"/>
        </w:rPr>
        <w:tab/>
        <w:t>schimbarea folosinţei iazurilor, prin transformarea lor în poldere agricole a afectat semnificativ acvacultura. Pe de altă parte, eutrofizarea, poluarea şi unele fenomene naturale (seceta), precum şi lipsa tehnologiilor moderne au dus la scăderea productivităţii amenajărilor piscicole din Delta Dunării.</w:t>
      </w:r>
    </w:p>
    <w:p w14:paraId="77E2B09C" w14:textId="77777777" w:rsidR="008C6A37" w:rsidRPr="008C6A37" w:rsidRDefault="008C6A37" w:rsidP="00BC11DC">
      <w:pPr>
        <w:ind w:firstLine="567"/>
        <w:rPr>
          <w:lang w:val="ro-RO"/>
        </w:rPr>
      </w:pPr>
      <w:r w:rsidRPr="008C6A37">
        <w:rPr>
          <w:i/>
          <w:lang w:val="ro-RO"/>
        </w:rPr>
        <w:t>Acvacultura</w:t>
      </w:r>
      <w:r w:rsidRPr="008C6A37">
        <w:rPr>
          <w:lang w:val="ro-RO"/>
        </w:rPr>
        <w:t xml:space="preserve"> în zona costieră se bazează preponderent pe activitatea de piscicultură de apă dulce (în lacuri deltaice și litorale) și salmastră (în lagune), în timp ce acvacultura marină pontică are o dezvoltare relativ recentă (Zaharia și colab., 2017). Pe baza programelor și recomandărilor UE și potențialului mariculturii s-au reluat activitățile de cercetare pentru dezvoltarea domeniului pe organisme acvatice cu mare plasticitate care suportă variații mari de temperatură, salinitate, densitate, hrană, precum și condiții de creștere în condiții dirijate, de captivitate (http://msp-platform.rmri.ro/marsplan.html). Un factor promotor pentru dezvoltarea acvaculturii marine îl constituie delimitarea zonelor alocate pentru acvacultură (AZA). La nivel național s-a realizat clasificarea apelor pentru calitatea moluștelor (clasa A) pentru trei zone, după cum urmează: a) zona 1, cuprinsă între Perișor și Chituc (Tulcea), cu o suprafață de circa 215 Mm</w:t>
      </w:r>
      <w:r w:rsidRPr="008C6A37">
        <w:rPr>
          <w:vertAlign w:val="superscript"/>
          <w:lang w:val="ro-RO"/>
        </w:rPr>
        <w:t>2</w:t>
      </w:r>
      <w:r w:rsidRPr="008C6A37">
        <w:rPr>
          <w:lang w:val="ro-RO"/>
        </w:rPr>
        <w:t>; b) zona 2, cuprinsă între Năvodari și portul Constanța (Baia Mamaia), circa 109 Mm</w:t>
      </w:r>
      <w:r w:rsidRPr="008C6A37">
        <w:rPr>
          <w:vertAlign w:val="superscript"/>
          <w:lang w:val="ro-RO"/>
        </w:rPr>
        <w:t>2</w:t>
      </w:r>
      <w:r w:rsidRPr="008C6A37">
        <w:rPr>
          <w:lang w:val="ro-RO"/>
        </w:rPr>
        <w:t>; zona 3, cuprinsă între Agigea și Mangalia, cu o suprafață de circa 10  Mm</w:t>
      </w:r>
      <w:r w:rsidRPr="008C6A37">
        <w:rPr>
          <w:vertAlign w:val="superscript"/>
          <w:lang w:val="ro-RO"/>
        </w:rPr>
        <w:t>2</w:t>
      </w:r>
      <w:r w:rsidRPr="008C6A37">
        <w:rPr>
          <w:lang w:val="ro-RO"/>
        </w:rPr>
        <w:t xml:space="preserve"> . </w:t>
      </w:r>
    </w:p>
    <w:p w14:paraId="4E9E3AFF" w14:textId="77777777" w:rsidR="008C6A37" w:rsidRPr="008C6A37" w:rsidRDefault="008C6A37" w:rsidP="00BC11DC">
      <w:pPr>
        <w:ind w:firstLine="567"/>
        <w:rPr>
          <w:b/>
          <w:i/>
          <w:lang w:val="ro-RO"/>
        </w:rPr>
      </w:pPr>
      <w:r w:rsidRPr="008C6A37">
        <w:rPr>
          <w:b/>
          <w:i/>
          <w:lang w:val="ro-RO"/>
        </w:rPr>
        <w:t>Turism</w:t>
      </w:r>
    </w:p>
    <w:p w14:paraId="274A18E3" w14:textId="77777777" w:rsidR="008C6A37" w:rsidRPr="008C6A37" w:rsidRDefault="008C6A37" w:rsidP="00BC11DC">
      <w:pPr>
        <w:ind w:firstLine="567"/>
        <w:rPr>
          <w:lang w:val="ro-RO"/>
        </w:rPr>
      </w:pPr>
      <w:r w:rsidRPr="008C6A37">
        <w:rPr>
          <w:lang w:val="ro-RO"/>
        </w:rPr>
        <w:t>Turismul, deși cu un pronunțat caracter sezonier, rămâne cel mai important sector economic din zona costieră. Zona turistică a litoralului românesc la Marea Neagră cuprinde 12 stațiuni turistice de interes național, plus alte 5 localități turistice litorale (Constanța, Tuzla, 23 August, 2 Mai și Vama Veche), toate situate în județul Constanța, la care se adaugă 5 localități turistice din județul Tulcea: comuna C.A. Rosetti, orașul Sulina, comunele Sfântu Gheorghe, Murighiol și Jurilovca, precum și comunele Corbu, Agigea, Tuzla, 23 August și Limanu, din județul Constanța.</w:t>
      </w:r>
    </w:p>
    <w:p w14:paraId="60A9848B" w14:textId="77777777" w:rsidR="008C6A37" w:rsidRPr="008C6A37" w:rsidRDefault="00A92A31" w:rsidP="00BC11DC">
      <w:pPr>
        <w:ind w:firstLine="567"/>
        <w:rPr>
          <w:lang w:val="ro-RO"/>
        </w:rPr>
      </w:pPr>
      <w:r>
        <w:rPr>
          <w:lang w:val="ro-RO"/>
        </w:rPr>
        <w:lastRenderedPageBreak/>
        <w:t>Conform INSS</w:t>
      </w:r>
      <w:r w:rsidR="008C6A37" w:rsidRPr="008C6A37">
        <w:rPr>
          <w:lang w:val="ro-RO"/>
        </w:rPr>
        <w:t xml:space="preserve">E, în 2021, capacitatea de cazare turistică existentă a acestor stațiuni și localități costiere era de 92.901 de locuri, în 1207 structuri de primire turistică având funcțiuni de cazare turistică, reprezentând 13,2% din numărul de unități și respectiv 25,49 % din capacitatea de cazare turistică totală a României. Conform aceleași surse, în 2021, numărul turiștilor sosiți în zona costieră a României a fost de 1.312.084, reprezentând 14% din totalul turiștilor sosiți în România în anul respectiv. Dintre aceștia, majoritatea covârșitoare (95,78%) au fost cazați în stațiunile litorale din județul Constanța (cei mai mulți în stațiunile din municipiile Mangalia și Constanța) și doar 4,22% în localitățile costiere situate în județul Tulcea (cei mai mulți în Murighiol). </w:t>
      </w:r>
    </w:p>
    <w:p w14:paraId="624EBEA8" w14:textId="77777777" w:rsidR="008C6A37" w:rsidRPr="008C6A37" w:rsidRDefault="008C6A37" w:rsidP="00BC11DC">
      <w:pPr>
        <w:ind w:firstLine="567"/>
        <w:rPr>
          <w:lang w:val="ro-RO"/>
        </w:rPr>
      </w:pPr>
      <w:r w:rsidRPr="008C6A37">
        <w:rPr>
          <w:lang w:val="ro-RO"/>
        </w:rPr>
        <w:t>Numărul total al înnoptărilor înregistrate de turiștii cazați în zona costieră a României, în anul 2021, a fost de 4.629.706, reprezentând 22,22% din totalul turiștilor sosiți în România în anul respectiv. Dintre acestea, 4.506.772 de înnoptări au fost înregistrate în zona costieră aferentă județului Constanța, iar diferența de 55.318 înnoptări, au fost înregistrate în localitățile din zona costieră din județul Tulcea. Cel mai mare număr al înnoptărilor a fost înregistrat în stațiunile aparținând municipiului Mangalia (1.769.728), urmat de cele din municipiul Constanța, incluzând și stațiunea Mamaia (416.012) și de cele din orașul Eforie (809.868).</w:t>
      </w:r>
    </w:p>
    <w:p w14:paraId="01F51E08" w14:textId="77777777" w:rsidR="008C6A37" w:rsidRPr="008C6A37" w:rsidRDefault="008C6A37" w:rsidP="00BC11DC">
      <w:pPr>
        <w:ind w:firstLine="567"/>
        <w:rPr>
          <w:lang w:val="ro-RO"/>
        </w:rPr>
      </w:pPr>
      <w:r w:rsidRPr="008C6A37">
        <w:rPr>
          <w:lang w:val="ro-RO"/>
        </w:rPr>
        <w:t>Concentrarea activității turistice în perioada de vară (2-3 luni), respectiv sezonalitatea ridicată a acestei activități, determină o presiune considerabilă exercitată asupra ecosistemului costier, prin introducerea, în primul rând de deșeuri, poluanți atmosferici (intensificarea traficului rutier și fluvial), zgomot, agenți patogeni, prin degradarea peisajului, a capitalului cultural, etc. Dacă în Delta Dunării presiunea nu este atât de ridicată, pe de o parte datorită numărului semnificativ mai scăzut de vizitatori, iar pe de altă parte datorită reglementărilor impuse de către ARBDD cu privire la activitățile din Delta Dunării, în partea sudică a zonei costiere turismul de masă are efecte negative semnificative asupra mediului. Pe plan social, caracterul strict sezonier al locurilor de muncă din industria turismului în zona costieră face ca cererea de locuri de muncă să fie redusă, sub ofertă, ceea ce determină în cele din urmă scăderea calității serviciilor oferite.</w:t>
      </w:r>
    </w:p>
    <w:p w14:paraId="338DDB12" w14:textId="77777777" w:rsidR="008C6A37" w:rsidRPr="008C6A37" w:rsidRDefault="008C6A37" w:rsidP="00BC11DC">
      <w:pPr>
        <w:ind w:firstLine="567"/>
        <w:rPr>
          <w:lang w:val="ro-RO"/>
        </w:rPr>
      </w:pPr>
      <w:r w:rsidRPr="008C6A37">
        <w:rPr>
          <w:lang w:val="ro-RO"/>
        </w:rPr>
        <w:t xml:space="preserve">Problema sezonalității ridicate a turismului poate fi contracarată printr-o diversificare a ofertei turistice, prin promovarea turismului de evenimente, a turismului cultural, a pesca-turismului, turismului rural și gastronomic în partea nordică a zonei costiere (Delta Dunării) și turismul de aventură, cel balneo-medical, de organizare a unor manifestări expoziționale, precum și cel de evenimente culturale și de reuniuni în sudul litoralului. </w:t>
      </w:r>
    </w:p>
    <w:p w14:paraId="641A03ED" w14:textId="77777777" w:rsidR="008C6A37" w:rsidRPr="008C6A37" w:rsidRDefault="008C6A37" w:rsidP="00BC11DC">
      <w:pPr>
        <w:ind w:firstLine="567"/>
        <w:rPr>
          <w:lang w:val="ro-RO"/>
        </w:rPr>
      </w:pPr>
      <w:r w:rsidRPr="008C6A37">
        <w:rPr>
          <w:lang w:val="ro-RO"/>
        </w:rPr>
        <w:t xml:space="preserve">Printre cele mai grave probleme cu care s-a confruntat în ultima perioadă turismul în zona costieră, în special în partea sa sudică unde se practică un turism de masă, sunt, pe de-o parte, scăderea aproape continuă a duratei medii a sejurului petrecut de turiști, iar pe de altă parte reducerea drastică a sosirilor turiștilor străini. Slaba promovare turistică constituie principala cauză a reducerii semnificative a numărului de turiști străini, fiind necesare, în mod evident, îmbunătățirea ofertei turistice a litoralului românesc, dar și reluarea campaniilor de promovare turistică a acestei oferte pe piețe țintă europene. </w:t>
      </w:r>
    </w:p>
    <w:p w14:paraId="55158964" w14:textId="77777777" w:rsidR="008C6A37" w:rsidRPr="008C6A37" w:rsidRDefault="008C6A37" w:rsidP="00BC11DC">
      <w:pPr>
        <w:ind w:firstLine="567"/>
        <w:rPr>
          <w:lang w:val="ro-RO"/>
        </w:rPr>
      </w:pPr>
      <w:r w:rsidRPr="008C6A37">
        <w:rPr>
          <w:lang w:val="ro-RO"/>
        </w:rPr>
        <w:t xml:space="preserve">Alte probleme legate de dezvoltarea turismului în zona costieră sunt legate de alte sectoare economice, precum transportul. Îmbunătățirea infrastructurii de transport feroviar, oferirea de alternative la transportul rutier, organizarea de curse aeriene charter pentru turiști, </w:t>
      </w:r>
      <w:r w:rsidRPr="008C6A37">
        <w:rPr>
          <w:lang w:val="ro-RO"/>
        </w:rPr>
        <w:lastRenderedPageBreak/>
        <w:t xml:space="preserve">care să opereze pe Aeroportul M. Kogălniceanu Constanța și pe cel din Tulcea, precum și creșterea numărului de nave de pasageri cu escale mai lungi în portul Constanța pot contribui la sporirea atractivității și extinderea duratei sezonului turistic și, implicit, creșterea veniturilor. </w:t>
      </w:r>
    </w:p>
    <w:p w14:paraId="3644A98E" w14:textId="77777777" w:rsidR="008C6A37" w:rsidRPr="008C6A37" w:rsidRDefault="008C6A37" w:rsidP="00BC11DC">
      <w:pPr>
        <w:ind w:firstLine="567"/>
        <w:rPr>
          <w:b/>
          <w:i/>
          <w:lang w:val="ro-RO"/>
        </w:rPr>
      </w:pPr>
      <w:r w:rsidRPr="008C6A37">
        <w:rPr>
          <w:b/>
          <w:i/>
          <w:lang w:val="ro-RO"/>
        </w:rPr>
        <w:t>Transport</w:t>
      </w:r>
    </w:p>
    <w:p w14:paraId="03297977" w14:textId="77777777" w:rsidR="008C6A37" w:rsidRPr="008C6A37" w:rsidRDefault="008C6A37" w:rsidP="00BC11DC">
      <w:pPr>
        <w:ind w:firstLine="567"/>
        <w:rPr>
          <w:lang w:val="ro-RO"/>
        </w:rPr>
      </w:pPr>
      <w:r w:rsidRPr="008C6A37">
        <w:rPr>
          <w:lang w:val="ro-RO"/>
        </w:rPr>
        <w:t>Rețeaua de transport care conectează unitățile administrativ-teritoriale din zona costieră include transportul naval și terestru (rutier și feroviar) servind fluxurile de mărfuri și pasageri aferentei acestora.</w:t>
      </w:r>
    </w:p>
    <w:p w14:paraId="69258BA4" w14:textId="77777777" w:rsidR="008C6A37" w:rsidRPr="008C6A37" w:rsidRDefault="008C6A37" w:rsidP="00BC11DC">
      <w:pPr>
        <w:ind w:firstLine="567"/>
        <w:rPr>
          <w:lang w:val="ro-RO"/>
        </w:rPr>
      </w:pPr>
      <w:r w:rsidRPr="008C6A37">
        <w:rPr>
          <w:lang w:val="ro-RO"/>
        </w:rPr>
        <w:t>Pe teritoriul zonei costiere, în partea nordică, aferentă județului Tulcea, rețeaua de drumuri publice cuprinde doar drumuri județene și comunale, în timp ce în partea sudică, aferentă județului Constanța, rețeaua de drumuri publice este mult mai complexă, incluzând toate categoriile de drumuri (autostradă, drumuri naționale, drumuri județene și drumuri comunale). Principalele probleme referitoare la transportul terestru se referă atât la infrastructură, cât și la mijloacele de transport. Infrastructura de transport terestru este departe de a fi una optimă din punct de vedere al teritoriilor şi funcţionalităţilor deservite, în special în partea de nord a zonei costiere. Deși mai bine dezvoltată în sudul zonei costiere, infrastructura actuală nu acoperă adecvat fluxul de trafic rutier în sezonul turistic. Aceasta, corelată cu numărul ridicat de mijloace de transport ce folosesc combustibili fosili și care în mare parte sunt vechi, poluante, conduc la o intensificare semnificativă a poluării atmosferice și fonice.</w:t>
      </w:r>
    </w:p>
    <w:p w14:paraId="606B025F" w14:textId="77777777" w:rsidR="008C6A37" w:rsidRPr="008C6A37" w:rsidRDefault="008C6A37" w:rsidP="00BC11DC">
      <w:pPr>
        <w:ind w:firstLine="567"/>
        <w:rPr>
          <w:lang w:val="ro-RO"/>
        </w:rPr>
      </w:pPr>
      <w:r w:rsidRPr="008C6A37">
        <w:rPr>
          <w:lang w:val="ro-RO"/>
        </w:rPr>
        <w:t>Referitor la transportul feroviar, rețeaua acestuia în partea nordică a zonei costiere este ca și inexistentă. În partea sudică, transportul feroviar se desfășoară pe o magistrală CFR (magistrala 800 București Nord-Constanța-Mangalia) și căi ferate secundare, dedicate atât transportului de pasageri, cât și celui de marfă. Transportul feroviar în sudul zonei costiere nu oferă încă o alternativă viabilă la transportul rutier. Mai mult, numărul redus de kilometri de cale ferată electrificată determină ca folosirea combustibililor fosili să contribuie la creșterea emisiilor poluante în atmosferă.</w:t>
      </w:r>
    </w:p>
    <w:p w14:paraId="0446E7A8" w14:textId="77777777" w:rsidR="008C6A37" w:rsidRPr="008C6A37" w:rsidRDefault="008C6A37" w:rsidP="00BC11DC">
      <w:pPr>
        <w:ind w:firstLine="567"/>
        <w:rPr>
          <w:lang w:val="ro-RO"/>
        </w:rPr>
      </w:pPr>
      <w:r w:rsidRPr="008C6A37">
        <w:rPr>
          <w:lang w:val="ro-RO"/>
        </w:rPr>
        <w:t xml:space="preserve">Traficul maritim este concentrat în zona portului maritim Constanța, dar și în zona porturilor situate pe sectorul maritim al Dunării. În general, traficul maritim se concentrează în zona litoralului sudic şi gurile Dunării, rutele fiind spre principalele porturi din Marea Neagră, în special spre Bosfor, și este reprezentat în general de nave tip vrachier, tanc și portcontainer (INCDM, 2022). </w:t>
      </w:r>
    </w:p>
    <w:p w14:paraId="2F31D626" w14:textId="77777777" w:rsidR="008C6A37" w:rsidRPr="008C6A37" w:rsidRDefault="008C6A37" w:rsidP="00BC11DC">
      <w:pPr>
        <w:ind w:firstLine="567"/>
        <w:rPr>
          <w:lang w:val="ro-RO"/>
        </w:rPr>
      </w:pPr>
      <w:r w:rsidRPr="008C6A37">
        <w:rPr>
          <w:lang w:val="ro-RO"/>
        </w:rPr>
        <w:t>În prezent, Master Planul Portului Constanţa, aflat în curs de actualizare, prevede o serie de proiecte menite a-i spori capacitatea de acomodare a navelor de tonaj mare şi de dezvoltare a transportului multimodal, în paralel cu modernizarea infrastructurii şi suprastructurii. Îmbunătățirea infrastructurii feroviare din port și a conexiunilor feroviare cu acesta este unul dintre proiectele importante de care depinde dezvoltarea transportului naval în zonă. De asemenea, portul trebuie să asigure în timp relativ scurt capacitatea de aprovizionare cu LNG a navelor și să ia în considerare în dezvoltările sale schimbările din sectorul energetic din regiune.</w:t>
      </w:r>
    </w:p>
    <w:p w14:paraId="25F13989" w14:textId="77777777" w:rsidR="008C6A37" w:rsidRPr="008C6A37" w:rsidRDefault="008C6A37" w:rsidP="00BC11DC">
      <w:pPr>
        <w:ind w:firstLine="567"/>
        <w:rPr>
          <w:lang w:val="ro-RO"/>
        </w:rPr>
      </w:pPr>
      <w:r w:rsidRPr="008C6A37">
        <w:rPr>
          <w:lang w:val="ro-RO"/>
        </w:rPr>
        <w:t xml:space="preserve">În ceea ce privește traficul naval pe brațele Dunării, se observă o creștere semnificativă în 2022 a numărului de nave ce au tranzitat Canalul Sulina, în special pentru nave cu tonaj peste 3000 tdw, în strânsă legătură cu conflictul armat generat de agresiunea Rusiei asupra </w:t>
      </w:r>
      <w:r w:rsidRPr="008C6A37">
        <w:rPr>
          <w:lang w:val="ro-RO"/>
        </w:rPr>
        <w:lastRenderedPageBreak/>
        <w:t xml:space="preserve">Ucrainei. Spre deosebire de traficul de mărfuri, dinamica numărului de pasageri pe cele trei brațe ale Dunării, către localitățile Sulina, Periprava și Sfântu Gheorghe, este într-o scădere continuă în ultimii 10 ani, iar cauzele sunt numărul în creștere a celor care aleg să meargă cu ambarcațiuni private, contextul pandemic, etc.   </w:t>
      </w:r>
    </w:p>
    <w:p w14:paraId="32390C6B" w14:textId="77777777" w:rsidR="008C6A37" w:rsidRPr="008C6A37" w:rsidRDefault="008C6A37" w:rsidP="00BC11DC">
      <w:pPr>
        <w:ind w:firstLine="567"/>
        <w:rPr>
          <w:b/>
          <w:i/>
          <w:lang w:val="ro-RO"/>
        </w:rPr>
      </w:pPr>
      <w:r w:rsidRPr="008C6A37">
        <w:rPr>
          <w:b/>
          <w:i/>
          <w:lang w:val="ro-RO"/>
        </w:rPr>
        <w:t xml:space="preserve">Activități portuare </w:t>
      </w:r>
    </w:p>
    <w:p w14:paraId="519E41EE" w14:textId="77777777" w:rsidR="008C6A37" w:rsidRPr="008C6A37" w:rsidRDefault="008C6A37" w:rsidP="00BC11DC">
      <w:pPr>
        <w:ind w:firstLine="567"/>
        <w:rPr>
          <w:lang w:val="ro-RO"/>
        </w:rPr>
      </w:pPr>
      <w:r w:rsidRPr="008C6A37">
        <w:rPr>
          <w:i/>
          <w:lang w:val="ro-RO"/>
        </w:rPr>
        <w:t>Portul Constanța</w:t>
      </w:r>
      <w:r w:rsidRPr="008C6A37">
        <w:rPr>
          <w:lang w:val="ro-RO"/>
        </w:rPr>
        <w:t xml:space="preserve"> include zonele Constanța, Midia, Mangalia și Basarabi (aceasta situată în afara zonei de studiu), împreună constituind complexul portuar maritim românesc aflat în administrarea CN APM S.A.</w:t>
      </w:r>
    </w:p>
    <w:p w14:paraId="3F54383A" w14:textId="77777777" w:rsidR="008C6A37" w:rsidRPr="008C6A37" w:rsidRDefault="008C6A37" w:rsidP="00BC11DC">
      <w:pPr>
        <w:ind w:firstLine="567"/>
        <w:rPr>
          <w:lang w:val="ro-RO"/>
        </w:rPr>
      </w:pPr>
      <w:r w:rsidRPr="008C6A37">
        <w:rPr>
          <w:lang w:val="ro-RO"/>
        </w:rPr>
        <w:t>Portul Constanța – zona Constanța acoperă o suprafață totală de 3.926 ha, din care 1.313 ha uscat și 2.613 ha apă și dispune de 140 dane operaționale, dintr-un total de 156. Lungimea totală a cheurilor este de 32 km, iar adâncimile variază între 7 și 19 m (</w:t>
      </w:r>
      <w:hyperlink r:id="rId19">
        <w:r w:rsidRPr="008C6A37">
          <w:rPr>
            <w:rStyle w:val="Hyperlink"/>
            <w:lang w:val="ro-RO"/>
          </w:rPr>
          <w:t>https://www.portofconstantza.com/pn/page/np_prezentare_port</w:t>
        </w:r>
      </w:hyperlink>
      <w:r w:rsidRPr="008C6A37">
        <w:rPr>
          <w:lang w:val="ro-RO"/>
        </w:rPr>
        <w:t xml:space="preserve">). Aceste caracteristici sunt comparabile cu cele oferite de către cele mai importante porturi europene și internaționale, permițând accesul navelor tanc cu capacitatea de 165.000 dwt și a vrachierelor cu capacitatea de 220.000 dwt. </w:t>
      </w:r>
    </w:p>
    <w:p w14:paraId="1CFDF113" w14:textId="77777777" w:rsidR="008C6A37" w:rsidRPr="008C6A37" w:rsidRDefault="008C6A37" w:rsidP="00BC11DC">
      <w:pPr>
        <w:ind w:firstLine="567"/>
        <w:rPr>
          <w:lang w:val="ro-RO"/>
        </w:rPr>
      </w:pPr>
      <w:r w:rsidRPr="008C6A37">
        <w:rPr>
          <w:lang w:val="ro-RO"/>
        </w:rPr>
        <w:t xml:space="preserve">Portul Constanța este atât port maritim, cât și port fluvial, facilitățile permițând acostarea oricărui tip de navă fluvială. Legătura Portului Constanța cu Dunărea se realizează prin Canalul Dunăre - Marea Neagră și reprezintă unul dintre principalele avantaje ale Portului Constanța. </w:t>
      </w:r>
    </w:p>
    <w:p w14:paraId="55161DDF" w14:textId="77777777" w:rsidR="008C6A37" w:rsidRPr="008C6A37" w:rsidRDefault="008C6A37" w:rsidP="00BC11DC">
      <w:pPr>
        <w:ind w:firstLine="567"/>
        <w:rPr>
          <w:lang w:val="ro-RO"/>
        </w:rPr>
      </w:pPr>
      <w:r w:rsidRPr="008C6A37">
        <w:rPr>
          <w:lang w:val="ro-RO"/>
        </w:rPr>
        <w:t>Portul dispune terminale specializate de: vrac lichid, vrac solid (minereu, cărbune și cocs, produse chimice și îngrășăminte, cereale, ciment vrac și materiale de construcții, alte mărfuri vrac solid), containere, mărfuri generale (produse chimice și îngrășăminte, produse alimentare, cherestea și alte produse din lemn, produse metalice, alte mărfuri generale), RO-RO / FERRY, pasageri, barje nepropulsate și remorchere fluviale și gaz petrolier lichefiat.</w:t>
      </w:r>
    </w:p>
    <w:p w14:paraId="4C84E826" w14:textId="77777777" w:rsidR="008C6A37" w:rsidRPr="008C6A37" w:rsidRDefault="008C6A37" w:rsidP="00BC11DC">
      <w:pPr>
        <w:ind w:firstLine="567"/>
        <w:rPr>
          <w:lang w:val="ro-RO"/>
        </w:rPr>
      </w:pPr>
      <w:r w:rsidRPr="008C6A37">
        <w:rPr>
          <w:lang w:val="ro-RO"/>
        </w:rPr>
        <w:t>Portul Constanța – zona Midia pune la dispoziție facilitățile pentru centrul industrial și petrochimic adiacent. Portul, cu o suprafață totală de 834 ha, dispune de 14 dane (11 sunt dane operaționale, iar 3 dane sunt destinate întreținerii și reparațiilor de nave). Principalele categorii de mărfuri operate sunt: petrol brut și produse derivate, GPL, mărfuri generale și animale vii. În zona Midia se află și o bază de operațiuni pentru forările offshore care se realizează în sectorul românesc al Mării Negre.</w:t>
      </w:r>
    </w:p>
    <w:p w14:paraId="21CAE87A" w14:textId="77777777" w:rsidR="008C6A37" w:rsidRPr="008C6A37" w:rsidRDefault="008C6A37" w:rsidP="00BC11DC">
      <w:pPr>
        <w:ind w:firstLine="567"/>
        <w:rPr>
          <w:lang w:val="ro-RO"/>
        </w:rPr>
      </w:pPr>
      <w:r w:rsidRPr="008C6A37">
        <w:rPr>
          <w:lang w:val="ro-RO"/>
        </w:rPr>
        <w:t>Portul Constanța – zona Mangalia are o suprafață de 142,19 ha și dispune de 4 dane (2 fiind dane operaționale). Principalele categorii de mărfuri operate sunt bitum, mărfuri generale și GPL.</w:t>
      </w:r>
    </w:p>
    <w:p w14:paraId="00454EAA" w14:textId="77777777" w:rsidR="008C6A37" w:rsidRPr="008C6A37" w:rsidRDefault="008C6A37" w:rsidP="00BC11DC">
      <w:pPr>
        <w:ind w:firstLine="567"/>
        <w:rPr>
          <w:lang w:val="ro-RO"/>
        </w:rPr>
      </w:pPr>
      <w:r w:rsidRPr="008C6A37">
        <w:rPr>
          <w:lang w:val="ro-RO"/>
        </w:rPr>
        <w:t>Traficul de mărfuri în porturile maritime a cunoscut în ultima perioadă o creștere semnificativă datorită preluării a unei mari părți din traficul porturilor ucrainiene, situație generată de conflictul militar din zonă. Structura mărfurilor operate în porturile maritime acoperă toate categoriile de mărfuri având în vedere diversitatea terminalelor disponibile. Totuși, trebuie remarcată evoluția clar ascendentă din ultima perioadă a operării mărfurilor solide în vrac, cu predilecție a cerealelor, precum și a produselor vrac lichid, mai precis petrol brut și produse petroliere. Această evoluție a fost accelerată de situația din Ucraina, însă ea se manifestase cu pregnanță și înainte de izbucnirea conflictului.</w:t>
      </w:r>
    </w:p>
    <w:p w14:paraId="7DE78807" w14:textId="77777777" w:rsidR="008C6A37" w:rsidRPr="008C6A37" w:rsidRDefault="008C6A37" w:rsidP="00BC11DC">
      <w:pPr>
        <w:ind w:firstLine="567"/>
        <w:rPr>
          <w:lang w:val="ro-RO"/>
        </w:rPr>
      </w:pPr>
      <w:r w:rsidRPr="008C6A37">
        <w:rPr>
          <w:i/>
          <w:lang w:val="ro-RO"/>
        </w:rPr>
        <w:lastRenderedPageBreak/>
        <w:t>Portul Sulina</w:t>
      </w:r>
      <w:r w:rsidRPr="008C6A37">
        <w:rPr>
          <w:lang w:val="ro-RO"/>
        </w:rPr>
        <w:t xml:space="preserve"> este amplasat pe malul drept al Canalului Sulina, în zona orașului. În ultima perioada, în contextul conflictului dintre Ucraina și Federația Rusă, importanța portului a crescut semnificativ, construcțiile portuare asigură cu greu, în prezent, condiții pentru acostarea navelor maritime care intră și ies de pe Canalul Sulina, precum și a navelor care deservesc traficul local de mărfuri și pasageri.</w:t>
      </w:r>
    </w:p>
    <w:p w14:paraId="365A5E32" w14:textId="77777777" w:rsidR="008C6A37" w:rsidRPr="008C6A37" w:rsidRDefault="008C6A37" w:rsidP="00BC11DC">
      <w:pPr>
        <w:ind w:firstLine="567"/>
        <w:rPr>
          <w:b/>
          <w:i/>
          <w:lang w:val="ro-RO"/>
        </w:rPr>
      </w:pPr>
      <w:r w:rsidRPr="008C6A37">
        <w:rPr>
          <w:b/>
          <w:i/>
          <w:lang w:val="ro-RO"/>
        </w:rPr>
        <w:t>Agricultura</w:t>
      </w:r>
    </w:p>
    <w:p w14:paraId="43DC6A5F" w14:textId="77777777" w:rsidR="008C6A37" w:rsidRPr="008C6A37" w:rsidRDefault="008C6A37" w:rsidP="00BC11DC">
      <w:pPr>
        <w:ind w:firstLine="567"/>
        <w:rPr>
          <w:lang w:val="ro-RO"/>
        </w:rPr>
      </w:pPr>
      <w:r w:rsidRPr="008C6A37">
        <w:rPr>
          <w:lang w:val="ro-RO"/>
        </w:rPr>
        <w:t>Agricultura este unul dintre cele mai importante sectoare economice din zona costieră, terenurile cultivate cu culturi agricole însumând o suprafață totală de 134.000 ha (37,55% din terenurile zonei costiere) conform datelor furnizate de JRC pentru anul 2018 (D`Andrimont și colab., 2021).  Dintre acestea, suprafața cea mai mare o ocupă terenurilor ocupate cu culturi cerealiere, 42,8% din totalul terenurilor agricole, după care urmează terenurile acoperite cu vegetație ierboasă (24,6%), culturile oleaginoase (16,9 %) și plantațiile multianuale de pomi și arbuști fructiferi (13,8 %).</w:t>
      </w:r>
    </w:p>
    <w:p w14:paraId="79E99FEA" w14:textId="77777777" w:rsidR="008C6A37" w:rsidRPr="008C6A37" w:rsidRDefault="008C6A37" w:rsidP="00BC11DC">
      <w:pPr>
        <w:ind w:firstLine="567"/>
        <w:rPr>
          <w:lang w:val="ro-RO"/>
        </w:rPr>
      </w:pPr>
      <w:r w:rsidRPr="008C6A37">
        <w:rPr>
          <w:lang w:val="ro-RO"/>
        </w:rPr>
        <w:t>Repartiția geografică a terenurilor cultivate nu este uniformă, cea mai mare parte a terenurilor cultivate fiind concentrate în partea sudică și centrală a zonei de studiu (peste 60 %). Suprafețele totale agricole la nivelul celor două județe din zona costieră au rămas relativ constante în ultimii ani. Totuși, referitor la categoriile de folosință, dacă în județul Constanța suprafețele au rămas constante pe categoriile de folosință cu destinație agricolă, respectiv arabil, pășuni, fânețe, vii și livezi, pentru județul Tulcea este observată o ușoară tendință de creștere la arabil, creștere realizată în detrimentul suprafețelor cu vii și livezi.</w:t>
      </w:r>
    </w:p>
    <w:p w14:paraId="12A8D94F" w14:textId="77777777" w:rsidR="008C6A37" w:rsidRPr="008C6A37" w:rsidRDefault="008C6A37" w:rsidP="00BC11DC">
      <w:pPr>
        <w:ind w:firstLine="567"/>
        <w:rPr>
          <w:lang w:val="ro-RO"/>
        </w:rPr>
      </w:pPr>
      <w:r w:rsidRPr="008C6A37">
        <w:rPr>
          <w:lang w:val="ro-RO"/>
        </w:rPr>
        <w:t xml:space="preserve">Având în vedere, ponderea mare a acestui sector în economia UAT-urilor din zona costieră, agricultura reprezintă una dintre cele mai importante surse difuze de introducere a materiei organice, compușilor cu azot și fosfor, contaminanți în sol, subsol şi ape, în special în partea sudică a zonei de studiu. Practicile agricole defectuoase, monocultura fiind pe primul loc, influențează negativ atât calitatea solurilor, cât și calitatea apelor de suprafața și subterane prin utilizarea excesivă de substanțe chimice (fertilizanți și pesticide). </w:t>
      </w:r>
    </w:p>
    <w:p w14:paraId="72A56491" w14:textId="77777777" w:rsidR="008C6A37" w:rsidRPr="008C6A37" w:rsidRDefault="008C6A37" w:rsidP="00BC11DC">
      <w:pPr>
        <w:ind w:firstLine="567"/>
        <w:rPr>
          <w:lang w:val="ro-RO"/>
        </w:rPr>
      </w:pPr>
      <w:r w:rsidRPr="008C6A37">
        <w:rPr>
          <w:lang w:val="ro-RO"/>
        </w:rPr>
        <w:t>Principalele amenințări pentru agricultură în Dobrogea sunt seceta și aridizarea, prin urmare, obținerea unor producții satisfăcătoare este dependentă în primul rând de irigaţii. Deși, statistic, peste 70 % din suprafaţa agricolă este amenajată pentru irigaţii, doar 10 % din aceasta se poate iriga efectiv, astfel încât se ajunge la o suprafață mare de terenuri agricole calamitată din cauza secetei. Așadar, este imperios necesară extinderea urgentă a sistemului de irigații funcțional, asigurarea necesarului de apă fiind una dintre măsurile de primă importanță. Totuși, în condițiile secetei tot mai accentuate, extinderea și îmbunătățirea sistemului de irigații reprezintă o soluție parțială și destul de costisitoare.</w:t>
      </w:r>
    </w:p>
    <w:p w14:paraId="4E1009B5" w14:textId="77777777" w:rsidR="008C6A37" w:rsidRPr="008C6A37" w:rsidRDefault="008C6A37" w:rsidP="00BC11DC">
      <w:pPr>
        <w:ind w:firstLine="567"/>
        <w:rPr>
          <w:lang w:val="ro-RO"/>
        </w:rPr>
      </w:pPr>
      <w:r w:rsidRPr="008C6A37">
        <w:rPr>
          <w:lang w:val="ro-RO"/>
        </w:rPr>
        <w:t>Dezvoltarea unei “agriculturi inteligente” este o necesitate pentru dezvoltarea în continuare a acestui sector. Creșterea capacității de monitorizare a condițiilor meteo la o scară cât mai redusă (local) și integrarea datelor în diverse sisteme de modelare, prognoză poate oferi fermierilor recomandări de irigare și fertilizare până la recoltare. Aplicarea pe scară mai largă a diversificării producției agricole este de asemenea necesară pentru a combate efectele secetei, permițând anumitor culturi să evite perioadele de vreme caldă sau uscată în fazele lor cele mai sensibile.</w:t>
      </w:r>
    </w:p>
    <w:p w14:paraId="5851487B" w14:textId="77777777" w:rsidR="008C6A37" w:rsidRPr="008C6A37" w:rsidRDefault="008C6A37" w:rsidP="00BC11DC">
      <w:pPr>
        <w:ind w:firstLine="567"/>
        <w:rPr>
          <w:b/>
          <w:i/>
          <w:lang w:val="ro-RO"/>
        </w:rPr>
      </w:pPr>
      <w:r w:rsidRPr="008C6A37">
        <w:rPr>
          <w:b/>
          <w:i/>
          <w:lang w:val="ro-RO"/>
        </w:rPr>
        <w:lastRenderedPageBreak/>
        <w:t>Industrie</w:t>
      </w:r>
    </w:p>
    <w:p w14:paraId="41568DD2" w14:textId="77777777" w:rsidR="008C6A37" w:rsidRPr="008C6A37" w:rsidRDefault="008C6A37" w:rsidP="00BC11DC">
      <w:pPr>
        <w:ind w:firstLine="567"/>
        <w:rPr>
          <w:lang w:val="ro-RO"/>
        </w:rPr>
      </w:pPr>
      <w:r w:rsidRPr="008C6A37">
        <w:rPr>
          <w:lang w:val="ro-RO"/>
        </w:rPr>
        <w:t>Activitatea industrială în zona costieră se focalizează în partea sa sudică, în partea nordică, aferentă județului Tulcea, fiind nesemnificativă. Principalele ramuri industriale, potențial generatoare de impact asupra componentelor mediului și bunăstării comunității costiere sunt industria petrochimică, industria extractivă, construcții și întreținere de nave și industria materialelor de construcții.</w:t>
      </w:r>
    </w:p>
    <w:p w14:paraId="308B83C9" w14:textId="77777777" w:rsidR="008C6A37" w:rsidRPr="008C6A37" w:rsidRDefault="008C6A37" w:rsidP="00BC11DC">
      <w:pPr>
        <w:ind w:firstLine="567"/>
        <w:rPr>
          <w:lang w:val="ro-RO"/>
        </w:rPr>
      </w:pPr>
      <w:r w:rsidRPr="008C6A37">
        <w:rPr>
          <w:lang w:val="ro-RO"/>
        </w:rPr>
        <w:t>Industria petrochimică în zona costieră este reprezentată de Rompetrol Rafinare SA (membră a KMG International) care realizează operațiuni de producție produse petroliere și petrochimice în următoarele unități: Rafinăria Petromidia (benzină, motorină, combustibil pentru avioane) și Uzina Petrochimică (HDPE, LDPE, PP). Industria de construcții și întreținere de nave este reprezentată de Șantierul Naval Constanța (principalul șantier de reparații și proiecte conversie din Marea Mediterană și Marea Neagră), Șantierul Naval Damen Mangalia și, Șantierul Naval Mangalia S.A. În ceea ce privește industria extractivă în zona costieră, aceasta se rezumă la exploatarea calcarului industrial și de construcții (în zona lacului Tașaul – Luminița) și la extragerea nisipului, care totuși nu este o activitate cu caracter permanent în zona costieră, această activitate fiind determinată de implementarea Master Planului “Protecția și Reabilitarea Zonei Costiere”. Industria materialelor de construcții a luat o oarecare amploare în ultima perioadă în zona costieră, în contextul expansiunii urbane semnificative.</w:t>
      </w:r>
    </w:p>
    <w:p w14:paraId="734B8F55" w14:textId="77777777" w:rsidR="008C6A37" w:rsidRPr="008C6A37" w:rsidRDefault="008C6A37" w:rsidP="00BC11DC">
      <w:pPr>
        <w:ind w:firstLine="567"/>
        <w:rPr>
          <w:lang w:val="ro-RO"/>
        </w:rPr>
      </w:pPr>
      <w:r w:rsidRPr="008C6A37">
        <w:rPr>
          <w:lang w:val="ro-RO"/>
        </w:rPr>
        <w:t xml:space="preserve">Aceste activități industriale, în condițiile nerespectării legislației în vigoare privind prevenirea și controlul integrat al poluării asupra mediului, inclusiv managementul deșeurilor, pot genera un impact negativ considerabil asupra calității aerului, apei și solurilor, biodiversității, precum și sănătății populației. </w:t>
      </w:r>
    </w:p>
    <w:p w14:paraId="34C69D80" w14:textId="77777777" w:rsidR="008C6A37" w:rsidRPr="008C6A37" w:rsidRDefault="008C6A37" w:rsidP="00BC11DC">
      <w:pPr>
        <w:ind w:firstLine="567"/>
        <w:rPr>
          <w:i/>
          <w:lang w:val="ro-RO"/>
        </w:rPr>
      </w:pPr>
      <w:r w:rsidRPr="008C6A37">
        <w:rPr>
          <w:b/>
          <w:i/>
          <w:lang w:val="ro-RO"/>
        </w:rPr>
        <w:t>Producerea de energie</w:t>
      </w:r>
    </w:p>
    <w:p w14:paraId="42950773" w14:textId="77777777" w:rsidR="008C6A37" w:rsidRPr="008C6A37" w:rsidRDefault="008C6A37" w:rsidP="00BC11DC">
      <w:pPr>
        <w:ind w:firstLine="567"/>
        <w:rPr>
          <w:lang w:val="ro-RO"/>
        </w:rPr>
      </w:pPr>
      <w:r w:rsidRPr="008C6A37">
        <w:rPr>
          <w:lang w:val="ro-RO"/>
        </w:rPr>
        <w:t>În prezent,</w:t>
      </w:r>
      <w:r w:rsidRPr="008C6A37">
        <w:rPr>
          <w:i/>
          <w:lang w:val="ro-RO"/>
        </w:rPr>
        <w:t xml:space="preserve"> </w:t>
      </w:r>
      <w:r w:rsidRPr="008C6A37">
        <w:rPr>
          <w:lang w:val="ro-RO"/>
        </w:rPr>
        <w:t>la nivelul zonei costiere, generarea de energie din surse regenerabile este aproape inexistentă. Energia termică este produsă fie la nivel centralizat, folosind combustibili fosili (Constanța, Mangalia și Năvodari), fie individual, preponderent, folosind centrale individuale pe gaz. Toate acestea determină o creștere a emisiilor de gaze poluante în atmosferă. Referitor la energia electrică, aceasta este produsă doar la nivel individual (folosind energia solară), parcurile eoliene și centrala nucleară de la Cernavodă, principale producătoare de energie din Dobrogea, fiind situate în afara zonei costiere.</w:t>
      </w:r>
    </w:p>
    <w:p w14:paraId="6A4B9959" w14:textId="77777777" w:rsidR="008C6A37" w:rsidRPr="008C6A37" w:rsidRDefault="008C6A37" w:rsidP="00BC11DC">
      <w:pPr>
        <w:ind w:firstLine="567"/>
        <w:rPr>
          <w:lang w:val="ro-RO"/>
        </w:rPr>
      </w:pPr>
      <w:r w:rsidRPr="008C6A37">
        <w:rPr>
          <w:lang w:val="ro-RO"/>
        </w:rPr>
        <w:t>Potențialul de producere a energiei alternative (eoliană, solară, valuri, etc.) este unul foarte ridicat în zona costieră, dar din păcate nu este utilizat. Prezenta strategie se aliniază celorlalte strategii și planuri în scopul promovării generării de energie alternativă folosind resursele regenerabile ale zonei costiere.</w:t>
      </w:r>
    </w:p>
    <w:p w14:paraId="7146CB9D" w14:textId="77777777" w:rsidR="008C6A37" w:rsidRPr="008C6A37" w:rsidRDefault="008C6A37" w:rsidP="00BC11DC">
      <w:pPr>
        <w:ind w:firstLine="567"/>
        <w:rPr>
          <w:b/>
          <w:i/>
          <w:lang w:val="ro-RO"/>
        </w:rPr>
      </w:pPr>
      <w:r w:rsidRPr="008C6A37">
        <w:rPr>
          <w:b/>
          <w:i/>
          <w:lang w:val="ro-RO"/>
        </w:rPr>
        <w:t>Planificare spațială și dezvoltare urbană</w:t>
      </w:r>
    </w:p>
    <w:p w14:paraId="43FE2F89" w14:textId="77777777" w:rsidR="008C6A37" w:rsidRPr="008C6A37" w:rsidRDefault="008C6A37" w:rsidP="00BC11DC">
      <w:pPr>
        <w:ind w:firstLine="567"/>
        <w:rPr>
          <w:lang w:val="ro-RO"/>
        </w:rPr>
      </w:pPr>
      <w:r w:rsidRPr="008C6A37">
        <w:rPr>
          <w:lang w:val="ro-RO"/>
        </w:rPr>
        <w:t>Instrumentele de planificare spațială a teritoriului sunt de importanță majoră pentru managementul integrat al zonei costiere. Situația acestora este următoarea:</w:t>
      </w:r>
    </w:p>
    <w:p w14:paraId="09726B05" w14:textId="77777777" w:rsidR="008C6A37" w:rsidRPr="008C6A37" w:rsidRDefault="008C6A37" w:rsidP="00BC11DC">
      <w:pPr>
        <w:ind w:firstLine="567"/>
        <w:rPr>
          <w:lang w:val="ro-RO"/>
        </w:rPr>
      </w:pPr>
      <w:r w:rsidRPr="008C6A37">
        <w:rPr>
          <w:i/>
          <w:lang w:val="ro-RO"/>
        </w:rPr>
        <w:t xml:space="preserve">Planul de amenajare a teritoriului zonal - PATZ Zona Costieră (litoral) </w:t>
      </w:r>
      <w:r w:rsidRPr="008C6A37">
        <w:rPr>
          <w:lang w:val="ro-RO"/>
        </w:rPr>
        <w:t xml:space="preserve">nu a fost încă aprobat, deși a fost elaborat cu mult timp în urmă. </w:t>
      </w:r>
    </w:p>
    <w:p w14:paraId="058066E7" w14:textId="77777777" w:rsidR="008C6A37" w:rsidRPr="008C6A37" w:rsidRDefault="008C6A37" w:rsidP="00BC11DC">
      <w:pPr>
        <w:ind w:firstLine="567"/>
        <w:rPr>
          <w:lang w:val="ro-RO"/>
        </w:rPr>
      </w:pPr>
      <w:r w:rsidRPr="008C6A37">
        <w:rPr>
          <w:i/>
          <w:lang w:val="ro-RO"/>
        </w:rPr>
        <w:lastRenderedPageBreak/>
        <w:t>Planuri de amenajare a teritoriului județelor</w:t>
      </w:r>
      <w:r w:rsidRPr="008C6A37">
        <w:rPr>
          <w:lang w:val="ro-RO"/>
        </w:rPr>
        <w:t xml:space="preserve"> </w:t>
      </w:r>
      <w:r w:rsidRPr="008C6A37">
        <w:rPr>
          <w:i/>
          <w:lang w:val="ro-RO"/>
        </w:rPr>
        <w:t>Constanța și Tulcea</w:t>
      </w:r>
      <w:r w:rsidRPr="008C6A37">
        <w:rPr>
          <w:lang w:val="ro-RO"/>
        </w:rPr>
        <w:t xml:space="preserve"> au fost elaborate în perioada 1996 – 1998,  cu mult înainte de aprobarea strategiei și a planului de management integrat al zonei costiere, astfel încât sunt necesare actualizări/modificări în consecință, în secțiunile privitoare la zona costieră. </w:t>
      </w:r>
    </w:p>
    <w:p w14:paraId="29F8555B" w14:textId="77777777" w:rsidR="008C6A37" w:rsidRPr="008C6A37" w:rsidRDefault="008C6A37" w:rsidP="00BC11DC">
      <w:pPr>
        <w:ind w:firstLine="567"/>
        <w:rPr>
          <w:lang w:val="ro-RO"/>
        </w:rPr>
      </w:pPr>
      <w:r w:rsidRPr="008C6A37">
        <w:rPr>
          <w:i/>
          <w:lang w:val="ro-RO"/>
        </w:rPr>
        <w:t xml:space="preserve">Planuri urbanistice generale - </w:t>
      </w:r>
      <w:r w:rsidRPr="008C6A37">
        <w:rPr>
          <w:lang w:val="ro-RO"/>
        </w:rPr>
        <w:t>din analiza situației planurilor urbanistice generale rezultă că ar putea fi considerate actuale doar planurile urbanistice generale  ale municipiul Mangalia și ale comunei Tuzla. Planurile urbanistice generale pentru UAT-urile Sfântu Gheorghe, Jurilovca, Istria, Năvodari și Eforie expiră chiar în acest an (2023). În prezent sunt 12 planuri urbanistice generale pentru care procedurile de actualizare sunt inițiate, acestea fiind în diverse etape de elaborare/aprobare. Dacă pentru sectorul nordic al zonei costiere, vechimea PUG-urilor poate că nu constituie o problemă foarte mare (eventual cu excepția orașului Sulina), în sectorul sudic, vechimea mare a PUG-urilor constituie o problemă în contextul  unui proces de dezvoltare dinamic și, în unele cazuri, accelerat și excesiv.</w:t>
      </w:r>
    </w:p>
    <w:p w14:paraId="36EF48B2" w14:textId="77777777" w:rsidR="008C6A37" w:rsidRPr="008C6A37" w:rsidRDefault="008C6A37" w:rsidP="00BC11DC">
      <w:pPr>
        <w:ind w:firstLine="567"/>
        <w:rPr>
          <w:lang w:val="ro-RO"/>
        </w:rPr>
      </w:pPr>
      <w:r w:rsidRPr="008C6A37">
        <w:rPr>
          <w:lang w:val="ro-RO"/>
        </w:rPr>
        <w:t xml:space="preserve">În toate UAT-urile din zona costieră sunt prevăzute zone  de extindere a intravilanelor în vederea dezvoltării activităților deja existente și în unele cazuri chiar pentru activități noi legate de proximitatea liniei țărmului și a resurselor zonei costiere (cazul UAT Corbu), în principal cele turistice. </w:t>
      </w:r>
    </w:p>
    <w:p w14:paraId="14C496D4" w14:textId="77777777" w:rsidR="008C6A37" w:rsidRPr="008C6A37" w:rsidRDefault="008C6A37" w:rsidP="00BC11DC">
      <w:pPr>
        <w:ind w:firstLine="567"/>
        <w:rPr>
          <w:lang w:val="ro-RO"/>
        </w:rPr>
      </w:pPr>
      <w:r w:rsidRPr="008C6A37">
        <w:rPr>
          <w:lang w:val="ro-RO"/>
        </w:rPr>
        <w:t>În sectorul nordic, cea mai mare creștere (procent) este prevăzută la Sfântu Gheorghe (62,31%), urmat de C.A.Rosetti (18,89%) și Murighiol (16,51%), în timp ce în sectorul sudic cele mai mari procente de creștere au fost prevăzute la Costinești (97,70%), Tuzla (68,06%) și Năvodari (56,34%). Pentru Agigea, deși nu există date disponibile referitoare la suprafața intravilanul existent la data actualizării PUG (2009), extinderea aprobată este consistentă. Techirghiol și Năvodari au documentații de actualizare PUG în curs de avizare și conform datelor disponibile în sunt prevăzute noi extinderi ale intravilanului de 34,74% (Techirghiol), și 45,92% (Năvodari). Mangalia are aprobată prin noul PUG o extindere a intravilanului cu 22,46% față de cel existent.</w:t>
      </w:r>
    </w:p>
    <w:p w14:paraId="54DB0567" w14:textId="77777777" w:rsidR="008C6A37" w:rsidRPr="008C6A37" w:rsidRDefault="008C6A37" w:rsidP="00BC11DC">
      <w:pPr>
        <w:ind w:firstLine="567"/>
        <w:rPr>
          <w:lang w:val="ro-RO"/>
        </w:rPr>
      </w:pPr>
      <w:r w:rsidRPr="008C6A37">
        <w:rPr>
          <w:lang w:val="ro-RO"/>
        </w:rPr>
        <w:t xml:space="preserve">Cu toate că numărul de locuitori și numărul de unități de primire turistică sunt într-o continuă scădere, extinderile de intravilan s-au realizat aproape exclusiv pentru locuire și turism. Extinderea rapidă a zonelor de locuit nu a fost însoțită în același ritm de investițiile necesare în infrastructuri și servicii publice (străzi, alimentare cu apă și canalizare, educație, etc.) ceea ce afectează calitatea locuirii și atractivitatea localităților. Dezvoltarea excesivă și necontrolată a locuirii în stațiuni poate conduce la conflicte de utilizare a terenurilor, scăderea confortului turiștilor  și, în final, scăderea atractivității acestor stațiuni. </w:t>
      </w:r>
    </w:p>
    <w:p w14:paraId="716B17B5" w14:textId="77777777" w:rsidR="008C6A37" w:rsidRPr="008C6A37" w:rsidRDefault="008C6A37" w:rsidP="00BC11DC">
      <w:pPr>
        <w:ind w:firstLine="567"/>
        <w:rPr>
          <w:lang w:val="ro-RO"/>
        </w:rPr>
      </w:pPr>
      <w:r w:rsidRPr="008C6A37">
        <w:rPr>
          <w:lang w:val="ro-RO"/>
        </w:rPr>
        <w:t>În lipsa unei viziuni elaborate într-un context strategic al întregii  zone costiere, tendințele dezvoltării urbane excesive și necontrolate vor continua, astfel încât activitatea de planificare spațială și dezvoltarea urbană vor constitui o sursa importantă de presiuni și riscuri în sectorul sudic al zonei costiere românești.</w:t>
      </w:r>
    </w:p>
    <w:p w14:paraId="34796C0C" w14:textId="77777777" w:rsidR="008C6A37" w:rsidRPr="008C6A37" w:rsidRDefault="008C6A37" w:rsidP="00BC11DC">
      <w:pPr>
        <w:ind w:firstLine="567"/>
        <w:rPr>
          <w:b/>
          <w:i/>
          <w:lang w:val="ro-RO"/>
        </w:rPr>
      </w:pPr>
      <w:r w:rsidRPr="008C6A37">
        <w:rPr>
          <w:b/>
          <w:i/>
          <w:lang w:val="ro-RO"/>
        </w:rPr>
        <w:t>Infrastructura de utilități</w:t>
      </w:r>
    </w:p>
    <w:p w14:paraId="3132D46A" w14:textId="77777777" w:rsidR="008C6A37" w:rsidRPr="008C6A37" w:rsidRDefault="008C6A37" w:rsidP="00BC11DC">
      <w:pPr>
        <w:ind w:firstLine="567"/>
        <w:rPr>
          <w:i/>
          <w:lang w:val="ro-RO"/>
        </w:rPr>
      </w:pPr>
      <w:r w:rsidRPr="008C6A37">
        <w:rPr>
          <w:i/>
          <w:lang w:val="ro-RO"/>
        </w:rPr>
        <w:t>Infrastructura de alimentare cu gaze naturale</w:t>
      </w:r>
    </w:p>
    <w:p w14:paraId="060BA800" w14:textId="77777777" w:rsidR="008C6A37" w:rsidRPr="008C6A37" w:rsidRDefault="008C6A37" w:rsidP="00BC11DC">
      <w:pPr>
        <w:ind w:firstLine="567"/>
        <w:rPr>
          <w:lang w:val="ro-RO"/>
        </w:rPr>
      </w:pPr>
      <w:r w:rsidRPr="008C6A37">
        <w:rPr>
          <w:lang w:val="ro-RO"/>
        </w:rPr>
        <w:t>În cadrul rețelei naționale de distribuție de gaze naturale, județele Constanța și Tulcea se află în culoarul 7 de transport internațional: ZB0100-Isaccea-Şendreni și ZB1500-Tranzit-</w:t>
      </w:r>
      <w:r w:rsidRPr="008C6A37">
        <w:rPr>
          <w:lang w:val="ro-RO"/>
        </w:rPr>
        <w:lastRenderedPageBreak/>
        <w:t>Dobrogea.</w:t>
      </w:r>
      <w:r w:rsidRPr="008C6A37">
        <w:rPr>
          <w:b/>
          <w:i/>
          <w:lang w:val="ro-RO"/>
        </w:rPr>
        <w:t xml:space="preserve"> </w:t>
      </w:r>
      <w:r w:rsidRPr="008C6A37">
        <w:rPr>
          <w:lang w:val="ro-RO"/>
        </w:rPr>
        <w:t>De asemenea, este de menționat proiectul „Extindere SNT prin realizare conductă de transport gaze naturale de la punct preluare gaze Marea Neagră (zona Vadu) – la conducta Tranzit 1 (zona Grădina)”. Conducta, în lungime totală de aproximativ 24,37 km, este proiectată pentru a transporta gaze naturale de la GTP Vadu la conducta ”Tranzit 1” a Sistemului Naţional de Transmisie a gazelor.</w:t>
      </w:r>
    </w:p>
    <w:p w14:paraId="0838B20A" w14:textId="77777777" w:rsidR="008C6A37" w:rsidRPr="008C6A37" w:rsidRDefault="008C6A37" w:rsidP="00BC11DC">
      <w:pPr>
        <w:ind w:firstLine="567"/>
        <w:rPr>
          <w:i/>
          <w:lang w:val="ro-RO"/>
        </w:rPr>
      </w:pPr>
      <w:r w:rsidRPr="008C6A37">
        <w:rPr>
          <w:i/>
          <w:lang w:val="ro-RO"/>
        </w:rPr>
        <w:t>Infrastructura de alimentare cu energie electrică</w:t>
      </w:r>
    </w:p>
    <w:p w14:paraId="0212D94B" w14:textId="77777777" w:rsidR="008C6A37" w:rsidRPr="008C6A37" w:rsidRDefault="008C6A37" w:rsidP="00BC11DC">
      <w:pPr>
        <w:ind w:firstLine="567"/>
        <w:rPr>
          <w:lang w:val="ro-RO"/>
        </w:rPr>
      </w:pPr>
      <w:r w:rsidRPr="008C6A37">
        <w:rPr>
          <w:lang w:val="ro-RO"/>
        </w:rPr>
        <w:t>În județul Constanța, infrastructura majoră de alimentare cu energie electrică este reprezentată de liniile electrice aeriene de 750 kV și 400 kV, 4 stații de transformare 400/110 kV, dintre care una, Constanța Nord, este localizată în zona costieră. În județul Tulcea, stațiile de transformare (Isaccea și Tulcea Vest) sunt situate în afara zonei costiere</w:t>
      </w:r>
    </w:p>
    <w:p w14:paraId="2826B371" w14:textId="77777777" w:rsidR="008C6A37" w:rsidRPr="008C6A37" w:rsidRDefault="008C6A37" w:rsidP="00BC11DC">
      <w:pPr>
        <w:ind w:firstLine="567"/>
        <w:rPr>
          <w:i/>
          <w:lang w:val="ro-RO"/>
        </w:rPr>
      </w:pPr>
      <w:r w:rsidRPr="008C6A37">
        <w:rPr>
          <w:i/>
          <w:lang w:val="ro-RO"/>
        </w:rPr>
        <w:t>Infrastructura de alimentare cu apă</w:t>
      </w:r>
    </w:p>
    <w:p w14:paraId="6FBEBB6F" w14:textId="77777777" w:rsidR="008C6A37" w:rsidRPr="008C6A37" w:rsidRDefault="008C6A37" w:rsidP="00BC11DC">
      <w:pPr>
        <w:ind w:firstLine="567"/>
        <w:rPr>
          <w:lang w:val="ro-RO"/>
        </w:rPr>
      </w:pPr>
      <w:r w:rsidRPr="008C6A37">
        <w:rPr>
          <w:lang w:val="ro-RO"/>
        </w:rPr>
        <w:t>În prezent, la nivelul zonei costiere, serviciile de alimentare cu apă și canalizare sunt asigurate de operatorii regionali AQUASERV SA, în județul Tulcea și RAJA S.A, în județul Constanța.</w:t>
      </w:r>
    </w:p>
    <w:p w14:paraId="032989D0" w14:textId="77777777" w:rsidR="008C6A37" w:rsidRPr="008C6A37" w:rsidRDefault="008C6A37" w:rsidP="00BC11DC">
      <w:pPr>
        <w:ind w:firstLine="567"/>
        <w:rPr>
          <w:lang w:val="ro-RO"/>
        </w:rPr>
      </w:pPr>
      <w:r w:rsidRPr="008C6A37">
        <w:rPr>
          <w:lang w:val="ro-RO"/>
        </w:rPr>
        <w:t>În partea zonei costiere aferentă județului Tulcea, sursele de alimentare sunt atât subterane, cât și de suprafață (Sulina, Sf. Gheorghe).</w:t>
      </w:r>
    </w:p>
    <w:p w14:paraId="6B98A708" w14:textId="77777777" w:rsidR="008C6A37" w:rsidRPr="008C6A37" w:rsidRDefault="008C6A37" w:rsidP="00BC11DC">
      <w:pPr>
        <w:ind w:firstLine="567"/>
        <w:rPr>
          <w:lang w:val="ro-RO"/>
        </w:rPr>
      </w:pPr>
      <w:r w:rsidRPr="008C6A37">
        <w:rPr>
          <w:lang w:val="ro-RO"/>
        </w:rPr>
        <w:t xml:space="preserve">În judeţul Constanţa sunt exploatate un număr de 94 de surse de apă subterană, formată din 349 foraje şi 2 surse de apă de suprafaţă (Galeşu şi Dealul Vifor). Apa brută este tratată în cele două staţii de tratare, respectiv staţia de tratare Palas-Constanţa (situată în zona de studiu) şi staţia de tratare Dealul Vifor-Cernavodă. </w:t>
      </w:r>
    </w:p>
    <w:p w14:paraId="5A4CE022" w14:textId="77777777" w:rsidR="008C6A37" w:rsidRPr="008C6A37" w:rsidRDefault="008C6A37" w:rsidP="00BC11DC">
      <w:pPr>
        <w:ind w:firstLine="567"/>
        <w:rPr>
          <w:i/>
          <w:lang w:val="ro-RO"/>
        </w:rPr>
      </w:pPr>
      <w:r w:rsidRPr="008C6A37">
        <w:rPr>
          <w:i/>
          <w:lang w:val="ro-RO"/>
        </w:rPr>
        <w:t>Infrastructura de canalizare și epurare a apelor uzate</w:t>
      </w:r>
    </w:p>
    <w:p w14:paraId="523F5D6E" w14:textId="77777777" w:rsidR="008C6A37" w:rsidRPr="008C6A37" w:rsidRDefault="008C6A37" w:rsidP="00BC11DC">
      <w:pPr>
        <w:ind w:firstLine="567"/>
        <w:rPr>
          <w:lang w:val="ro-RO"/>
        </w:rPr>
      </w:pPr>
      <w:r w:rsidRPr="008C6A37">
        <w:rPr>
          <w:lang w:val="ro-RO"/>
        </w:rPr>
        <w:t xml:space="preserve">La nivelul județului Tulcea, infrastructura de canalizare a cunoscut o ușoară tendință de dezvoltare  în ultimii ani. Cu toate acestea însă, infrastructura de canalizare prezintă încă deficiențe de dezvoltare, fiind nevoie investiții majore pentru extinderea rețelei de canalizare în mediul rural, dat fiind faptul că în județul Tulcea doar jumătate dintre localitățile conectate la alimentarea cu apă au și rețea de canalizare. </w:t>
      </w:r>
    </w:p>
    <w:p w14:paraId="63F02012" w14:textId="77777777" w:rsidR="008C6A37" w:rsidRPr="008C6A37" w:rsidRDefault="008C6A37" w:rsidP="00BC11DC">
      <w:pPr>
        <w:ind w:firstLine="567"/>
        <w:rPr>
          <w:lang w:val="ro-RO"/>
        </w:rPr>
      </w:pPr>
      <w:r w:rsidRPr="008C6A37">
        <w:rPr>
          <w:lang w:val="ro-RO"/>
        </w:rPr>
        <w:t>În partea nordică a zonei costiere există patru stații de epurare a apelor uzate, la Sulina, Sf. Gheorghe, Murighiol și Jurilovca. În toate cele patru stații apele uzate sunt epurate (mecanic și biologic). Mai mult, în UAT Murighiol și Jurilovca, sunt colectate și epurate procente mici din încărcarea generată la nivel de UAT, deci reprezintă o potențială presiune asupra apelor.</w:t>
      </w:r>
    </w:p>
    <w:p w14:paraId="0E0B4DF3" w14:textId="77777777" w:rsidR="008C6A37" w:rsidRPr="008C6A37" w:rsidRDefault="008C6A37" w:rsidP="00BC11DC">
      <w:pPr>
        <w:ind w:firstLine="567"/>
        <w:rPr>
          <w:lang w:val="ro-RO"/>
        </w:rPr>
      </w:pPr>
      <w:r w:rsidRPr="008C6A37">
        <w:rPr>
          <w:lang w:val="ro-RO"/>
        </w:rPr>
        <w:t>Din punct de vedere al colectării și epurării apelor uzate, situația stă mult mai bine în județul Constanța. Gradul de conectare al populației la sistemul de canalizare este semnificativ mai ridicat, în unele UAT-uri fiind asigurat în procente cuprinse între 90 și 100 % (Năvodari, Constanța, Mangalia și Costinești).</w:t>
      </w:r>
    </w:p>
    <w:p w14:paraId="62BA1CF8" w14:textId="77777777" w:rsidR="008C6A37" w:rsidRPr="008C6A37" w:rsidRDefault="008C6A37" w:rsidP="00BC11DC">
      <w:pPr>
        <w:ind w:firstLine="567"/>
        <w:rPr>
          <w:lang w:val="ro-RO"/>
        </w:rPr>
      </w:pPr>
      <w:r w:rsidRPr="008C6A37">
        <w:rPr>
          <w:lang w:val="ro-RO"/>
        </w:rPr>
        <w:t xml:space="preserve">În partea sudică a zonei costiere există 6 stații de epurare a apelor uzate (Năvodari, Constanța Nord, Constanța Sud, Constanța CN APM, Eforie și Mangalia), în fiecare dintre acestea realizându-se epurarea avansată cu îndepărtare a nutrienților (terțiară). Rata de colectare și epurare variază foarte mult între UAT-uri, de la 5,5 % în UAT Corbu, la 100 % în </w:t>
      </w:r>
      <w:r w:rsidRPr="008C6A37">
        <w:rPr>
          <w:lang w:val="ro-RO"/>
        </w:rPr>
        <w:lastRenderedPageBreak/>
        <w:t xml:space="preserve">UAT-urile Constanța, Eforie și Costinești. Apele colectate și epurate în toate cele cinci stații de epurare sunt deversate în Marea Neagră. </w:t>
      </w:r>
    </w:p>
    <w:p w14:paraId="18F6510E" w14:textId="77777777" w:rsidR="008C6A37" w:rsidRPr="008C6A37" w:rsidRDefault="008C6A37" w:rsidP="00BC11DC">
      <w:pPr>
        <w:ind w:firstLine="567"/>
        <w:rPr>
          <w:lang w:val="ro-RO"/>
        </w:rPr>
      </w:pPr>
      <w:r w:rsidRPr="008C6A37">
        <w:rPr>
          <w:b/>
          <w:i/>
          <w:lang w:val="ro-RO"/>
        </w:rPr>
        <w:t>Dragare și construcții hidrotehnice</w:t>
      </w:r>
    </w:p>
    <w:p w14:paraId="3C903C56" w14:textId="77777777" w:rsidR="008C6A37" w:rsidRPr="008C6A37" w:rsidRDefault="008C6A37" w:rsidP="00BC11DC">
      <w:pPr>
        <w:ind w:firstLine="567"/>
        <w:rPr>
          <w:lang w:val="ro-RO"/>
        </w:rPr>
      </w:pPr>
      <w:r w:rsidRPr="008C6A37">
        <w:rPr>
          <w:lang w:val="ro-RO"/>
        </w:rPr>
        <w:t xml:space="preserve">În cazul porturilor maritime, lucrările de dragare sunt necesare pentru eliminarea limitărilor de pescaj în interiorul porturilor, îmbunătățirea manevrelor sigure și a condițiilor de navigație, creșterea eficienței operatorilor prin evitarea operațiunilor de umplere și manipulare dublă, și consolidarea poziției actuale a porturilor în regiunea Mării Negre și a sistemului european de transport. </w:t>
      </w:r>
    </w:p>
    <w:p w14:paraId="04677634" w14:textId="77777777" w:rsidR="008C6A37" w:rsidRPr="008C6A37" w:rsidRDefault="008C6A37" w:rsidP="00BC11DC">
      <w:pPr>
        <w:ind w:firstLine="567"/>
        <w:rPr>
          <w:lang w:val="ro-RO"/>
        </w:rPr>
      </w:pPr>
      <w:r w:rsidRPr="008C6A37">
        <w:rPr>
          <w:lang w:val="ro-RO"/>
        </w:rPr>
        <w:t xml:space="preserve">În cazul portului Constanța, în prezent, este în implementare proiectul „Modernizarea infrastructurii portuare prin asigurarea creșterii adâncimii canalelor și bazinelor și a siguranței navigației în Portul Constanța”, finanțat prin POIM 2014-2020, Axa prioritară 1, Obiectiv specific 1.3. Proiectul prevede lucrări de dragare în 17 zone portuare pentru a aduce la nivelul proiectat adâncimile apei din bazinele și șenalul de acces din Portul Constanța. </w:t>
      </w:r>
    </w:p>
    <w:p w14:paraId="102E5CE5" w14:textId="77777777" w:rsidR="008C6A37" w:rsidRPr="008C6A37" w:rsidRDefault="008C6A37" w:rsidP="00BC11DC">
      <w:pPr>
        <w:ind w:firstLine="567"/>
        <w:rPr>
          <w:lang w:val="ro-RO"/>
        </w:rPr>
      </w:pPr>
      <w:r w:rsidRPr="008C6A37">
        <w:rPr>
          <w:lang w:val="ro-RO"/>
        </w:rPr>
        <w:t>În porturile Midia și Mangalia, adâncimea apei la dane și accesul în acvatoriul porturilor sunt principalii factori restrictivi pentru operare. Această situație a apărut din cauza întârzierii investițiilor pentru lucrările de dragare și a dus la o scădere semnificativă a eficienței operațiunilor determinate de dificultățile de primire/intrare a navelor mai mari. De asemenea, este limitată și  capacitatea operațională a șantierului naval DAMEN Mangalia, intrarea navelor mai mari fiind împiedicată.</w:t>
      </w:r>
    </w:p>
    <w:p w14:paraId="5DAE72EA" w14:textId="77777777" w:rsidR="008C6A37" w:rsidRPr="008C6A37" w:rsidRDefault="008C6A37" w:rsidP="00BC11DC">
      <w:pPr>
        <w:ind w:firstLine="567"/>
        <w:rPr>
          <w:lang w:val="ro-RO"/>
        </w:rPr>
      </w:pPr>
      <w:r w:rsidRPr="008C6A37">
        <w:rPr>
          <w:lang w:val="ro-RO"/>
        </w:rPr>
        <w:t>Modificările hidrotehnice din partea nordică a zonei costiere, aferentă Deltei Dunării, au avut ca scop îmbunătăţirea condiţiilor de navigaţie pe Dunăre, accesului navelor din mare spre teritoriu, precum şi asigurarea unor condiţii hidrologice optime pentru habitate acvatice naturale, precum și pentru exploatarea resurselor naturale din interiorul deltei. Până în prezent au fost reprofilate prin lucrări de dragare și decolmatare peste 328 km de canale și renaturare suprafețe de 15.712 ha ale amenajărilor agricole și piscicole abandonate, ineficiente economic.</w:t>
      </w:r>
    </w:p>
    <w:p w14:paraId="087B5DEB" w14:textId="77777777" w:rsidR="008C6A37" w:rsidRPr="008C6A37" w:rsidRDefault="008C6A37" w:rsidP="00BC11DC">
      <w:pPr>
        <w:ind w:firstLine="567"/>
        <w:rPr>
          <w:lang w:val="ro-RO"/>
        </w:rPr>
      </w:pPr>
      <w:r w:rsidRPr="008C6A37">
        <w:rPr>
          <w:lang w:val="ro-RO"/>
        </w:rPr>
        <w:t xml:space="preserve">În ceea ce privește structurile hidrotehnice de protecție costieră de pe întreg litoralul românesc, în prezent, se află în plină desfășurare execuția proiectului ”Reducerea eroziunii costiere – Faza II (2014-2020). Perimetre: 2 Mai, Mangalia (Saturn, Balta Mangalia, Venus, Cap Aurora, Jupiter, Neptun, Olimp), Costinești, Eforie Sud, Eforie Centru, Agigea, Port Tomis – Constanța Port, Mamaia Centru, Mamaia Nord, Stăvilar Edighiol, Stăvilar Periboina)” care are ca obiect reabilitarea întregului sector sudic al litoralului prin modificarea dimensiunilor celulelor de plaje (îndepărtarea unor structuri existente și execuția unor structuri noi), precum și lucrări de înnisipări ale plajelor. </w:t>
      </w:r>
    </w:p>
    <w:p w14:paraId="7FCEAADA" w14:textId="4C9EDDE4" w:rsidR="008C6A37" w:rsidRPr="008C6A37" w:rsidRDefault="00940876" w:rsidP="00BC11DC">
      <w:pPr>
        <w:pStyle w:val="Heading3"/>
        <w:ind w:firstLine="567"/>
      </w:pPr>
      <w:bookmarkStart w:id="16" w:name="_Toc150247012"/>
      <w:bookmarkStart w:id="17" w:name="_Toc169625099"/>
      <w:r>
        <w:t>1.</w:t>
      </w:r>
      <w:r w:rsidR="008915D2">
        <w:t>3.5.</w:t>
      </w:r>
      <w:r w:rsidR="008C6A37" w:rsidRPr="008C6A37">
        <w:t xml:space="preserve"> Principalele presiuni în zona costieră</w:t>
      </w:r>
      <w:bookmarkEnd w:id="16"/>
      <w:bookmarkEnd w:id="17"/>
    </w:p>
    <w:p w14:paraId="367D6D06" w14:textId="77777777" w:rsidR="008C6A37" w:rsidRPr="008C6A37" w:rsidRDefault="008C6A37" w:rsidP="00BC11DC">
      <w:pPr>
        <w:ind w:firstLine="567"/>
        <w:rPr>
          <w:b/>
          <w:i/>
          <w:lang w:val="ro-RO"/>
        </w:rPr>
      </w:pPr>
      <w:r w:rsidRPr="008C6A37">
        <w:rPr>
          <w:b/>
          <w:i/>
          <w:lang w:val="ro-RO"/>
        </w:rPr>
        <w:t>Naturale</w:t>
      </w:r>
    </w:p>
    <w:p w14:paraId="04CC5487" w14:textId="77777777" w:rsidR="008C6A37" w:rsidRPr="008C6A37" w:rsidRDefault="008C6A37" w:rsidP="00BC11DC">
      <w:pPr>
        <w:ind w:firstLine="567"/>
        <w:rPr>
          <w:i/>
          <w:lang w:val="ro-RO"/>
        </w:rPr>
      </w:pPr>
      <w:r w:rsidRPr="008C6A37">
        <w:rPr>
          <w:i/>
          <w:lang w:val="ro-RO"/>
        </w:rPr>
        <w:t>Inundații</w:t>
      </w:r>
    </w:p>
    <w:p w14:paraId="2DD36E40" w14:textId="77777777" w:rsidR="008C6A37" w:rsidRPr="008C6A37" w:rsidRDefault="008C6A37" w:rsidP="00BC11DC">
      <w:pPr>
        <w:ind w:firstLine="567"/>
        <w:rPr>
          <w:lang w:val="ro-RO"/>
        </w:rPr>
      </w:pPr>
      <w:r w:rsidRPr="008C6A37">
        <w:rPr>
          <w:lang w:val="ro-RO"/>
        </w:rPr>
        <w:t xml:space="preserve">Conform variantei actualizate a Planului de Management al Riscului la Inundații - A.B.A. Dobrogea-Litoral, ciclul II de implementare a Directivei Inundații 2007/60/CE 60, zonele cu risc semnificativ de inundații din zona costieră, cu sursă fluvială, sunt: sector litoral localitatea </w:t>
      </w:r>
      <w:r w:rsidRPr="008C6A37">
        <w:rPr>
          <w:lang w:val="ro-RO"/>
        </w:rPr>
        <w:lastRenderedPageBreak/>
        <w:t>Mamaia-lacul Razim, sector litoral localitatea Costinești-localitatea Mangalia, râul Casimcea și râul Valea Albești. Aceste inundații se formează datorită depășirii capacității de transport a albiei, iar în cazul sectorului litoral localitatea Mamaia - lacul Razim și depăşirii infrastructurii de apărare. De asemenea, în același plan sunt incluse și zonele de risc semnificativ la inundații, cu sursă pluvială, în localitățile Corbu, Constanța, Eforie și Costinești.</w:t>
      </w:r>
    </w:p>
    <w:p w14:paraId="2339515D" w14:textId="77777777" w:rsidR="008C6A37" w:rsidRPr="008C6A37" w:rsidRDefault="008C6A37" w:rsidP="00BC11DC">
      <w:pPr>
        <w:ind w:firstLine="567"/>
        <w:rPr>
          <w:lang w:val="ro-RO"/>
        </w:rPr>
      </w:pPr>
      <w:r w:rsidRPr="008C6A37">
        <w:rPr>
          <w:lang w:val="ro-RO"/>
        </w:rPr>
        <w:t>Pe de altă parte, există și riscul inundațiilor costiere în condițiile unor furtuni și vânturi puternice dinspre mare, mai ales în arealele joase din cadrul țărmului Deltei Dunării. Realizarea lucrărilor de protecție costieră din ultimii ani pe țărmul sudic reduce semnificativ riscul unor astfel de inundații în arealele respective.</w:t>
      </w:r>
    </w:p>
    <w:p w14:paraId="68F31488" w14:textId="77777777" w:rsidR="008C6A37" w:rsidRPr="008C6A37" w:rsidRDefault="008C6A37" w:rsidP="00BC11DC">
      <w:pPr>
        <w:ind w:firstLine="567"/>
        <w:rPr>
          <w:lang w:val="ro-RO"/>
        </w:rPr>
      </w:pPr>
      <w:r w:rsidRPr="008C6A37">
        <w:rPr>
          <w:lang w:val="ro-RO"/>
        </w:rPr>
        <w:t>Principala problemă în ceea ce privește protecția populației și infrastructurii din localități o constituie inexistența (în unele localități rurale) sau subdimensionarea rețelei de colectare a apelor, a sistemelor de canale de desecare, precum și a stațiilor de pompare. De asemenea, o altă problemă ar putea deriva din nerealizarea periodică a lucrărilor de mentenanță a infrastructurilor existente de protecţie împotriva inundaţiilor, a lucrărilor de întreținere a albiilor cursurilor de apă și eliminarea blocajelor, obstacolelor pe cursurile de apă.</w:t>
      </w:r>
    </w:p>
    <w:p w14:paraId="506784A4" w14:textId="77777777" w:rsidR="008C6A37" w:rsidRPr="008C6A37" w:rsidRDefault="008C6A37" w:rsidP="00BC11DC">
      <w:pPr>
        <w:ind w:firstLine="567"/>
        <w:rPr>
          <w:i/>
          <w:lang w:val="ro-RO"/>
        </w:rPr>
      </w:pPr>
      <w:r w:rsidRPr="008C6A37">
        <w:rPr>
          <w:i/>
          <w:lang w:val="ro-RO"/>
        </w:rPr>
        <w:t>Seceta</w:t>
      </w:r>
    </w:p>
    <w:p w14:paraId="2E585C40" w14:textId="77777777" w:rsidR="008C6A37" w:rsidRPr="008C6A37" w:rsidRDefault="008C6A37" w:rsidP="00BC11DC">
      <w:pPr>
        <w:ind w:firstLine="567"/>
        <w:rPr>
          <w:lang w:val="ro-RO"/>
        </w:rPr>
      </w:pPr>
      <w:r w:rsidRPr="008C6A37">
        <w:rPr>
          <w:lang w:val="ro-RO"/>
        </w:rPr>
        <w:t>În “Studiul pentru elaborarea Strategiei Naționale privind Prevenirea și Combaterea Deșertificării și Degradării Terenurilor 2019-2030”, elaborat la cererea MMAP, au fost identificate zonele susceptibile la procesele de degradare a terenurilor și deșertificare. Conform acestui studiu, în zona costieră, UAT-urile din Delta Dunării aparțin zonei cu o susceptibilitate extrem de mare la deșertificare, cu un climat arid de stepă, în timp ce sudul zonei costiere este încadrat la categoria zone cu susceptibilitate mare, cu un climat temperat cu veri fierbinți. Proiecţiile climatice pentru perioadele 2021-2050 şi 2071-2100 estimează o menținere a condițiilor actuale de aridizare în sud-estul României.</w:t>
      </w:r>
    </w:p>
    <w:p w14:paraId="0ED7C078" w14:textId="77777777" w:rsidR="008C6A37" w:rsidRPr="008C6A37" w:rsidRDefault="008C6A37" w:rsidP="00BC11DC">
      <w:pPr>
        <w:ind w:firstLine="567"/>
        <w:rPr>
          <w:lang w:val="ro-RO"/>
        </w:rPr>
      </w:pPr>
      <w:r w:rsidRPr="008C6A37">
        <w:rPr>
          <w:lang w:val="ro-RO"/>
        </w:rPr>
        <w:t>Principalele amenințări legate de gestionarea inadecvată a secetei și tendinței de deșertificare a zonei de studiu sunt legate atât de reducerea resurselor de sol, cât și modificarea însușirilor fizice, chimice, mineralogice și biologice ale acestuia. O altă amenințare legată de secetă, și în special de deșertificare, se referă la apele de suprafață și cele subterane al căror nivel poate fi serios afectat. Din cauza secetei hidrologice, acviferele de mică adâncime în Dobrogea de Nord pot suferi scăderi temporare sau permanente ale suprafeţelor piezometrice sub minimele istorice, ca urmare a variaţiilor sezoniere, semnificative pentru acviferele freatice.</w:t>
      </w:r>
    </w:p>
    <w:p w14:paraId="05FF7E6F" w14:textId="77777777" w:rsidR="008C6A37" w:rsidRPr="008C6A37" w:rsidRDefault="008C6A37" w:rsidP="00BC11DC">
      <w:pPr>
        <w:ind w:firstLine="567"/>
        <w:rPr>
          <w:i/>
          <w:lang w:val="ro-RO"/>
        </w:rPr>
      </w:pPr>
      <w:r w:rsidRPr="008C6A37">
        <w:rPr>
          <w:i/>
          <w:lang w:val="ro-RO"/>
        </w:rPr>
        <w:t>Fenomene meteorologice extreme</w:t>
      </w:r>
    </w:p>
    <w:p w14:paraId="35A21CB3" w14:textId="77777777" w:rsidR="008C6A37" w:rsidRPr="008C6A37" w:rsidRDefault="008C6A37" w:rsidP="00BC11DC">
      <w:pPr>
        <w:ind w:firstLine="567"/>
        <w:rPr>
          <w:lang w:val="ro-RO"/>
        </w:rPr>
      </w:pPr>
      <w:r w:rsidRPr="008C6A37">
        <w:rPr>
          <w:lang w:val="ro-RO"/>
        </w:rPr>
        <w:t>În contextul încălzirii globale, schimbările prognozate ale regimului climatic la nivel național sunt determinate de condițiile regionale. Datele furnizate de ANM arată că schimbările referitoare la regimul termic atmosferic, precum și la precipitațiile medii și regimul eolian, apar împreună cu modificări ale statisticilor fenomenelor meteorologice extreme. Frecvența și intensitatea acestor fenomene meteorologice extreme (furtuni, vânturi, etc.) au crescut semnificativ la nivel național, astfel, în anul 2021 au fost emise de către ANM cele mai multe mesaje pentru fenomene meteorologice periculoase la nivel național (167).</w:t>
      </w:r>
    </w:p>
    <w:p w14:paraId="2733D798" w14:textId="77777777" w:rsidR="008C6A37" w:rsidRPr="008C6A37" w:rsidRDefault="008C6A37" w:rsidP="00BC11DC">
      <w:pPr>
        <w:ind w:firstLine="567"/>
        <w:rPr>
          <w:i/>
          <w:lang w:val="ro-RO"/>
        </w:rPr>
      </w:pPr>
      <w:r w:rsidRPr="008C6A37">
        <w:rPr>
          <w:i/>
          <w:lang w:val="ro-RO"/>
        </w:rPr>
        <w:t>Creșterea nivelului mării</w:t>
      </w:r>
    </w:p>
    <w:p w14:paraId="0AE2B086" w14:textId="77777777" w:rsidR="008C6A37" w:rsidRPr="008C6A37" w:rsidRDefault="008C6A37" w:rsidP="00BC11DC">
      <w:pPr>
        <w:ind w:firstLine="567"/>
        <w:rPr>
          <w:lang w:val="ro-RO"/>
        </w:rPr>
      </w:pPr>
      <w:r w:rsidRPr="008C6A37">
        <w:rPr>
          <w:lang w:val="ro-RO"/>
        </w:rPr>
        <w:lastRenderedPageBreak/>
        <w:t>Una dintre consecințele majore ale încălzirii globale este creșterea nivelului mării. Variațiile de nivel ale mării în cadrul litoralului românesc sunt determinate în cea mai mare măsură de condițiile eustatice din bazinul Mării Negre, sub influența expansiunii termale și a creșterii nivelului Oceanului Planetar. Acestora li se adaugă factorii meteorologici și hidrologici regionali și locali, precum și mișcările izostatice regionale. Variația nivelului mării la Constanța pe termen lung este de 1,9 mm/an, înregistrând o tendință de creștere accelerată în ultimele 3 decenii, similară cu tendința globală (INCDM, 2022).</w:t>
      </w:r>
    </w:p>
    <w:p w14:paraId="359AB10A" w14:textId="77777777" w:rsidR="008C6A37" w:rsidRPr="008C6A37" w:rsidRDefault="008C6A37" w:rsidP="00BC11DC">
      <w:pPr>
        <w:ind w:firstLine="567"/>
        <w:rPr>
          <w:lang w:val="ro-RO"/>
        </w:rPr>
      </w:pPr>
      <w:r w:rsidRPr="008C6A37">
        <w:rPr>
          <w:lang w:val="ro-RO"/>
        </w:rPr>
        <w:t>Riscurile determinate de creșterea nivelului mării sunt asociate cu procesul de eroziune costieră, inundații și pierderea unor zone umede, care afectează flora și fauna, provocând pierderea habitatului pentru pești, păsări, plante și multe alte specii. Mai mult decât atât, creșterea accelerată a nivelului mării poate avea consecințe nefaste asupra infrastructurii din zona de coastă și poate constitui o amenințare reală pentru comunitățile costiere, mai ales pentru cele situate în Delta Dunării.</w:t>
      </w:r>
    </w:p>
    <w:p w14:paraId="0A86947E" w14:textId="77777777" w:rsidR="008C6A37" w:rsidRPr="008C6A37" w:rsidRDefault="008C6A37" w:rsidP="00BC11DC">
      <w:pPr>
        <w:ind w:firstLine="567"/>
        <w:rPr>
          <w:i/>
          <w:lang w:val="ro-RO"/>
        </w:rPr>
      </w:pPr>
      <w:r w:rsidRPr="008C6A37">
        <w:rPr>
          <w:i/>
          <w:lang w:val="ro-RO"/>
        </w:rPr>
        <w:t>Eroziunea costieră</w:t>
      </w:r>
    </w:p>
    <w:p w14:paraId="67FB60AA" w14:textId="77777777" w:rsidR="008C6A37" w:rsidRPr="008C6A37" w:rsidRDefault="008C6A37" w:rsidP="00BC11DC">
      <w:pPr>
        <w:ind w:firstLine="567"/>
        <w:rPr>
          <w:lang w:val="ro-RO"/>
        </w:rPr>
      </w:pPr>
      <w:r w:rsidRPr="008C6A37">
        <w:rPr>
          <w:lang w:val="ro-RO"/>
        </w:rPr>
        <w:t>În ciuda recentelor lucrări de protecție contra eroziunii, eroziunea costieră încă reprezintă o problemă importantă de-a lungul litoralului românesc al Mării Negre.</w:t>
      </w:r>
    </w:p>
    <w:p w14:paraId="31B8511F" w14:textId="77777777" w:rsidR="008C6A37" w:rsidRPr="008C6A37" w:rsidRDefault="008C6A37" w:rsidP="00BC11DC">
      <w:pPr>
        <w:ind w:firstLine="567"/>
        <w:rPr>
          <w:lang w:val="ro-RO"/>
        </w:rPr>
      </w:pPr>
      <w:r w:rsidRPr="008C6A37">
        <w:rPr>
          <w:lang w:val="ro-RO"/>
        </w:rPr>
        <w:t>Unitatea nordică a zonei costiere, care se suprapune țărmului Deltei Dunării, este caracterizată prin predominanța proceselor erozive. În momentul de față, zonele cu risc major la eroziune sunt Canalul Sondei-Câșla Vădanei, la sud de Câșla Vădanei, Insula Sacalin, Zătoane-Perișor Nord și Portița-Periboina (procesele erozive afectând cordonul litoral care mărginește Complexul Lagunar Razim-Sinoie).</w:t>
      </w:r>
    </w:p>
    <w:p w14:paraId="070CD34E" w14:textId="77777777" w:rsidR="008C6A37" w:rsidRPr="008C6A37" w:rsidRDefault="008C6A37" w:rsidP="00BC11DC">
      <w:pPr>
        <w:ind w:firstLine="567"/>
        <w:rPr>
          <w:lang w:val="ro-RO"/>
        </w:rPr>
      </w:pPr>
      <w:r w:rsidRPr="008C6A37">
        <w:rPr>
          <w:lang w:val="ro-RO"/>
        </w:rPr>
        <w:t>Sectorul sudic al țărmului românesc al Mării Negre este, în prezent, marcat de lucrările de combatere a eroziunii costiere care constau în construcția diferitelor diguri de protecție și în alimentarea cu sediment a plajelor. În acest sector, riscul major de eroziune este întâlnit în  perimetrul Costinești-2 Mai-Vama Veche, unde eroziunea costieră poate declanșa procese de prăbușire a falezei. Toate aceste sectoare cu risc de eroziune nu au fost încă supuse lucrărilor de protecție și reabilitare.</w:t>
      </w:r>
    </w:p>
    <w:p w14:paraId="1212FDED" w14:textId="77777777" w:rsidR="008C6A37" w:rsidRPr="008C6A37" w:rsidRDefault="008C6A37" w:rsidP="00BC11DC">
      <w:pPr>
        <w:ind w:firstLine="567"/>
        <w:rPr>
          <w:i/>
          <w:lang w:val="ro-RO"/>
        </w:rPr>
      </w:pPr>
      <w:r w:rsidRPr="008C6A37">
        <w:rPr>
          <w:i/>
          <w:lang w:val="ro-RO"/>
        </w:rPr>
        <w:t>Alunecări de teren și prăbușire de faleze</w:t>
      </w:r>
    </w:p>
    <w:p w14:paraId="7DA4357A" w14:textId="77777777" w:rsidR="008C6A37" w:rsidRPr="008C6A37" w:rsidRDefault="008C6A37" w:rsidP="00BC11DC">
      <w:pPr>
        <w:ind w:firstLine="567"/>
        <w:rPr>
          <w:lang w:val="ro-RO"/>
        </w:rPr>
      </w:pPr>
      <w:r w:rsidRPr="008C6A37">
        <w:rPr>
          <w:lang w:val="ro-RO"/>
        </w:rPr>
        <w:t>Conform Legii nr. 575/14.11.2001 privind aprobarea Planului de amenajare a teritoriului naţional – Secţiunea a V-a – „Zone de risc natural”, potenţialul de producere a alunecărilor de teren în UAT-urile din zona costieră este scăzut.</w:t>
      </w:r>
    </w:p>
    <w:p w14:paraId="1FA474FF" w14:textId="77777777" w:rsidR="008C6A37" w:rsidRPr="008C6A37" w:rsidRDefault="008C6A37" w:rsidP="00BC11DC">
      <w:pPr>
        <w:ind w:firstLine="567"/>
        <w:rPr>
          <w:lang w:val="ro-RO"/>
        </w:rPr>
      </w:pPr>
      <w:r w:rsidRPr="008C6A37">
        <w:rPr>
          <w:lang w:val="ro-RO"/>
        </w:rPr>
        <w:t>Prăbuşirile de faleze se manifestă în sectorul sudic al zonei costiere, caracterizat de faleze înalte. Zonele cu potențial de manifestare a fenomenului de prăbușiri de faleze, stabilite pe baza istoricului evenimentelor şi a observaţiilor din teren sunt sectorul Eforie-Tuzla și sectorul Costineşti Sud-2 Mai-Vama Veche. Prin lucrările de protecție împotriva eroziunii costiere, în special lărgirea plajelor, zonele cu risc de produce a prăbușirii falezelor s-au redus la sectoarele în care aceste lucrări nu au fost încă realizate. De asemenea, mai ales ca urmare a unor căderi de precipitaţii abundente, zona cuprinsă între Poarta 1 şi Poarta 6 Port Constanţa este supusă riscului producerii unor alunecări-prăbuşiri de teren cu implicaţii majore, în mod special asupra construcţiilor dispuse în imediata apropiere a incintei portului Constanța (Inspectoratul pentru Situații de Urgență „DOBROGEA”, 2018).</w:t>
      </w:r>
    </w:p>
    <w:p w14:paraId="03290EDE" w14:textId="77777777" w:rsidR="008C6A37" w:rsidRPr="008C6A37" w:rsidRDefault="008C6A37" w:rsidP="00BC11DC">
      <w:pPr>
        <w:ind w:firstLine="567"/>
        <w:rPr>
          <w:b/>
          <w:i/>
          <w:lang w:val="ro-RO"/>
        </w:rPr>
      </w:pPr>
      <w:r w:rsidRPr="008C6A37">
        <w:rPr>
          <w:b/>
          <w:i/>
          <w:lang w:val="ro-RO"/>
        </w:rPr>
        <w:lastRenderedPageBreak/>
        <w:t>Antropice</w:t>
      </w:r>
    </w:p>
    <w:p w14:paraId="592BFEEA" w14:textId="77777777" w:rsidR="008C6A37" w:rsidRPr="008C6A37" w:rsidRDefault="008C6A37" w:rsidP="00BC11DC">
      <w:pPr>
        <w:ind w:firstLine="567"/>
        <w:rPr>
          <w:i/>
          <w:lang w:val="ro-RO"/>
        </w:rPr>
      </w:pPr>
      <w:r w:rsidRPr="008C6A37">
        <w:rPr>
          <w:i/>
          <w:lang w:val="ro-RO"/>
        </w:rPr>
        <w:t>Introducerea de contaminanți în atmosferă, ape și soluri</w:t>
      </w:r>
    </w:p>
    <w:p w14:paraId="07DF2D8E" w14:textId="77777777" w:rsidR="008C6A37" w:rsidRPr="008C6A37" w:rsidRDefault="008C6A37" w:rsidP="00BC11DC">
      <w:pPr>
        <w:ind w:firstLine="567"/>
        <w:rPr>
          <w:lang w:val="ro-RO"/>
        </w:rPr>
      </w:pPr>
      <w:bookmarkStart w:id="18" w:name="_heading=h.tyjcwt" w:colFirst="0" w:colLast="0"/>
      <w:bookmarkEnd w:id="18"/>
      <w:r w:rsidRPr="008C6A37">
        <w:rPr>
          <w:u w:val="single"/>
          <w:lang w:val="ro-RO"/>
        </w:rPr>
        <w:t>Poluarea atmosferică</w:t>
      </w:r>
      <w:r w:rsidRPr="008C6A37">
        <w:rPr>
          <w:lang w:val="ro-RO"/>
        </w:rPr>
        <w:t xml:space="preserve"> este generată atât din surse fixe (staționare), reprezentate de procese industriale, procese de combustie, etc. cât și din surse mobile, reprezentate prin mijloacele de transport rutiere, feroviare și navale. Cele mai semnificative sunt sursele mobile prin arderea diferitelor tipuri de combustibili generează emisii directe de gaze cu efect de seră, precum și mai mulți alți poluanți cum ar fi CO, COVNM, SO</w:t>
      </w:r>
      <w:r w:rsidRPr="008C6A37">
        <w:rPr>
          <w:vertAlign w:val="subscript"/>
          <w:lang w:val="ro-RO"/>
        </w:rPr>
        <w:t>2</w:t>
      </w:r>
      <w:r w:rsidRPr="008C6A37">
        <w:rPr>
          <w:lang w:val="ro-RO"/>
        </w:rPr>
        <w:t>, NO</w:t>
      </w:r>
      <w:r w:rsidRPr="008C6A37">
        <w:rPr>
          <w:vertAlign w:val="subscript"/>
          <w:lang w:val="ro-RO"/>
        </w:rPr>
        <w:t>2</w:t>
      </w:r>
      <w:r w:rsidRPr="008C6A37">
        <w:rPr>
          <w:lang w:val="ro-RO"/>
        </w:rPr>
        <w:t xml:space="preserve">, particule în suspensie, etc. </w:t>
      </w:r>
    </w:p>
    <w:p w14:paraId="17E36333" w14:textId="77777777" w:rsidR="008C6A37" w:rsidRPr="008C6A37" w:rsidRDefault="008C6A37" w:rsidP="00BC11DC">
      <w:pPr>
        <w:ind w:firstLine="567"/>
        <w:rPr>
          <w:lang w:val="ro-RO"/>
        </w:rPr>
      </w:pPr>
      <w:r w:rsidRPr="008C6A37">
        <w:rPr>
          <w:lang w:val="ro-RO"/>
        </w:rPr>
        <w:t>În partea nordică a zonei costiere, transportul rutier nu este atât de intens, sursa majoră de poluare atmosferică fiind activitatea de transport naval. În partea sudică, aferentă județului Constanța, sectorul transporturi este mult mai dezvoltat, atât în ceea ce privește transportul rutier, feroviar, cât și naval. La nivelul municipiului Constanța, contribuția sectorului transportului la totalul emisiilor de NO</w:t>
      </w:r>
      <w:r w:rsidRPr="008C6A37">
        <w:rPr>
          <w:vertAlign w:val="subscript"/>
          <w:lang w:val="ro-RO"/>
        </w:rPr>
        <w:t>X</w:t>
      </w:r>
      <w:r w:rsidRPr="008C6A37">
        <w:rPr>
          <w:lang w:val="ro-RO"/>
        </w:rPr>
        <w:t>, CO și COVNM este de peste 75 %, 85 % și, respectiv 65 %, în condițiile în care emisiile din traficul rutier pentru municipiul Constanța reprezintă circa 52% din emisiile din trafic de la nivelul județului (conform Agenției Naționale de Protecție a Mediului – Inventar local de emisii 2018).</w:t>
      </w:r>
    </w:p>
    <w:p w14:paraId="0961615D" w14:textId="77777777" w:rsidR="008C6A37" w:rsidRPr="008C6A37" w:rsidRDefault="008C6A37" w:rsidP="00BC11DC">
      <w:pPr>
        <w:ind w:firstLine="567"/>
        <w:rPr>
          <w:lang w:val="ro-RO"/>
        </w:rPr>
      </w:pPr>
      <w:r w:rsidRPr="008C6A37">
        <w:rPr>
          <w:lang w:val="ro-RO"/>
        </w:rPr>
        <w:t xml:space="preserve">Dintre sursele staționare, cele mai relevante sunt activitățile portuare generatoare de emisii de poluanți atmosferici (generarea energiei electrice și termice și a apei calde menajere în centralele termice; traficul rutier, feroviar și maritim în incintele portuare; activitatea operatorilor portuari ce desfășoară activități cu impact asupra aerului și depozitarea și eliminarea deșeurilor), industriile petrochimică și extractivă și producerea de energie termică (folosind combustibili fosili). </w:t>
      </w:r>
    </w:p>
    <w:p w14:paraId="77E0EB59" w14:textId="77777777" w:rsidR="008C6A37" w:rsidRPr="008C6A37" w:rsidRDefault="008C6A37" w:rsidP="00BC11DC">
      <w:pPr>
        <w:ind w:firstLine="567"/>
        <w:rPr>
          <w:u w:val="single"/>
          <w:lang w:val="ro-RO"/>
        </w:rPr>
      </w:pPr>
      <w:r w:rsidRPr="008C6A37">
        <w:rPr>
          <w:u w:val="single"/>
          <w:lang w:val="ro-RO"/>
        </w:rPr>
        <w:t>Poluarea apei</w:t>
      </w:r>
    </w:p>
    <w:p w14:paraId="0AB1A8E0" w14:textId="77777777" w:rsidR="008C6A37" w:rsidRPr="008C6A37" w:rsidRDefault="008C6A37" w:rsidP="00BC11DC">
      <w:pPr>
        <w:ind w:firstLine="567"/>
        <w:rPr>
          <w:lang w:val="ro-RO"/>
        </w:rPr>
      </w:pPr>
      <w:r w:rsidRPr="008C6A37">
        <w:rPr>
          <w:lang w:val="ro-RO"/>
        </w:rPr>
        <w:t>Valorile contaminanților anorganici (metale grele), organici (hidrocarburi, detergenți, fenoli) şi fertilizanți înregistrați în apele marine costiere şi lacurile litorale, în ultimii 3 ani, indicǎ o îmbunătăţire uşoară, dar şi deficiențe ale sistemelor de control a surselor de poluare difuze – surse atmosferice, agricultură, şi lipsa colectarii apelor uzate sau ineficiența tehnologiilor de epurare a apelor uzate.</w:t>
      </w:r>
    </w:p>
    <w:p w14:paraId="5CA85072" w14:textId="77777777" w:rsidR="008C6A37" w:rsidRPr="008C6A37" w:rsidRDefault="008C6A37" w:rsidP="00BC11DC">
      <w:pPr>
        <w:ind w:firstLine="567"/>
        <w:rPr>
          <w:lang w:val="ro-RO"/>
        </w:rPr>
      </w:pPr>
      <w:r w:rsidRPr="008C6A37">
        <w:rPr>
          <w:lang w:val="ro-RO"/>
        </w:rPr>
        <w:t>Ape de suprafață</w:t>
      </w:r>
    </w:p>
    <w:p w14:paraId="402312A9" w14:textId="77777777" w:rsidR="008C6A37" w:rsidRPr="008C6A37" w:rsidRDefault="008C6A37" w:rsidP="00BC11DC">
      <w:pPr>
        <w:ind w:firstLine="567"/>
        <w:rPr>
          <w:lang w:val="ro-RO"/>
        </w:rPr>
      </w:pPr>
      <w:r w:rsidRPr="008C6A37">
        <w:rPr>
          <w:lang w:val="ro-RO"/>
        </w:rPr>
        <w:t>Sursele de introducere a contaminanților în mediul acvatic din Delta Dunării, pe lângă aportul semnificativ al Dunării, sunt activitățile agricole gestionate defectuos, apele uzate urbane necolectate, deloc sau insuficient epurate, practicile neadecvate și, uneori ilegale, de colectare și depozitare a deșeurilor. În partea de sud a zonei costiere, calitatea apei lacurile litorale este afectată de activitățile agricole din proximitatea lor (lacurile Techirghiol, Tașaul, Corbu, Siutghiol, Mangalia, etc.), activitățile industriale din vecinătate (în cazul lacurilor Tașaul și Corbu), dezvoltare urbană și turism (lacurile Siutghiol, Mangalia, Tăbăcărie, etc.). De asemenea, lipsa sistemelor de colectare a apelor uzate și meteorice de la gospodării sau comunități mici din jurul lacurilor, precum și depozitarea ilegală a deșeurilor în proximitatea lor, constituie, de asemenea probleme a căror rezolvare necesită o creștere a gradului de conștientizare a populației, precum și o implicare mai mare a autorităților locale.</w:t>
      </w:r>
    </w:p>
    <w:p w14:paraId="1C8FB0CB" w14:textId="77777777" w:rsidR="008C6A37" w:rsidRPr="008C6A37" w:rsidRDefault="008C6A37" w:rsidP="00BC11DC">
      <w:pPr>
        <w:ind w:firstLine="567"/>
        <w:rPr>
          <w:lang w:val="ro-RO"/>
        </w:rPr>
      </w:pPr>
      <w:r w:rsidRPr="008C6A37">
        <w:rPr>
          <w:lang w:val="ro-RO"/>
        </w:rPr>
        <w:t>Ape marine</w:t>
      </w:r>
    </w:p>
    <w:p w14:paraId="4F7E1597" w14:textId="77777777" w:rsidR="008C6A37" w:rsidRPr="008C6A37" w:rsidRDefault="008C6A37" w:rsidP="00BC11DC">
      <w:pPr>
        <w:ind w:firstLine="567"/>
        <w:rPr>
          <w:lang w:val="ro-RO"/>
        </w:rPr>
      </w:pPr>
      <w:r w:rsidRPr="008C6A37">
        <w:rPr>
          <w:lang w:val="ro-RO"/>
        </w:rPr>
        <w:lastRenderedPageBreak/>
        <w:t>Având în vedere că principalul poluator al apelor costiere este fluviul Dunărea, principala problemă este gestionarea poluării la nivelul bazinului hidrografic al acestuia. De asemenea, o altă problemă este legată de insuficienta cunoaștere a nivelului poluării din surse difuze, în special depuneri atmosferice, dar și de pe terenuri agricole. Apare astfel necesitatea, pe de-o parte a consolidării capacității de monitorizare a depunerilor atmosferice, și în special de modelare a mecanismului de transport al poluanților, precum și prognozare a impactului asupra calității apelor costiere și marine.</w:t>
      </w:r>
    </w:p>
    <w:p w14:paraId="330F2463" w14:textId="77777777" w:rsidR="008C6A37" w:rsidRPr="008C6A37" w:rsidRDefault="008C6A37" w:rsidP="00BC11DC">
      <w:pPr>
        <w:ind w:firstLine="567"/>
        <w:rPr>
          <w:lang w:val="ro-RO"/>
        </w:rPr>
      </w:pPr>
      <w:r w:rsidRPr="008C6A37">
        <w:rPr>
          <w:lang w:val="ro-RO"/>
        </w:rPr>
        <w:t>Referitor la sursele punctiforme, în ciuda măsurilor luate de România pentru îmbunătățirea colectării și tratării apelor uzate și meteorice, încă mai sunt probleme, în special deficiențe în funcționarea stațiilor de epurare (exemplu - Eforie, Constanța Sud, Mangalia), efectele fiind vizibile în special prin nivelurile mai ridicate ale contaminanților din sedimentele localizate în aceste zone.</w:t>
      </w:r>
    </w:p>
    <w:p w14:paraId="66F3BE55" w14:textId="77777777" w:rsidR="008C6A37" w:rsidRPr="008C6A37" w:rsidRDefault="008C6A37" w:rsidP="00BC11DC">
      <w:pPr>
        <w:ind w:firstLine="567"/>
        <w:rPr>
          <w:lang w:val="ro-RO"/>
        </w:rPr>
      </w:pPr>
      <w:r w:rsidRPr="008C6A37">
        <w:rPr>
          <w:lang w:val="ro-RO"/>
        </w:rPr>
        <w:t>În fine, o altă amenințare pentru calitatea apelor costiere, dar nu numai, apărută recent cu ocazia conflictului declanșat de invazia Rusiei în Ucraina, o reprezintă intensificarea traficului naval în porturile românești, precum și creșterea activităților portuare, generatoare de emisii în mare. Momentan, nu sunt disponibile date care să arate dimensiunea acestei probleme, dar apare necesară adaptarea infrastructurii portuare la noile realități.</w:t>
      </w:r>
    </w:p>
    <w:p w14:paraId="2FD9B0F3" w14:textId="77777777" w:rsidR="008C6A37" w:rsidRPr="008C6A37" w:rsidRDefault="008C6A37" w:rsidP="00BC11DC">
      <w:pPr>
        <w:ind w:firstLine="567"/>
        <w:rPr>
          <w:lang w:val="ro-RO"/>
        </w:rPr>
      </w:pPr>
      <w:r w:rsidRPr="008C6A37">
        <w:rPr>
          <w:lang w:val="ro-RO"/>
        </w:rPr>
        <w:t>Ape subterane</w:t>
      </w:r>
    </w:p>
    <w:p w14:paraId="4D662D99" w14:textId="77777777" w:rsidR="008C6A37" w:rsidRPr="008C6A37" w:rsidRDefault="008C6A37" w:rsidP="00BC11DC">
      <w:pPr>
        <w:ind w:firstLine="567"/>
        <w:rPr>
          <w:lang w:val="ro-RO"/>
        </w:rPr>
      </w:pPr>
      <w:r w:rsidRPr="008C6A37">
        <w:rPr>
          <w:lang w:val="ro-RO"/>
        </w:rPr>
        <w:t>Având în vedere că cea mai mare parte a suprafeţelor corpurilor de apă subterană este acoperită de terenuri agricole, principala problemă referitoare la calitatea acestor ape este legată de utilizarea necorespunzătoare a îngrășămintelor și pesticidelor (folosirea în exces, depozitarea defectuoasă, neconformă), precum și lipsa unor sisteme corespunzătoare de colectare și stocare a dejecţiilor în cazul unor ferme zootehnice constituie amenințări semnificative pentru calitatea apelor subterane. La acestea se adaugă și altele: depozite neconforme și/sau ilegale de deșeuri, inclusiv industriale, aglomerări umane fără sisteme de colectare şi staţii de epurare a apelor uzate, ale căror efect pot fi amplificate de factori naturali, precum inundațiile, viiturile. O altă problemă este riscul de poluare a pânzei freatice cu hidrocarburi din conductele îngropate, uzate fizic sau distruse intenționate.</w:t>
      </w:r>
    </w:p>
    <w:p w14:paraId="63F01FD2" w14:textId="77777777" w:rsidR="008C6A37" w:rsidRPr="008C6A37" w:rsidRDefault="008C6A37" w:rsidP="00BC11DC">
      <w:pPr>
        <w:ind w:firstLine="567"/>
        <w:rPr>
          <w:lang w:val="ro-RO"/>
        </w:rPr>
      </w:pPr>
      <w:r w:rsidRPr="008C6A37">
        <w:rPr>
          <w:lang w:val="ro-RO"/>
        </w:rPr>
        <w:t>Poluarea accidentală</w:t>
      </w:r>
    </w:p>
    <w:p w14:paraId="0E01A1F2" w14:textId="77777777" w:rsidR="008C6A37" w:rsidRPr="008C6A37" w:rsidRDefault="008C6A37" w:rsidP="00BC11DC">
      <w:pPr>
        <w:ind w:firstLine="567"/>
        <w:rPr>
          <w:lang w:val="ro-RO"/>
        </w:rPr>
      </w:pPr>
      <w:r w:rsidRPr="008C6A37">
        <w:rPr>
          <w:lang w:val="ro-RO"/>
        </w:rPr>
        <w:t>Riscul producerii unor poluări majore, accidentale, cu produse petroliere, ce conduc la afectarea masivǎ a diversitǎții şi calitǎții factorilor de mediu (aer, apǎ, sol) în zona costierǎ este ridicat, determinat de activitǎțile de rafinare şi prelucrare a produselor petroliere, de transportul petrolului și produselor petroliere, cât şi de riscul producerii unui accident naval major, precum coliziune și/sau scufundare. Planurile de contingențǎ de intervenţie în caz de poluare accidentală cu hidrocarburi în vigoare pentru mediul marin şi fluviul Dunǎrea (HG nr. 893/2006, pentru modificarea HG nr. 1593/2002, privind aprobarea „Planului Naţional de pregatire, răspuns şi cooperare în caz de poluare marină cu hidrocarburi”, pot fi inoperabile, în anumite condiţii, din cauza lipsei unui sistem de avertizare în timp real şi a dotărilor tehnice, uneori insuficiente.</w:t>
      </w:r>
    </w:p>
    <w:p w14:paraId="6FAE6E8B" w14:textId="77777777" w:rsidR="008C6A37" w:rsidRPr="008C6A37" w:rsidRDefault="008C6A37" w:rsidP="00BC11DC">
      <w:pPr>
        <w:ind w:firstLine="567"/>
        <w:rPr>
          <w:lang w:val="ro-RO"/>
        </w:rPr>
      </w:pPr>
      <w:r w:rsidRPr="008C6A37">
        <w:rPr>
          <w:u w:val="single"/>
          <w:lang w:val="ro-RO"/>
        </w:rPr>
        <w:lastRenderedPageBreak/>
        <w:t>Poluarea solurilor</w:t>
      </w:r>
      <w:r w:rsidRPr="008C6A37">
        <w:rPr>
          <w:lang w:val="ro-RO"/>
        </w:rPr>
        <w:t xml:space="preserve"> este accentuată de multitudinea de activități desfășurate în acest areal, de la agricultură, care se desfășoară pe o suprafață considerabilă în majoritatea UAT-urilor, trecând prin dezvoltare urbană, turism și până la activități industriale.</w:t>
      </w:r>
    </w:p>
    <w:p w14:paraId="11D3BC17" w14:textId="77777777" w:rsidR="008C6A37" w:rsidRPr="008C6A37" w:rsidRDefault="008C6A37" w:rsidP="00BC11DC">
      <w:pPr>
        <w:ind w:firstLine="567"/>
        <w:rPr>
          <w:lang w:val="ro-RO"/>
        </w:rPr>
      </w:pPr>
      <w:r w:rsidRPr="008C6A37">
        <w:rPr>
          <w:lang w:val="ro-RO"/>
        </w:rPr>
        <w:t xml:space="preserve">Terenurile agricole pot fi contaminate de poluanți caracteristici acestei activități, respectiv pesticide, îngrășăminte minerale și naturale, reziduuri de materiale plastice de la activități agricole și deșeuri de la comunitățile din zona rurală. </w:t>
      </w:r>
    </w:p>
    <w:p w14:paraId="02E37FEC" w14:textId="77777777" w:rsidR="008C6A37" w:rsidRPr="008C6A37" w:rsidRDefault="008C6A37" w:rsidP="00BC11DC">
      <w:pPr>
        <w:ind w:firstLine="567"/>
        <w:rPr>
          <w:lang w:val="ro-RO"/>
        </w:rPr>
      </w:pPr>
      <w:r w:rsidRPr="008C6A37">
        <w:rPr>
          <w:lang w:val="ro-RO"/>
        </w:rPr>
        <w:t xml:space="preserve">Alți potențiali contaminanți pentru sol provin din zonele urbane, sursele putând fi de natură domestică, din activități agricole/horticole urbane sau periurbane, utilizarea de pesticide în zona urbană (ex. pentru gestionarea spațiilor verzi), scurgeri accidentale de substanțe toxice, deșeuri municipale, deșeuri medicale, deșeuri de la echipamente electronice, etc.  </w:t>
      </w:r>
    </w:p>
    <w:p w14:paraId="6CAF31BC" w14:textId="77777777" w:rsidR="008C6A37" w:rsidRPr="008C6A37" w:rsidRDefault="008C6A37" w:rsidP="00BC11DC">
      <w:pPr>
        <w:ind w:firstLine="567"/>
        <w:rPr>
          <w:i/>
          <w:lang w:val="ro-RO"/>
        </w:rPr>
      </w:pPr>
      <w:r w:rsidRPr="008C6A37">
        <w:rPr>
          <w:i/>
          <w:lang w:val="ro-RO"/>
        </w:rPr>
        <w:t>Introducerea de nutrienți în apă și soluri</w:t>
      </w:r>
    </w:p>
    <w:p w14:paraId="1813F190" w14:textId="77777777" w:rsidR="008C6A37" w:rsidRPr="008C6A37" w:rsidRDefault="008C6A37" w:rsidP="00BC11DC">
      <w:pPr>
        <w:ind w:firstLine="567"/>
        <w:rPr>
          <w:lang w:val="ro-RO"/>
        </w:rPr>
      </w:pPr>
      <w:r w:rsidRPr="008C6A37">
        <w:rPr>
          <w:lang w:val="ro-RO"/>
        </w:rPr>
        <w:t xml:space="preserve">Introducerea de nutrienți și materie organică în mediul acvatic (atât dulcicol, cât și marin) conduce la fenomenul de eutrofizare, cu consecințe negative, uneori dramatice, asupra ecosistemelor acvatice, respectiv înfloriri algale, uneori toxice și dezoxigenare, în unele cazuri până la anoxie (fenomen întâlnit din ce în ce mai des în lacurile, canalele și gârlele din Delta Dunării . </w:t>
      </w:r>
    </w:p>
    <w:p w14:paraId="5026D9E2" w14:textId="77777777" w:rsidR="008C6A37" w:rsidRPr="008C6A37" w:rsidRDefault="008C6A37" w:rsidP="00BC11DC">
      <w:pPr>
        <w:ind w:firstLine="567"/>
        <w:rPr>
          <w:lang w:val="ro-RO"/>
        </w:rPr>
      </w:pPr>
      <w:r w:rsidRPr="008C6A37">
        <w:rPr>
          <w:lang w:val="ro-RO"/>
        </w:rPr>
        <w:t>Sursele de introducere a compușilor cu N și P în mediul acvatic sunt, în general aceleași, ca și în cazul compușilor sintetici și nesintetici.</w:t>
      </w:r>
    </w:p>
    <w:p w14:paraId="7D819242" w14:textId="77777777" w:rsidR="008C6A37" w:rsidRPr="008C6A37" w:rsidRDefault="008C6A37" w:rsidP="00BC11DC">
      <w:pPr>
        <w:ind w:firstLine="567"/>
        <w:rPr>
          <w:lang w:val="ro-RO"/>
        </w:rPr>
      </w:pPr>
      <w:r w:rsidRPr="008C6A37">
        <w:rPr>
          <w:lang w:val="ro-RO"/>
        </w:rPr>
        <w:t>Pentru solurile din zona costieră introducerea de materie organică și substanțe cu P și N, ca și presiune antropică, se realizează tot prin intermediul agriculturii, aportul cel mai important avându-l în acest caz substanțele fertilizante utilizate pentru susținerea și creșterea producției agricole.</w:t>
      </w:r>
    </w:p>
    <w:p w14:paraId="6ED4E20A" w14:textId="77777777" w:rsidR="008C6A37" w:rsidRPr="008C6A37" w:rsidRDefault="008C6A37" w:rsidP="00BC11DC">
      <w:pPr>
        <w:ind w:firstLine="567"/>
        <w:rPr>
          <w:lang w:val="ro-RO"/>
        </w:rPr>
      </w:pPr>
      <w:r w:rsidRPr="008C6A37">
        <w:rPr>
          <w:i/>
          <w:lang w:val="ro-RO"/>
        </w:rPr>
        <w:t>Introducerea de deșeuri</w:t>
      </w:r>
    </w:p>
    <w:p w14:paraId="77F08168" w14:textId="60E946FD" w:rsidR="008C6A37" w:rsidRPr="00087C42" w:rsidRDefault="008C6A37" w:rsidP="00087C42">
      <w:pPr>
        <w:ind w:firstLine="567"/>
        <w:rPr>
          <w:color w:val="FF0000"/>
          <w:lang w:val="ro-RO"/>
        </w:rPr>
      </w:pPr>
      <w:r w:rsidRPr="008C6A37">
        <w:rPr>
          <w:lang w:val="ro-RO"/>
        </w:rPr>
        <w:t>În ciuda existenței a numeroase reglementări legislative (</w:t>
      </w:r>
      <w:r w:rsidR="00087C42" w:rsidRPr="00087C42">
        <w:rPr>
          <w:lang w:val="ro-RO"/>
        </w:rPr>
        <w:t>Ordonanța de Urgență 92</w:t>
      </w:r>
      <w:r w:rsidRPr="00087C42">
        <w:rPr>
          <w:lang w:val="ro-RO"/>
        </w:rPr>
        <w:t>/20</w:t>
      </w:r>
      <w:r w:rsidR="00087C42" w:rsidRPr="00087C42">
        <w:rPr>
          <w:lang w:val="ro-RO"/>
        </w:rPr>
        <w:t>2</w:t>
      </w:r>
      <w:r w:rsidRPr="00087C42">
        <w:rPr>
          <w:lang w:val="ro-RO"/>
        </w:rPr>
        <w:t xml:space="preserve">1 privind regimul deșeurilor, </w:t>
      </w:r>
      <w:r w:rsidRPr="008C6A37">
        <w:rPr>
          <w:lang w:val="ro-RO"/>
        </w:rPr>
        <w:t>Legea 181/2020 privind gestionarea deșeurilor nepericuloase compostabile</w:t>
      </w:r>
      <w:r w:rsidRPr="00087C42">
        <w:rPr>
          <w:lang w:val="ro-RO"/>
        </w:rPr>
        <w:t xml:space="preserve">, </w:t>
      </w:r>
      <w:r w:rsidR="00087C42" w:rsidRPr="00087C42">
        <w:rPr>
          <w:lang w:val="ro-RO"/>
        </w:rPr>
        <w:t>Ordonanța Guvernului nr. 2/2021 privind depozitarea deșeurilor</w:t>
      </w:r>
      <w:r w:rsidRPr="00087C42">
        <w:rPr>
          <w:lang w:val="ro-RO"/>
        </w:rPr>
        <w:t xml:space="preserve">, </w:t>
      </w:r>
      <w:r w:rsidRPr="008C6A37">
        <w:rPr>
          <w:lang w:val="ro-RO"/>
        </w:rPr>
        <w:t xml:space="preserve">etc.), strategii și planuri de management a deșeurilor la nivel național (Planul Național privind gestionarea deșeurilor) și local (Plan Județean de Gestionare a Deșeurilor Județul Constanța 2020-2025, Plan Județean de gestionare a Deșeurilor Județul Tulcea), problema introducerii deșeurilor în mediu încă persistă în zona costieră. Deși gradul de conectare al populației la serviciile de salubrizare în zona costieră este ridicat, există 3 UAT-uri (Istria, Mihai Viteazu și Săcele) neconectate încă la serviciile de colectare și transport a deșeurilor municipale (conform PJDG Constanța 2020-2025). În ciuda unui procent relativ ridicat de colectare și transfer a deșeurilor municipale la nivelul zonei costiere, există încă problema depozitării ilegale a deșeurilor, fapt “încurajat“ și de lipsa unui control strict și de aplicare a sancțiunilor din partea autorităților competente. </w:t>
      </w:r>
    </w:p>
    <w:p w14:paraId="60A162A6" w14:textId="6DF3C082" w:rsidR="008C6A37" w:rsidRPr="008C6A37" w:rsidRDefault="008C6A37" w:rsidP="00BC11DC">
      <w:pPr>
        <w:ind w:firstLine="567"/>
        <w:rPr>
          <w:lang w:val="ro-RO"/>
        </w:rPr>
      </w:pPr>
      <w:r w:rsidRPr="008C6A37">
        <w:rPr>
          <w:lang w:val="ro-RO"/>
        </w:rPr>
        <w:t>De asemenea, problema deșeurile marine, atât a celor plutitoare, cât și a celor scufundate, este insuficient abordată</w:t>
      </w:r>
      <w:r w:rsidR="00087C42">
        <w:rPr>
          <w:lang w:val="ro-RO"/>
        </w:rPr>
        <w:t xml:space="preserve"> în cadrul implementării Directivei Cadru privind Strategia pentru Mediul Marin, </w:t>
      </w:r>
      <w:r w:rsidRPr="008C6A37">
        <w:rPr>
          <w:lang w:val="ro-RO"/>
        </w:rPr>
        <w:t>fiind necesare creșterea capabilităților de monitorizare a acestora, precum și acțiuni vizând colectarea și tratarea / reciclarea lor.</w:t>
      </w:r>
    </w:p>
    <w:p w14:paraId="2A525B7D" w14:textId="0B30D775" w:rsidR="008C6A37" w:rsidRPr="008C6A37" w:rsidRDefault="008C6A37" w:rsidP="00BC11DC">
      <w:pPr>
        <w:ind w:firstLine="567"/>
        <w:rPr>
          <w:lang w:val="ro-RO"/>
        </w:rPr>
      </w:pPr>
      <w:r w:rsidRPr="008C6A37">
        <w:rPr>
          <w:lang w:val="ro-RO"/>
        </w:rPr>
        <w:lastRenderedPageBreak/>
        <w:t xml:space="preserve">O altă problemă legată de managementul deșeurilor se referă la procentul ridicat de deșeuri </w:t>
      </w:r>
      <w:r w:rsidR="00087C42">
        <w:rPr>
          <w:lang w:val="ro-RO"/>
        </w:rPr>
        <w:t xml:space="preserve">eliminate prin </w:t>
      </w:r>
      <w:r w:rsidRPr="008C6A37">
        <w:rPr>
          <w:lang w:val="ro-RO"/>
        </w:rPr>
        <w:t>depozita</w:t>
      </w:r>
      <w:r w:rsidR="00087C42">
        <w:rPr>
          <w:lang w:val="ro-RO"/>
        </w:rPr>
        <w:t>r</w:t>
      </w:r>
      <w:r w:rsidRPr="008C6A37">
        <w:rPr>
          <w:lang w:val="ro-RO"/>
        </w:rPr>
        <w:t>e, relevând astfel necesitatea extinderii infrastructurii de tratare a deșeurilor.</w:t>
      </w:r>
    </w:p>
    <w:p w14:paraId="66185610" w14:textId="77777777" w:rsidR="008C6A37" w:rsidRPr="008C6A37" w:rsidRDefault="008C6A37" w:rsidP="00BC11DC">
      <w:pPr>
        <w:ind w:firstLine="567"/>
        <w:rPr>
          <w:i/>
          <w:lang w:val="ro-RO"/>
        </w:rPr>
      </w:pPr>
      <w:r w:rsidRPr="008C6A37">
        <w:rPr>
          <w:i/>
          <w:lang w:val="ro-RO"/>
        </w:rPr>
        <w:t>Introducerea de specii invazive</w:t>
      </w:r>
    </w:p>
    <w:p w14:paraId="4EAAA417" w14:textId="77777777" w:rsidR="008C6A37" w:rsidRPr="008C6A37" w:rsidRDefault="008C6A37" w:rsidP="00BC11DC">
      <w:pPr>
        <w:ind w:firstLine="567"/>
        <w:rPr>
          <w:lang w:val="ro-RO"/>
        </w:rPr>
      </w:pPr>
      <w:r w:rsidRPr="008C6A37">
        <w:rPr>
          <w:lang w:val="ro-RO"/>
        </w:rPr>
        <w:t xml:space="preserve">În zona costieră sunt prezente o serie de specii străine invazive, reprezentând un real factor de risc pentru asociațiile de specii native. Dintre aceste specii, 54 sunt marine, între ele regăsindu-se unele care au dus la reconfigurarea profundă a asociațiilor de specii planctonice – </w:t>
      </w:r>
      <w:r w:rsidRPr="008C6A37">
        <w:rPr>
          <w:i/>
          <w:lang w:val="ro-RO"/>
        </w:rPr>
        <w:t>Oithona davisae</w:t>
      </w:r>
      <w:r w:rsidRPr="008C6A37">
        <w:rPr>
          <w:lang w:val="ro-RO"/>
        </w:rPr>
        <w:t xml:space="preserve">, </w:t>
      </w:r>
      <w:r w:rsidRPr="008C6A37">
        <w:rPr>
          <w:i/>
          <w:lang w:val="ro-RO"/>
        </w:rPr>
        <w:t>Acartia tonsa</w:t>
      </w:r>
      <w:r w:rsidRPr="008C6A37">
        <w:rPr>
          <w:lang w:val="ro-RO"/>
        </w:rPr>
        <w:t xml:space="preserve">, </w:t>
      </w:r>
      <w:r w:rsidRPr="008C6A37">
        <w:rPr>
          <w:i/>
          <w:lang w:val="ro-RO"/>
        </w:rPr>
        <w:t>Mnemiopsis leidyi</w:t>
      </w:r>
      <w:r w:rsidRPr="008C6A37">
        <w:rPr>
          <w:lang w:val="ro-RO"/>
        </w:rPr>
        <w:t xml:space="preserve">, Beroe ovata - și bentale – </w:t>
      </w:r>
      <w:r w:rsidRPr="008C6A37">
        <w:rPr>
          <w:i/>
          <w:lang w:val="ro-RO"/>
        </w:rPr>
        <w:t>Mya arenaria</w:t>
      </w:r>
      <w:r w:rsidRPr="008C6A37">
        <w:rPr>
          <w:lang w:val="ro-RO"/>
        </w:rPr>
        <w:t xml:space="preserve">, </w:t>
      </w:r>
      <w:r w:rsidRPr="008C6A37">
        <w:rPr>
          <w:i/>
          <w:lang w:val="ro-RO"/>
        </w:rPr>
        <w:t>Anadara kagoshimensis</w:t>
      </w:r>
      <w:r w:rsidRPr="008C6A37">
        <w:rPr>
          <w:lang w:val="ro-RO"/>
        </w:rPr>
        <w:t xml:space="preserve">, </w:t>
      </w:r>
      <w:r w:rsidRPr="008C6A37">
        <w:rPr>
          <w:i/>
          <w:lang w:val="ro-RO"/>
        </w:rPr>
        <w:t>Rapana venosa.</w:t>
      </w:r>
      <w:r w:rsidRPr="008C6A37">
        <w:rPr>
          <w:lang w:val="ro-RO"/>
        </w:rPr>
        <w:t xml:space="preserve"> De menționat că Marea Neagră s-a confruntat cu colapsul total al stocurilor de pești native datorită pătrunderii specie invazive </w:t>
      </w:r>
      <w:r w:rsidRPr="008C6A37">
        <w:rPr>
          <w:i/>
          <w:lang w:val="ro-RO"/>
        </w:rPr>
        <w:t>Mnemiopsis leidyi</w:t>
      </w:r>
      <w:r w:rsidRPr="008C6A37">
        <w:rPr>
          <w:lang w:val="ro-RO"/>
        </w:rPr>
        <w:t xml:space="preserve">, devenind un studiu de caz în cee ace privește falimentarea industriei piscicole din statele riverane bazate pe speciile de pești din marea Neagră. În habitatele terestre un inventar al speciilor invazive include peste 150 de taxoni, cea mai mare parte nevertebrate dar și specii de pești, atât marini cât și de apă dulce (crapii chinezești fitofagi - </w:t>
      </w:r>
      <w:r w:rsidRPr="008C6A37">
        <w:rPr>
          <w:i/>
          <w:lang w:val="ro-RO"/>
        </w:rPr>
        <w:t>Aristichthys nobilis</w:t>
      </w:r>
      <w:r w:rsidRPr="008C6A37">
        <w:rPr>
          <w:lang w:val="ro-RO"/>
        </w:rPr>
        <w:t xml:space="preserve">, </w:t>
      </w:r>
      <w:r w:rsidRPr="008C6A37">
        <w:rPr>
          <w:i/>
          <w:lang w:val="ro-RO"/>
        </w:rPr>
        <w:t>Hypophthalichthys molitrix</w:t>
      </w:r>
      <w:r w:rsidRPr="008C6A37">
        <w:rPr>
          <w:lang w:val="ro-RO"/>
        </w:rPr>
        <w:t xml:space="preserve">, </w:t>
      </w:r>
      <w:r w:rsidRPr="008C6A37">
        <w:rPr>
          <w:i/>
          <w:lang w:val="ro-RO"/>
        </w:rPr>
        <w:t>Ctenopharyngodon idella</w:t>
      </w:r>
      <w:r w:rsidRPr="008C6A37">
        <w:rPr>
          <w:lang w:val="ro-RO"/>
        </w:rPr>
        <w:t xml:space="preserve">, speciile de somn pitic – </w:t>
      </w:r>
      <w:r w:rsidRPr="008C6A37">
        <w:rPr>
          <w:i/>
          <w:lang w:val="ro-RO"/>
        </w:rPr>
        <w:t>Ameirus melas</w:t>
      </w:r>
      <w:r w:rsidRPr="008C6A37">
        <w:rPr>
          <w:lang w:val="ro-RO"/>
        </w:rPr>
        <w:t xml:space="preserve">, </w:t>
      </w:r>
      <w:r w:rsidRPr="008C6A37">
        <w:rPr>
          <w:i/>
          <w:iCs/>
          <w:lang w:val="ro-RO"/>
        </w:rPr>
        <w:t>Ameirus nebulosus</w:t>
      </w:r>
      <w:r w:rsidRPr="008C6A37">
        <w:rPr>
          <w:lang w:val="ro-RO"/>
        </w:rPr>
        <w:t xml:space="preserve">) sau mamifere – (bizamul </w:t>
      </w:r>
      <w:r w:rsidRPr="008C6A37">
        <w:rPr>
          <w:i/>
          <w:lang w:val="ro-RO"/>
        </w:rPr>
        <w:t>Ondathra zibethica</w:t>
      </w:r>
      <w:r w:rsidRPr="008C6A37">
        <w:rPr>
          <w:lang w:val="ro-RO"/>
        </w:rPr>
        <w:t xml:space="preserve">, câinele enot </w:t>
      </w:r>
      <w:r w:rsidRPr="008C6A37">
        <w:rPr>
          <w:i/>
          <w:lang w:val="ro-RO"/>
        </w:rPr>
        <w:t>Nyctereutes procyonoides</w:t>
      </w:r>
      <w:r w:rsidRPr="008C6A37">
        <w:rPr>
          <w:lang w:val="ro-RO"/>
        </w:rPr>
        <w:t xml:space="preserve">). Unele din aceste specii, cum sunt speciile de crapi fitofagi, au produs de asemenea reconfigurări majore ale habitatelor dulcicole în Delta Dunării, având un impact puternic asupra comunităților de specii native. </w:t>
      </w:r>
    </w:p>
    <w:p w14:paraId="0365DF00" w14:textId="77777777" w:rsidR="008C6A37" w:rsidRPr="008C6A37" w:rsidRDefault="008C6A37" w:rsidP="00BC11DC">
      <w:pPr>
        <w:ind w:firstLine="567"/>
        <w:rPr>
          <w:i/>
          <w:lang w:val="ro-RO"/>
        </w:rPr>
      </w:pPr>
      <w:r w:rsidRPr="008C6A37">
        <w:rPr>
          <w:i/>
          <w:lang w:val="ro-RO"/>
        </w:rPr>
        <w:t>Degradarea / pierderea habitatelor terestre și acvatice</w:t>
      </w:r>
    </w:p>
    <w:p w14:paraId="7628B1E7" w14:textId="77777777" w:rsidR="008C6A37" w:rsidRPr="008C6A37" w:rsidRDefault="008C6A37" w:rsidP="00BC11DC">
      <w:pPr>
        <w:ind w:firstLine="567"/>
        <w:rPr>
          <w:lang w:val="ro-RO"/>
        </w:rPr>
      </w:pPr>
      <w:r w:rsidRPr="008C6A37">
        <w:rPr>
          <w:lang w:val="ro-RO"/>
        </w:rPr>
        <w:t>Pentru zona costieră, degradarea și pierderea suprafețelor cu habitate naturale se referă mai puțin la zona terestră și mai mult la zona marină. Dacă în mediul terestru situația este cât de cât sub control, existența rețelei de arii protejate Natura 2000 asigurând păstrarea stării de conservare a habitatelor terestre, în cazul mediului marin situația este diferită.</w:t>
      </w:r>
    </w:p>
    <w:p w14:paraId="123DDFE2" w14:textId="77777777" w:rsidR="008C6A37" w:rsidRPr="008C6A37" w:rsidRDefault="008C6A37" w:rsidP="00BC11DC">
      <w:pPr>
        <w:ind w:firstLine="567"/>
        <w:rPr>
          <w:lang w:val="ro-RO"/>
        </w:rPr>
      </w:pPr>
      <w:r w:rsidRPr="008C6A37">
        <w:rPr>
          <w:lang w:val="ro-RO"/>
        </w:rPr>
        <w:t xml:space="preserve">În cazul habitatelor terestre, singura zonă protejată în care se poate vorbi despre degradarea habitatelor naturale este cea din sudul RBDD, de la Corbu–Vadu, unde un turism scăpat de sub control și care nu respectă normele și regulamentele pentru o Rezervație a Biosferei produce an de an o degradare a habitatelor costiere din zona litorală, toate foarte sensibile la impactul antropic. Alte zone unde dezvoltarea proiectelor imobiliare s-a realizat fără respectarea normelor de protecție a habitatelor sunt zona cordonului litoral dintre Eforie Nord și Eforie Sud și zona situată la nord de stațiunea Mamaia, unde practic nu mai există decât petice din habitatele naturale, însă aceste zone nu sunt incluse în arii protejate Natura 2000 </w:t>
      </w:r>
    </w:p>
    <w:p w14:paraId="6AC2A968" w14:textId="77777777" w:rsidR="008C6A37" w:rsidRPr="008C6A37" w:rsidRDefault="008C6A37" w:rsidP="00BC11DC">
      <w:pPr>
        <w:ind w:firstLine="567"/>
        <w:rPr>
          <w:lang w:val="ro-RO"/>
        </w:rPr>
      </w:pPr>
      <w:r w:rsidRPr="008C6A37">
        <w:rPr>
          <w:lang w:val="ro-RO"/>
        </w:rPr>
        <w:t xml:space="preserve">Habitatele marine suferă în prezent consecințele proiectului de înnisipare a plajelor de la litoralul românesc. Lărgirea plajelor din sudul litoralului și din zona Constanța cu circa 100 de m, afectează toate ariile incluse în rețeaua Natura 2000, arii protejate care au limita la zona de spargere a valurilor. </w:t>
      </w:r>
    </w:p>
    <w:p w14:paraId="48E9DF7C" w14:textId="77777777" w:rsidR="008C6A37" w:rsidRPr="008C6A37" w:rsidRDefault="008C6A37" w:rsidP="00BC11DC">
      <w:pPr>
        <w:ind w:firstLine="567"/>
        <w:rPr>
          <w:lang w:val="ro-RO"/>
        </w:rPr>
      </w:pPr>
      <w:r w:rsidRPr="008C6A37">
        <w:rPr>
          <w:lang w:val="ro-RO"/>
        </w:rPr>
        <w:t>Activitățile de pescuit cu unelte active exercită, de asemenea, o presiune semnificativă asupra stării habitatelor bentale. Utilizarea beam-traulelor afectează semnificativ habitatele și comunitățile bentale prin perturbarea fizică a fundului mării în perimetrul delimitat de izobatele de 5-7 m şi 30 m adâncime, de la Constanţa până la Peninsula Sacalin din zona RBDD, suprafaţa totală afectată fiind de aproximativ 1326 km</w:t>
      </w:r>
      <w:r w:rsidRPr="008C6A37">
        <w:rPr>
          <w:vertAlign w:val="superscript"/>
          <w:lang w:val="ro-RO"/>
        </w:rPr>
        <w:t>2</w:t>
      </w:r>
      <w:r w:rsidRPr="008C6A37">
        <w:rPr>
          <w:lang w:val="ro-RO"/>
        </w:rPr>
        <w:t xml:space="preserve"> (INCDM, 2022).</w:t>
      </w:r>
    </w:p>
    <w:p w14:paraId="4F2F76AE" w14:textId="77777777" w:rsidR="008C6A37" w:rsidRPr="008C6A37" w:rsidRDefault="008C6A37" w:rsidP="00BC11DC">
      <w:pPr>
        <w:ind w:firstLine="567"/>
        <w:rPr>
          <w:i/>
          <w:lang w:val="ro-RO"/>
        </w:rPr>
      </w:pPr>
      <w:r w:rsidRPr="008C6A37">
        <w:rPr>
          <w:i/>
          <w:lang w:val="ro-RO"/>
        </w:rPr>
        <w:lastRenderedPageBreak/>
        <w:t>Pescuitul ilegal și excesiv</w:t>
      </w:r>
    </w:p>
    <w:p w14:paraId="6AE8DADC" w14:textId="77777777" w:rsidR="008C6A37" w:rsidRPr="008C6A37" w:rsidRDefault="008C6A37" w:rsidP="00BC11DC">
      <w:pPr>
        <w:ind w:firstLine="567"/>
        <w:rPr>
          <w:lang w:val="ro-RO"/>
        </w:rPr>
      </w:pPr>
      <w:r w:rsidRPr="008C6A37">
        <w:rPr>
          <w:lang w:val="ro-RO"/>
        </w:rPr>
        <w:t>Pescuitul ilegal, nedeclarat și nereglementat epuizează stocurile de pește (mărimea relativă a populaţiilor de pești ierbivori și prădători), reprezentând una dintre cele mai mari amenințări pentru ecosistemele marine, cu risc de colaps biologic şi ecologic de durată incertă. Astfel se explică: a) dispariția din capturi a peștilor pelagici (pălămida, scrumbia albastră, etc.) în favoarea speciilor de talie mică (hamsia şi şprotul); b) impactul indirect asupra populaţiilor de delfini, prin diminuarea surselor de hrană preferată de aceştia, c) necesitatea adaptării peștilor la noi surse de hrană și a sistemelor de pescuit; d) reducerea biodiversității speciilor din Delta Dunării.</w:t>
      </w:r>
    </w:p>
    <w:p w14:paraId="0221081C" w14:textId="77777777" w:rsidR="008C6A37" w:rsidRPr="008C6A37" w:rsidRDefault="008C6A37" w:rsidP="00BC11DC">
      <w:pPr>
        <w:ind w:firstLine="567"/>
        <w:rPr>
          <w:lang w:val="ro-RO"/>
        </w:rPr>
      </w:pPr>
      <w:r w:rsidRPr="008C6A37">
        <w:rPr>
          <w:lang w:val="ro-RO"/>
        </w:rPr>
        <w:t>În România, Programul pentru Acvacultură și Pescuit 2021-2027 prevede abordări specifice pentru contracararea pescuitului excesiv și ilegal. În prezent, stabilirea și aplicarea măsurilor tehnice de reglementare a pescuitului (zone, perioade, mărimi ale speciilor, tipuri de unelte, dimensiunea ochiului de plasă, etc.), precum și controlul efortului de pescuit şi capturii total admisibile (TAC-ului) a redus semnificativ această presiune. Totuși ANPA a raportat, în 2019, capturi ilegale (1184,5 kg calcan, 15,3 kg rechin și 11,85 kg pisică de mare)</w:t>
      </w:r>
    </w:p>
    <w:p w14:paraId="4840DA16" w14:textId="77777777" w:rsidR="008C6A37" w:rsidRPr="008C6A37" w:rsidRDefault="008C6A37" w:rsidP="00BC11DC">
      <w:pPr>
        <w:ind w:firstLine="567"/>
        <w:rPr>
          <w:i/>
          <w:lang w:val="ro-RO"/>
        </w:rPr>
      </w:pPr>
      <w:r w:rsidRPr="008C6A37">
        <w:rPr>
          <w:i/>
          <w:lang w:val="ro-RO"/>
        </w:rPr>
        <w:t>Dezvoltarea urbană excesivă și necontrolată</w:t>
      </w:r>
    </w:p>
    <w:p w14:paraId="7AFB5582" w14:textId="77777777" w:rsidR="008C6A37" w:rsidRPr="008C6A37" w:rsidRDefault="008C6A37" w:rsidP="00BC11DC">
      <w:pPr>
        <w:ind w:firstLine="567"/>
        <w:rPr>
          <w:lang w:val="ro-RO"/>
        </w:rPr>
      </w:pPr>
      <w:r w:rsidRPr="008C6A37">
        <w:rPr>
          <w:lang w:val="ro-RO"/>
        </w:rPr>
        <w:t>În timp ce în partea nordică a zonei costiere, aferentă Deltei Dunării, se înregistrează un proces de restrângere a funcțiunii teritoriale de locuire care urmează procesul de depopulare a comunităților, în partea sudică a zonei costiere se înregistrează un model de „Expansiune urbană necontrolată” descris în Strategia națională de dezvoltare integrată pentru orașe reziliente, verzi, incluzive și competitive 2022- 2035.</w:t>
      </w:r>
    </w:p>
    <w:p w14:paraId="170C5311" w14:textId="77777777" w:rsidR="008C6A37" w:rsidRPr="008C6A37" w:rsidRDefault="008C6A37" w:rsidP="00BC11DC">
      <w:pPr>
        <w:ind w:firstLine="567"/>
        <w:rPr>
          <w:lang w:val="ro-RO"/>
        </w:rPr>
      </w:pPr>
      <w:r w:rsidRPr="008C6A37">
        <w:rPr>
          <w:lang w:val="ro-RO"/>
        </w:rPr>
        <w:t xml:space="preserve">Expansiunea urbană necontrolată (excesivă) constituie una dintre cele mai importante presiuni asupra zonei costiere, în special în sectorul său sudic, și este caracterizată prin creșterea populației stabile și a celei sezoniere ca urmare a extinderii necontrolate a zonelor construite pentru rezidență și turism pe seama terenurilor agricole, extinderi de tip „ribbon”, metropolizare și densificare, în multe cazuri fără asigurarea prealabilă, sau măcar concomitentă cu investițiile în locuințe și unități de primire turistică, a infrastructurilor și serviciilor publice tehnico-edilitare. Problema rezidă din lipsa capacității autorităților publice locale (în unele cazuri lipsa interesului) de a restricționa extinderea teritoriilor intravilane pentru noi dezvoltări, din cauza sistemului de reglementări foarte permisiv, coroborat cu imposibilitatea bugetelor locale de a asigura finanțare sau accesul la finanțare pentru infrastructurile tehnico-edilitare în același ritm cu investițiile imobiliare. </w:t>
      </w:r>
    </w:p>
    <w:p w14:paraId="4EDB69F3" w14:textId="77777777" w:rsidR="008C6A37" w:rsidRPr="008C6A37" w:rsidRDefault="008C6A37" w:rsidP="00BC11DC">
      <w:pPr>
        <w:ind w:firstLine="567"/>
        <w:rPr>
          <w:lang w:val="ro-RO"/>
        </w:rPr>
      </w:pPr>
      <w:r w:rsidRPr="008C6A37">
        <w:rPr>
          <w:lang w:val="ro-RO"/>
        </w:rPr>
        <w:t>De asemenea, în multe cazuri expansiunea urbană are loc și fără a se asigura infrastructuri și servicii sociale (educație, sănătate, agrement, inclusiv spații verzi). Investițiile total insuficiente pentru infrastructuri sociale cheie în zona dezvoltărilor imobiliare, coroborat cu lipsa de interes a dezvoltatorilor de a suporta astfel de cheltuieli, a comportamentului speculativ–imobiliar al acestora, constituie de asemenea o problemă atât din punct de vedere al bunăstării populației, cât și de mediu.</w:t>
      </w:r>
    </w:p>
    <w:p w14:paraId="527C60A6" w14:textId="77777777" w:rsidR="008C6A37" w:rsidRPr="008C6A37" w:rsidRDefault="008C6A37" w:rsidP="00BC11DC">
      <w:pPr>
        <w:ind w:firstLine="567"/>
        <w:rPr>
          <w:lang w:val="ro-RO"/>
        </w:rPr>
      </w:pPr>
      <w:r w:rsidRPr="008C6A37">
        <w:rPr>
          <w:lang w:val="ro-RO"/>
        </w:rPr>
        <w:t xml:space="preserve">O altă consecință a dezvoltării urbane necontrolate este și consumul de teren, în special cel agricol, prin extinderile de tip “green fields”. </w:t>
      </w:r>
    </w:p>
    <w:p w14:paraId="0894A430" w14:textId="77777777" w:rsidR="008C6A37" w:rsidRPr="008C6A37" w:rsidRDefault="008C6A37" w:rsidP="00BC11DC">
      <w:pPr>
        <w:ind w:firstLine="567"/>
        <w:rPr>
          <w:i/>
          <w:lang w:val="ro-RO"/>
        </w:rPr>
      </w:pPr>
      <w:r w:rsidRPr="008C6A37">
        <w:rPr>
          <w:i/>
          <w:lang w:val="ro-RO"/>
        </w:rPr>
        <w:t>Modificarea condițiilor hidrologice</w:t>
      </w:r>
    </w:p>
    <w:p w14:paraId="3BC55246" w14:textId="69C0ECD6" w:rsidR="008C6A37" w:rsidRPr="008C6A37" w:rsidRDefault="008C6A37" w:rsidP="005D2CE5">
      <w:pPr>
        <w:ind w:firstLine="567"/>
        <w:rPr>
          <w:lang w:val="ro-RO"/>
        </w:rPr>
      </w:pPr>
      <w:r w:rsidRPr="008C6A37">
        <w:rPr>
          <w:lang w:val="ro-RO"/>
        </w:rPr>
        <w:lastRenderedPageBreak/>
        <w:t>Dacă în partea de nord a zonei costiere modificările hidrologice nu induc efecte negative, ci dimpotrivă contribuie la restaurarea / reconstrucția ecologică a zonelor umede deteriorate, în partea sudică lucrările de protecție contra eroziunii costiere, pe lângă beneficii majore (reducerea eroziunii, creșterea turismului) conduc la modificări ale regimului curenților marini din zona de țărm (ex. curenți de tip rip) afectând, în sens negativ, habitatele bentale, biodiversitatea, dar și activitatea de turism (implicaț</w:t>
      </w:r>
      <w:r w:rsidR="005D2CE5">
        <w:rPr>
          <w:lang w:val="ro-RO"/>
        </w:rPr>
        <w:t>ii asupra siguranței plajelor).</w:t>
      </w:r>
    </w:p>
    <w:p w14:paraId="1BF2217F" w14:textId="05B35696" w:rsidR="008C6A37" w:rsidRPr="00940876" w:rsidRDefault="00940876" w:rsidP="005D2CE5">
      <w:pPr>
        <w:pStyle w:val="Heading3"/>
      </w:pPr>
      <w:bookmarkStart w:id="19" w:name="_Toc150247013"/>
      <w:bookmarkStart w:id="20" w:name="_Toc169625100"/>
      <w:r w:rsidRPr="00940876">
        <w:t>1.</w:t>
      </w:r>
      <w:r w:rsidR="008915D2" w:rsidRPr="00940876">
        <w:t xml:space="preserve">3.6. </w:t>
      </w:r>
      <w:r w:rsidR="008C6A37" w:rsidRPr="00940876">
        <w:t xml:space="preserve">Cadrul instituțional și legislativ actual. Probleme și nevoi </w:t>
      </w:r>
      <w:r w:rsidR="008C6A37" w:rsidRPr="005D2CE5">
        <w:t>identificate</w:t>
      </w:r>
      <w:bookmarkEnd w:id="19"/>
      <w:bookmarkEnd w:id="20"/>
    </w:p>
    <w:p w14:paraId="32FBC55A" w14:textId="77777777" w:rsidR="008C6A37" w:rsidRPr="008C6A37" w:rsidRDefault="008C6A37" w:rsidP="00BC11DC">
      <w:pPr>
        <w:ind w:firstLine="567"/>
        <w:rPr>
          <w:lang w:val="ro-RO"/>
        </w:rPr>
      </w:pPr>
      <w:r w:rsidRPr="008C6A37">
        <w:rPr>
          <w:lang w:val="ro-RO"/>
        </w:rPr>
        <w:t>În prezent, pe lângă autoritatea publică centrală pentru protecţia mediului şi gospodărirea apelor (Ministerul Mediului, Apelor și Pădurilor) funcționează Comitetul Național al Zonei Costiere (CNZC), înființat în baza Ordonanţei de Urgență nr. 202/2002 privind gospodărirea zonei costiere, aprobată cu modificări prin Legea nr. 280/2003, cu următoarele atribuții:</w:t>
      </w:r>
    </w:p>
    <w:p w14:paraId="7FCEDAB8" w14:textId="77777777" w:rsidR="008C6A37" w:rsidRPr="008C6A37" w:rsidRDefault="008C6A37" w:rsidP="00BC11DC">
      <w:pPr>
        <w:ind w:firstLine="567"/>
        <w:rPr>
          <w:lang w:val="ro-RO"/>
        </w:rPr>
      </w:pPr>
      <w:r w:rsidRPr="008C6A37">
        <w:rPr>
          <w:lang w:val="ro-RO"/>
        </w:rPr>
        <w:t>•</w:t>
      </w:r>
      <w:r w:rsidRPr="008C6A37">
        <w:rPr>
          <w:lang w:val="ro-RO"/>
        </w:rPr>
        <w:tab/>
        <w:t>avizarea planurilor de gospodărire integrată a zonei costiere și a planurilor de urbanism locale și zonale;</w:t>
      </w:r>
    </w:p>
    <w:p w14:paraId="3DA9BA8E" w14:textId="77777777" w:rsidR="008C6A37" w:rsidRPr="008C6A37" w:rsidRDefault="008C6A37" w:rsidP="00BC11DC">
      <w:pPr>
        <w:ind w:firstLine="567"/>
        <w:rPr>
          <w:lang w:val="ro-RO"/>
        </w:rPr>
      </w:pPr>
      <w:r w:rsidRPr="008C6A37">
        <w:rPr>
          <w:lang w:val="ro-RO"/>
        </w:rPr>
        <w:t>•</w:t>
      </w:r>
      <w:r w:rsidRPr="008C6A37">
        <w:rPr>
          <w:lang w:val="ro-RO"/>
        </w:rPr>
        <w:tab/>
        <w:t>avizarea studiilor de impact pentru activități cu impact semnificativ ce urmează a se desfăşura în zona costieră, precum și a bilanţurilor de mediu ale lucrărilor existente;</w:t>
      </w:r>
    </w:p>
    <w:p w14:paraId="3366C136" w14:textId="77777777" w:rsidR="008C6A37" w:rsidRPr="008C6A37" w:rsidRDefault="008C6A37" w:rsidP="00BC11DC">
      <w:pPr>
        <w:ind w:firstLine="567"/>
        <w:rPr>
          <w:lang w:val="ro-RO"/>
        </w:rPr>
      </w:pPr>
      <w:r w:rsidRPr="008C6A37">
        <w:rPr>
          <w:lang w:val="ro-RO"/>
        </w:rPr>
        <w:t>•</w:t>
      </w:r>
      <w:r w:rsidRPr="008C6A37">
        <w:rPr>
          <w:lang w:val="ro-RO"/>
        </w:rPr>
        <w:tab/>
        <w:t>avizarea proiectelor de creare de parcuri și rezervaţii naturale marine/aferente zonei costiere.</w:t>
      </w:r>
    </w:p>
    <w:p w14:paraId="080F167A" w14:textId="77777777" w:rsidR="008C6A37" w:rsidRPr="008C6A37" w:rsidRDefault="008C6A37" w:rsidP="00BC11DC">
      <w:pPr>
        <w:ind w:firstLine="567"/>
        <w:rPr>
          <w:lang w:val="ro-RO"/>
        </w:rPr>
      </w:pPr>
      <w:r w:rsidRPr="008C6A37">
        <w:rPr>
          <w:lang w:val="ro-RO"/>
        </w:rPr>
        <w:t>Conform articolului 68 al OUG 202 / 2002 privind gospodărirea zonei costiere, aprobată cu modificări prin Legea nr. 280/2003, din componența CNZC fac parte peste 40 de reprezentanți ai autorităților centrale, locale și regionale, instituțiilor, factorilor interesați și organizațiilor non-guvernamentale.</w:t>
      </w:r>
    </w:p>
    <w:p w14:paraId="45DE0256" w14:textId="77777777" w:rsidR="008C6A37" w:rsidRPr="008C6A37" w:rsidRDefault="008C6A37" w:rsidP="00BC11DC">
      <w:pPr>
        <w:ind w:firstLine="567"/>
        <w:rPr>
          <w:lang w:val="ro-RO"/>
        </w:rPr>
      </w:pPr>
      <w:r w:rsidRPr="008C6A37">
        <w:rPr>
          <w:lang w:val="ro-RO"/>
        </w:rPr>
        <w:t>În conformitate cu art. 10 al Regulamentului de organizare și funcționare a Comitetului Național al Zonei Costiere, aprobat pr</w:t>
      </w:r>
      <w:r w:rsidR="00A92A31">
        <w:rPr>
          <w:lang w:val="ro-RO"/>
        </w:rPr>
        <w:t>in H</w:t>
      </w:r>
      <w:r w:rsidRPr="008C6A37">
        <w:rPr>
          <w:lang w:val="ro-RO"/>
        </w:rPr>
        <w:t xml:space="preserve">G 1015/26.06.2004, pentru desfășurarea activității curente, CNZC are, în prezent, un Secretariat Tehnic Permanent al CNZC (STP-CNZC) care este asigurat de către autoritatea publică centrală pentru protecția mediului și gospodărirea apelor și are următoarele atribuţii: </w:t>
      </w:r>
    </w:p>
    <w:p w14:paraId="710C8A09" w14:textId="77777777" w:rsidR="008C6A37" w:rsidRPr="008C6A37" w:rsidRDefault="008C6A37" w:rsidP="00BC11DC">
      <w:pPr>
        <w:ind w:firstLine="567"/>
        <w:rPr>
          <w:lang w:val="ro-RO"/>
        </w:rPr>
      </w:pPr>
      <w:r w:rsidRPr="008C6A37">
        <w:rPr>
          <w:lang w:val="ro-RO"/>
        </w:rPr>
        <w:t>-</w:t>
      </w:r>
      <w:r w:rsidRPr="008C6A37">
        <w:rPr>
          <w:lang w:val="ro-RO"/>
        </w:rPr>
        <w:tab/>
        <w:t xml:space="preserve">pune la dispoziţia CNZC documentele necesare acestuia în vederea adoptării deciziilor; </w:t>
      </w:r>
    </w:p>
    <w:p w14:paraId="09187196" w14:textId="77777777" w:rsidR="008C6A37" w:rsidRPr="008C6A37" w:rsidRDefault="008C6A37" w:rsidP="00BC11DC">
      <w:pPr>
        <w:ind w:firstLine="567"/>
        <w:rPr>
          <w:lang w:val="ro-RO"/>
        </w:rPr>
      </w:pPr>
      <w:r w:rsidRPr="008C6A37">
        <w:rPr>
          <w:lang w:val="ro-RO"/>
        </w:rPr>
        <w:t>-</w:t>
      </w:r>
      <w:r w:rsidRPr="008C6A37">
        <w:rPr>
          <w:lang w:val="ro-RO"/>
        </w:rPr>
        <w:tab/>
        <w:t xml:space="preserve">asigură pregătirea și organizarea şedinţelor de lucru ale CNZC, a dezbaterilor publice și a altor acţiuni iniţiate de acesta; </w:t>
      </w:r>
    </w:p>
    <w:p w14:paraId="09CA33C7" w14:textId="77777777" w:rsidR="008C6A37" w:rsidRPr="008C6A37" w:rsidRDefault="008C6A37" w:rsidP="00BC11DC">
      <w:pPr>
        <w:ind w:firstLine="567"/>
        <w:rPr>
          <w:lang w:val="ro-RO"/>
        </w:rPr>
      </w:pPr>
      <w:r w:rsidRPr="008C6A37">
        <w:rPr>
          <w:lang w:val="ro-RO"/>
        </w:rPr>
        <w:t>-</w:t>
      </w:r>
      <w:r w:rsidRPr="008C6A37">
        <w:rPr>
          <w:lang w:val="ro-RO"/>
        </w:rPr>
        <w:tab/>
        <w:t xml:space="preserve">pregăteşte corespondența legată de activitatea curentă a CNZC, în conformitate cu deciziile luate de acesta și transmise de preşedintele CNZC; </w:t>
      </w:r>
    </w:p>
    <w:p w14:paraId="2D311A2F" w14:textId="77777777" w:rsidR="008C6A37" w:rsidRPr="008C6A37" w:rsidRDefault="008C6A37" w:rsidP="00BC11DC">
      <w:pPr>
        <w:ind w:firstLine="567"/>
        <w:rPr>
          <w:lang w:val="ro-RO"/>
        </w:rPr>
      </w:pPr>
      <w:r w:rsidRPr="008C6A37">
        <w:rPr>
          <w:lang w:val="ro-RO"/>
        </w:rPr>
        <w:t>-</w:t>
      </w:r>
      <w:r w:rsidRPr="008C6A37">
        <w:rPr>
          <w:lang w:val="ro-RO"/>
        </w:rPr>
        <w:tab/>
        <w:t xml:space="preserve">răspunde întrebărilor și/sau solicitărilor persoanelor interesate în orice problemă care face obiectul atribuţiilor CNZC, cu excepţia celor în legătură cu care CNZC nu a adoptat încă o decizie; </w:t>
      </w:r>
    </w:p>
    <w:p w14:paraId="4FC63C17" w14:textId="77777777" w:rsidR="008C6A37" w:rsidRPr="008C6A37" w:rsidRDefault="008C6A37" w:rsidP="00BC11DC">
      <w:pPr>
        <w:ind w:firstLine="567"/>
        <w:rPr>
          <w:lang w:val="ro-RO"/>
        </w:rPr>
      </w:pPr>
      <w:r w:rsidRPr="008C6A37">
        <w:rPr>
          <w:lang w:val="ro-RO"/>
        </w:rPr>
        <w:t>-</w:t>
      </w:r>
      <w:r w:rsidRPr="008C6A37">
        <w:rPr>
          <w:lang w:val="ro-RO"/>
        </w:rPr>
        <w:tab/>
        <w:t xml:space="preserve">asigură întocmirea proceselor-verbale ale fiecărei şedinţe de lucru și ale dezbaterilor publice; </w:t>
      </w:r>
    </w:p>
    <w:p w14:paraId="02FC0EFB" w14:textId="77777777" w:rsidR="008C6A37" w:rsidRPr="008C6A37" w:rsidRDefault="008C6A37" w:rsidP="00BC11DC">
      <w:pPr>
        <w:ind w:firstLine="567"/>
        <w:rPr>
          <w:lang w:val="ro-RO"/>
        </w:rPr>
      </w:pPr>
      <w:r w:rsidRPr="008C6A37">
        <w:rPr>
          <w:lang w:val="ro-RO"/>
        </w:rPr>
        <w:lastRenderedPageBreak/>
        <w:t>-</w:t>
      </w:r>
      <w:r w:rsidRPr="008C6A37">
        <w:rPr>
          <w:lang w:val="ro-RO"/>
        </w:rPr>
        <w:tab/>
        <w:t xml:space="preserve">elaborează proiectele programului de lucru anual în vederea desfășurării activităţilor CNZC și le supune aprobării acestuia. </w:t>
      </w:r>
    </w:p>
    <w:p w14:paraId="1AD777BF" w14:textId="77777777" w:rsidR="008C6A37" w:rsidRPr="008C6A37" w:rsidRDefault="008C6A37" w:rsidP="00BC11DC">
      <w:pPr>
        <w:ind w:firstLine="567"/>
        <w:rPr>
          <w:lang w:val="ro-RO"/>
        </w:rPr>
      </w:pPr>
      <w:r w:rsidRPr="008C6A37">
        <w:rPr>
          <w:lang w:val="ro-RO"/>
        </w:rPr>
        <w:t xml:space="preserve">În cadrul CNZC sunt constituite, în prezent, șase Grupuri de Lucru, după cum urmează: </w:t>
      </w:r>
    </w:p>
    <w:p w14:paraId="57199595" w14:textId="77777777" w:rsidR="008C6A37" w:rsidRPr="008C6A37" w:rsidRDefault="008C6A37" w:rsidP="00BC11DC">
      <w:pPr>
        <w:ind w:firstLine="567"/>
        <w:rPr>
          <w:lang w:val="ro-RO"/>
        </w:rPr>
      </w:pPr>
      <w:r w:rsidRPr="008C6A37">
        <w:rPr>
          <w:lang w:val="ro-RO"/>
        </w:rPr>
        <w:t>-</w:t>
      </w:r>
      <w:r w:rsidRPr="008C6A37">
        <w:rPr>
          <w:lang w:val="ro-RO"/>
        </w:rPr>
        <w:tab/>
        <w:t>Grupul de lucru pentru delimitarea zonei costiere, urbanism și amenajarea teritoriului;</w:t>
      </w:r>
    </w:p>
    <w:p w14:paraId="0B8C52A5" w14:textId="77777777" w:rsidR="008C6A37" w:rsidRPr="008C6A37" w:rsidRDefault="008C6A37" w:rsidP="00BC11DC">
      <w:pPr>
        <w:ind w:firstLine="567"/>
        <w:rPr>
          <w:lang w:val="ro-RO"/>
        </w:rPr>
      </w:pPr>
      <w:r w:rsidRPr="008C6A37">
        <w:rPr>
          <w:lang w:val="ro-RO"/>
        </w:rPr>
        <w:t>-</w:t>
      </w:r>
      <w:r w:rsidRPr="008C6A37">
        <w:rPr>
          <w:lang w:val="ro-RO"/>
        </w:rPr>
        <w:tab/>
        <w:t xml:space="preserve">Grupul de lucru pentru combaterea degradării Zonei Costiere prin eroziune marină, alunecări de teren și alte accidente; </w:t>
      </w:r>
    </w:p>
    <w:p w14:paraId="214B2B6E" w14:textId="77777777" w:rsidR="008C6A37" w:rsidRPr="008C6A37" w:rsidRDefault="008C6A37" w:rsidP="00BC11DC">
      <w:pPr>
        <w:ind w:firstLine="567"/>
        <w:rPr>
          <w:lang w:val="ro-RO"/>
        </w:rPr>
      </w:pPr>
      <w:r w:rsidRPr="008C6A37">
        <w:rPr>
          <w:lang w:val="ro-RO"/>
        </w:rPr>
        <w:t>-</w:t>
      </w:r>
      <w:r w:rsidRPr="008C6A37">
        <w:rPr>
          <w:lang w:val="ro-RO"/>
        </w:rPr>
        <w:tab/>
        <w:t xml:space="preserve">Grupul de lucru pentru elaborarea documentelor juridice, tehnice la nivel naţional, regional și intersectorial referitoare la gestionarea integrată a Zonei Costiere; </w:t>
      </w:r>
    </w:p>
    <w:p w14:paraId="5BCDEA3C" w14:textId="77777777" w:rsidR="008C6A37" w:rsidRPr="008C6A37" w:rsidRDefault="008C6A37" w:rsidP="00BC11DC">
      <w:pPr>
        <w:ind w:firstLine="567"/>
        <w:rPr>
          <w:lang w:val="ro-RO"/>
        </w:rPr>
      </w:pPr>
      <w:r w:rsidRPr="008C6A37">
        <w:rPr>
          <w:lang w:val="ro-RO"/>
        </w:rPr>
        <w:t>-</w:t>
      </w:r>
      <w:r w:rsidRPr="008C6A37">
        <w:rPr>
          <w:lang w:val="ro-RO"/>
        </w:rPr>
        <w:tab/>
        <w:t xml:space="preserve">Grupul de lucru pentru elaborarea de politici, strategii și planuri de acţiune pentru gestionarea integrată a Zonei Costiere; </w:t>
      </w:r>
    </w:p>
    <w:p w14:paraId="059FE062" w14:textId="77777777" w:rsidR="008C6A37" w:rsidRPr="008C6A37" w:rsidRDefault="008C6A37" w:rsidP="00BC11DC">
      <w:pPr>
        <w:ind w:firstLine="567"/>
        <w:rPr>
          <w:lang w:val="ro-RO"/>
        </w:rPr>
      </w:pPr>
      <w:r w:rsidRPr="008C6A37">
        <w:rPr>
          <w:lang w:val="ro-RO"/>
        </w:rPr>
        <w:t>-</w:t>
      </w:r>
      <w:r w:rsidRPr="008C6A37">
        <w:rPr>
          <w:lang w:val="ro-RO"/>
        </w:rPr>
        <w:tab/>
        <w:t xml:space="preserve">Grupul de lucru pentru monitorizarea și controlul integrat al patrimoniului, calităţii mediului și activităţilor umane din Zona Costieră; </w:t>
      </w:r>
    </w:p>
    <w:p w14:paraId="616FC83F" w14:textId="77777777" w:rsidR="008C6A37" w:rsidRPr="008C6A37" w:rsidRDefault="008C6A37" w:rsidP="00BC11DC">
      <w:pPr>
        <w:ind w:firstLine="567"/>
        <w:rPr>
          <w:lang w:val="ro-RO"/>
        </w:rPr>
      </w:pPr>
      <w:r w:rsidRPr="008C6A37">
        <w:rPr>
          <w:lang w:val="ro-RO"/>
        </w:rPr>
        <w:t>-</w:t>
      </w:r>
      <w:r w:rsidRPr="008C6A37">
        <w:rPr>
          <w:lang w:val="ro-RO"/>
        </w:rPr>
        <w:tab/>
        <w:t>Grupul de lucru pentru informare și comunicare.</w:t>
      </w:r>
    </w:p>
    <w:p w14:paraId="1861FF04" w14:textId="77777777" w:rsidR="008C6A37" w:rsidRPr="008C6A37" w:rsidRDefault="008C6A37" w:rsidP="00BC11DC">
      <w:pPr>
        <w:ind w:firstLine="567"/>
        <w:rPr>
          <w:lang w:val="ro-RO"/>
        </w:rPr>
      </w:pPr>
      <w:r w:rsidRPr="008C6A37">
        <w:rPr>
          <w:lang w:val="ro-RO"/>
        </w:rPr>
        <w:t>Conform art. 6, alin. 8 din Anexa la Regulamentului de organizare și funcț</w:t>
      </w:r>
      <w:r w:rsidR="00A92A31">
        <w:rPr>
          <w:lang w:val="ro-RO"/>
        </w:rPr>
        <w:t>ionare a CNZC, aprobat prin HG</w:t>
      </w:r>
      <w:r w:rsidRPr="008C6A37">
        <w:rPr>
          <w:lang w:val="ro-RO"/>
        </w:rPr>
        <w:t xml:space="preserve"> 1015/26.06.2004, deciziile CNZC au caracter consultativ și sunt luate în considerare de autoritatea publică centrală pentru protecția mediului și gospodărirea apelor, dar fără a avea un caracter obligatoriu. </w:t>
      </w:r>
    </w:p>
    <w:p w14:paraId="02810609" w14:textId="77777777" w:rsidR="008C6A37" w:rsidRPr="008C6A37" w:rsidRDefault="008C6A37" w:rsidP="00BC11DC">
      <w:pPr>
        <w:ind w:firstLine="567"/>
        <w:rPr>
          <w:lang w:val="ro-RO"/>
        </w:rPr>
      </w:pPr>
      <w:r w:rsidRPr="008C6A37">
        <w:rPr>
          <w:lang w:val="ro-RO"/>
        </w:rPr>
        <w:t>Pe de altă parte, Cadrul legal privind managementul integrat al zonei costiere în România este format din principalele documente legislative enumerate mai jos:</w:t>
      </w:r>
    </w:p>
    <w:p w14:paraId="2AD148FC" w14:textId="77777777" w:rsidR="008C6A37" w:rsidRPr="008C6A37" w:rsidRDefault="00A92A31" w:rsidP="00920C1F">
      <w:pPr>
        <w:numPr>
          <w:ilvl w:val="0"/>
          <w:numId w:val="11"/>
        </w:numPr>
        <w:ind w:firstLine="567"/>
        <w:rPr>
          <w:lang w:val="ro-RO"/>
        </w:rPr>
      </w:pPr>
      <w:r>
        <w:rPr>
          <w:lang w:val="ro-RO"/>
        </w:rPr>
        <w:t>OU</w:t>
      </w:r>
      <w:r w:rsidR="008C6A37" w:rsidRPr="008C6A37">
        <w:rPr>
          <w:lang w:val="ro-RO"/>
        </w:rPr>
        <w:t>G nr. 202/2002 privind gospodărirea integrată a zonei costiere aprobată cu modificări prin Legea nr. 280/2003;</w:t>
      </w:r>
    </w:p>
    <w:p w14:paraId="39E9AA7D" w14:textId="77777777" w:rsidR="008C6A37" w:rsidRPr="008C6A37" w:rsidRDefault="00A92A31" w:rsidP="00920C1F">
      <w:pPr>
        <w:numPr>
          <w:ilvl w:val="0"/>
          <w:numId w:val="11"/>
        </w:numPr>
        <w:ind w:firstLine="567"/>
        <w:rPr>
          <w:lang w:val="ro-RO"/>
        </w:rPr>
      </w:pPr>
      <w:r>
        <w:rPr>
          <w:lang w:val="ro-RO"/>
        </w:rPr>
        <w:t>HG</w:t>
      </w:r>
      <w:r w:rsidR="008C6A37" w:rsidRPr="008C6A37">
        <w:rPr>
          <w:lang w:val="ro-RO"/>
        </w:rPr>
        <w:t xml:space="preserve"> nr. 1015/2004 privind aprobarea Regulamentului de organizare și funcționare a Comitetului Național al Zonei Costiere;</w:t>
      </w:r>
    </w:p>
    <w:p w14:paraId="543E5E11" w14:textId="77777777" w:rsidR="008C6A37" w:rsidRPr="008C6A37" w:rsidRDefault="00A92A31" w:rsidP="00920C1F">
      <w:pPr>
        <w:numPr>
          <w:ilvl w:val="0"/>
          <w:numId w:val="11"/>
        </w:numPr>
        <w:ind w:firstLine="567"/>
        <w:rPr>
          <w:lang w:val="ro-RO"/>
        </w:rPr>
      </w:pPr>
      <w:r>
        <w:rPr>
          <w:lang w:val="ro-RO"/>
        </w:rPr>
        <w:t>HG</w:t>
      </w:r>
      <w:r w:rsidR="008C6A37" w:rsidRPr="008C6A37">
        <w:rPr>
          <w:lang w:val="ro-RO"/>
        </w:rPr>
        <w:t xml:space="preserve"> nr. 749/2004 privind stabilirea responsabilităților, criteriilor şi modului de delimitare a fâșiei de teren aflate în imediata apropiere a zonei costiere, în scopul conservării condițiilor ambientale și valorii patrimoniale şi peisagistice din zonele situate în apropierea țărmului;</w:t>
      </w:r>
    </w:p>
    <w:p w14:paraId="77AB9826" w14:textId="77777777" w:rsidR="008C6A37" w:rsidRPr="008C6A37" w:rsidRDefault="00A92A31" w:rsidP="00920C1F">
      <w:pPr>
        <w:numPr>
          <w:ilvl w:val="0"/>
          <w:numId w:val="11"/>
        </w:numPr>
        <w:ind w:firstLine="567"/>
        <w:rPr>
          <w:lang w:val="ro-RO"/>
        </w:rPr>
      </w:pPr>
      <w:r>
        <w:rPr>
          <w:lang w:val="ro-RO"/>
        </w:rPr>
        <w:t>HG</w:t>
      </w:r>
      <w:r w:rsidR="008C6A37" w:rsidRPr="008C6A37">
        <w:rPr>
          <w:lang w:val="ro-RO"/>
        </w:rPr>
        <w:t xml:space="preserve"> nr. 546/2004 privind aprobarea Metodologiei pentru delimitarea domeniului public al statului în zona costieră;</w:t>
      </w:r>
    </w:p>
    <w:p w14:paraId="0CF8F22D" w14:textId="77777777" w:rsidR="008C6A37" w:rsidRPr="008C6A37" w:rsidRDefault="00A92A31" w:rsidP="00920C1F">
      <w:pPr>
        <w:numPr>
          <w:ilvl w:val="0"/>
          <w:numId w:val="11"/>
        </w:numPr>
        <w:ind w:firstLine="567"/>
        <w:rPr>
          <w:lang w:val="ro-RO"/>
        </w:rPr>
      </w:pPr>
      <w:r>
        <w:rPr>
          <w:lang w:val="ro-RO"/>
        </w:rPr>
        <w:t>Ordonanț</w:t>
      </w:r>
      <w:r w:rsidR="008C6A37" w:rsidRPr="008C6A37">
        <w:rPr>
          <w:lang w:val="ro-RO"/>
        </w:rPr>
        <w:t>a de Urgență nr.19/2006 privind utilizarea plajei Mării Negre și controlul activităților desfășurate pe plajă;</w:t>
      </w:r>
    </w:p>
    <w:p w14:paraId="456F724D" w14:textId="77777777" w:rsidR="008C6A37" w:rsidRPr="008C6A37" w:rsidRDefault="00A92A31" w:rsidP="00920C1F">
      <w:pPr>
        <w:numPr>
          <w:ilvl w:val="0"/>
          <w:numId w:val="11"/>
        </w:numPr>
        <w:ind w:firstLine="567"/>
        <w:rPr>
          <w:lang w:val="ro-RO"/>
        </w:rPr>
      </w:pPr>
      <w:r>
        <w:rPr>
          <w:lang w:val="ro-RO"/>
        </w:rPr>
        <w:t>Ordonanț</w:t>
      </w:r>
      <w:r w:rsidR="008C6A37" w:rsidRPr="008C6A37">
        <w:rPr>
          <w:lang w:val="ro-RO"/>
        </w:rPr>
        <w:t>a de Urgență nr. 18/2016 privind amenajarea spaţiului maritim.</w:t>
      </w:r>
    </w:p>
    <w:p w14:paraId="5F80D886" w14:textId="77777777" w:rsidR="008C6A37" w:rsidRPr="008C6A37" w:rsidRDefault="008C6A37" w:rsidP="00BC11DC">
      <w:pPr>
        <w:ind w:firstLine="567"/>
        <w:rPr>
          <w:i/>
          <w:lang w:val="ro-RO"/>
        </w:rPr>
      </w:pPr>
      <w:r w:rsidRPr="008C6A37">
        <w:rPr>
          <w:i/>
          <w:lang w:val="ro-RO"/>
        </w:rPr>
        <w:t>Probleme și nevoi identificate</w:t>
      </w:r>
    </w:p>
    <w:p w14:paraId="6CFF83BD" w14:textId="77777777" w:rsidR="008C6A37" w:rsidRPr="008C6A37" w:rsidRDefault="008C6A37" w:rsidP="00BC11DC">
      <w:pPr>
        <w:ind w:firstLine="567"/>
        <w:rPr>
          <w:lang w:val="ro-RO"/>
        </w:rPr>
      </w:pPr>
      <w:r w:rsidRPr="008C6A37">
        <w:rPr>
          <w:lang w:val="ro-RO"/>
        </w:rPr>
        <w:t xml:space="preserve">În complexitatea cadrului instituțional pentru managementul integrat al zonei costiere, caracterizat prin diversitatea de acte normative și structuri instituționale cu responsabilități și atribuții directe și/sau conexe, CNZC funcționează în prezent destul de greoi și de multe ori ineficient, fiind astfel necesară întărirea autorității comitetului, precum și revizuirea </w:t>
      </w:r>
      <w:r w:rsidRPr="008C6A37">
        <w:rPr>
          <w:lang w:val="ro-RO"/>
        </w:rPr>
        <w:lastRenderedPageBreak/>
        <w:t>componenței și, în special, a atribuțiilor acestuia, astfel încât să funcționeze continuu, să devină mai consistent, mai eficient și cu un rol mai important și mai bine definit.</w:t>
      </w:r>
    </w:p>
    <w:p w14:paraId="216DDB8E" w14:textId="77777777" w:rsidR="008C6A37" w:rsidRPr="008C6A37" w:rsidRDefault="008C6A37" w:rsidP="00BC11DC">
      <w:pPr>
        <w:ind w:firstLine="567"/>
        <w:rPr>
          <w:lang w:val="ro-RO"/>
        </w:rPr>
      </w:pPr>
      <w:r w:rsidRPr="008C6A37">
        <w:rPr>
          <w:lang w:val="ro-RO"/>
        </w:rPr>
        <w:t>Faptul că președinția CNZC este, în prezent, asigurată de către MMAP, nu conferă suficientă autoritate comitetului pentru asigurarea coordonării inter-ministeriale. În ceea ce privește componența CNZC se remarcă absența reprezentanților mediului de afaceri, astfel, interesele comunității de afaceri din zona costieră nu sunt adecvat reprezentate, protejate și susținute în raport cu autoritățile publice și locale. Acest lucru poate duce la decizii care nu iau în considerare perspectivele și preocupările mediului de afaceri, ceea ce poate afecta negativ dezvoltarea economică sustenabilă în zona costieră. În plus, având în vedere potențialul foarte mare al activităților de planificare spațială a teritoriului și urbanism de a induce riscuri în zona costieră, este surprinzătoare absența organizațiilor profesionale de profil din componența CNZC.</w:t>
      </w:r>
    </w:p>
    <w:p w14:paraId="0E8C8DA9" w14:textId="77777777" w:rsidR="008C6A37" w:rsidRPr="008C6A37" w:rsidRDefault="008C6A37" w:rsidP="00BC11DC">
      <w:pPr>
        <w:ind w:firstLine="567"/>
        <w:rPr>
          <w:lang w:val="ro-RO"/>
        </w:rPr>
      </w:pPr>
      <w:r w:rsidRPr="008C6A37">
        <w:rPr>
          <w:lang w:val="ro-RO"/>
        </w:rPr>
        <w:t xml:space="preserve">Tot referitor la funcționarea CNZC, o problemă importantă pentru asigurarea eficienței CNZC este și lipsa (cel puțin parțială) de resurse (financiare, logistice). Dacă activitatea membrilor CNZC delegați de instituțiile publice nominalizate se asigură din bugetele instituțiilor respective, participarea altor reprezentanți, precum și a experților în grupurile nominalizate, depinde de resursele limitate sau chiar inexistente ale acestora, bazându-se pe caracterul voluntar, ceea ce în practică nu s-a dovedit că poate asigura continuitatea și calitatea activităților. </w:t>
      </w:r>
    </w:p>
    <w:p w14:paraId="41235347" w14:textId="77777777" w:rsidR="008C6A37" w:rsidRPr="008C6A37" w:rsidRDefault="008C6A37" w:rsidP="00BC11DC">
      <w:pPr>
        <w:ind w:firstLine="567"/>
        <w:rPr>
          <w:lang w:val="ro-RO"/>
        </w:rPr>
      </w:pPr>
      <w:r w:rsidRPr="008C6A37">
        <w:rPr>
          <w:lang w:val="ro-RO"/>
        </w:rPr>
        <w:t>Administrațiile locale, membre ale CNZC, sunt destul de puțin motivate și implicate în procesul de management integrat al zonei costiere (cel mai elocvent exemplu este neincluderea delimitării zonei costiere în PUG-uri, dealtfel stipulată în OUG 202 / 2002), astfel încât atribuțiile și consistența acțiunilor lor în cadrul CNZC necesită o îmbunătățire majoră, inclusiv în ceea ce privește implicarea și expertiza funcționarilor publici.</w:t>
      </w:r>
    </w:p>
    <w:p w14:paraId="033E9E31" w14:textId="77777777" w:rsidR="008C6A37" w:rsidRPr="008C6A37" w:rsidRDefault="008C6A37" w:rsidP="00BC11DC">
      <w:pPr>
        <w:ind w:firstLine="567"/>
        <w:rPr>
          <w:lang w:val="ro-RO"/>
        </w:rPr>
      </w:pPr>
      <w:r w:rsidRPr="008C6A37">
        <w:rPr>
          <w:lang w:val="ro-RO"/>
        </w:rPr>
        <w:t>Referitor la coordonarea orizontală intersectorială, se poate spune că în trecut au existat exemple de competențe neclare și suprapuse și de funcționare ineficientă. Pe lângă slăbiciunile în coordonarea și integrarea intersectorială, probleme majore se înregistrează în coordonarea verticală (de la nivel local la nivel național). Capacitățile scăzute, precum și lipsa de experiență și cunoștințe pentru aplicarea unei abordări de management integrat sunt, de asemenea, caracteristice sistemului instituțional existent, iar acest lucru este deosebit de evident la nivel local. Delimitarea clară a responsabilităților din cadrul ministerelor sub jurisdicția cărora intră cele mai importante aspecte referitoare la managementul zonei de costiere este necesară pentru o coordonare mai bună la nivel local a reprezentanților în teritoriu, evitându-se suprapunerea anumitor reglementări, astfel încât acțiunile să fie concertate și eficiente. Totodată, analiza cadrului instituțional și legal actual relevă faptul că există decalaje care pot fi estompate prin adresare punctuală, ținând cont de specificitățile regionale și locale, respectiv condițiile interne și externe - un exemplu poate fi cel referitor la recunoașterea schimbărilor climatice și măsurile necesare.</w:t>
      </w:r>
    </w:p>
    <w:p w14:paraId="144777A6" w14:textId="77777777" w:rsidR="008C6A37" w:rsidRPr="008C6A37" w:rsidRDefault="008C6A37" w:rsidP="00BC11DC">
      <w:pPr>
        <w:ind w:firstLine="567"/>
        <w:rPr>
          <w:lang w:val="ro-RO"/>
        </w:rPr>
      </w:pPr>
      <w:r w:rsidRPr="008C6A37">
        <w:rPr>
          <w:lang w:val="ro-RO"/>
        </w:rPr>
        <w:t xml:space="preserve">Cooperarea și coordonarea CNZC cu Comitetul Național pentru Amenajarea Spațiului Maritim este, în prezent, cvasi-inexistentă, în ciuda faptului că multe dintre organizațiile componente sunt reprezentate în ambele comitete. Având în vedere că apele teritoriale ale </w:t>
      </w:r>
      <w:r w:rsidRPr="008C6A37">
        <w:rPr>
          <w:lang w:val="ro-RO"/>
        </w:rPr>
        <w:lastRenderedPageBreak/>
        <w:t>României reprezintă un spațiu comun ambelor instrumente, cooperarea și coordonarea dintre cele două este obligatorie.</w:t>
      </w:r>
    </w:p>
    <w:p w14:paraId="14C5D77A" w14:textId="77777777" w:rsidR="008C6A37" w:rsidRPr="008C6A37" w:rsidRDefault="008C6A37" w:rsidP="00BC11DC">
      <w:pPr>
        <w:ind w:firstLine="567"/>
        <w:rPr>
          <w:lang w:val="ro-RO"/>
        </w:rPr>
      </w:pPr>
      <w:r w:rsidRPr="008C6A37">
        <w:rPr>
          <w:lang w:val="ro-RO"/>
        </w:rPr>
        <w:t>Analizând cadrul juridic actual pentru managementul integrat al zonei costiere se remarcă următoarele aspecte:</w:t>
      </w:r>
    </w:p>
    <w:p w14:paraId="04E82855" w14:textId="77777777" w:rsidR="008C6A37" w:rsidRPr="008C6A37" w:rsidRDefault="008C6A37" w:rsidP="00BC11DC">
      <w:pPr>
        <w:ind w:firstLine="567"/>
        <w:rPr>
          <w:lang w:val="ro-RO"/>
        </w:rPr>
      </w:pPr>
      <w:r w:rsidRPr="008C6A37">
        <w:rPr>
          <w:lang w:val="ro-RO"/>
        </w:rPr>
        <w:t>•</w:t>
      </w:r>
      <w:r w:rsidRPr="008C6A37">
        <w:rPr>
          <w:lang w:val="ro-RO"/>
        </w:rPr>
        <w:tab/>
        <w:t>Actualul cadru legislativ are un domeniu de aplicare foarte / prea larg. OUG 202 / 2002,  aprobată cu modificări prin Legea nr. 280/2003, este un act legislativ care încearcă să reglementeze prea mult. Deoarece MIZC se referă la gestionarea zonei costiere și implică probleme multiple, rezultate multiple dorite și instituții multiple, cu mandate diferite, ar trebui să fie mai degrabă un act legislativ care "facilitează" alte acte legislative și reglementări existente să fie aplicate și să fie respectate, în loc să încerce să se reglementeze prin aplicare independentă;</w:t>
      </w:r>
    </w:p>
    <w:p w14:paraId="59600385" w14:textId="77777777" w:rsidR="008C6A37" w:rsidRPr="008C6A37" w:rsidRDefault="008C6A37" w:rsidP="00BC11DC">
      <w:pPr>
        <w:ind w:firstLine="567"/>
        <w:rPr>
          <w:lang w:val="ro-RO"/>
        </w:rPr>
      </w:pPr>
      <w:r w:rsidRPr="008C6A37">
        <w:rPr>
          <w:lang w:val="ro-RO"/>
        </w:rPr>
        <w:t>•</w:t>
      </w:r>
      <w:r w:rsidRPr="008C6A37">
        <w:rPr>
          <w:lang w:val="ro-RO"/>
        </w:rPr>
        <w:tab/>
        <w:t xml:space="preserve">Actualul cadru legislativ este destul de dificil de aplicat. Aplicarea prevederilor OUG 202/2002, aprobată cu modificări prin Legea nr. 280/2003, este destul de dificilă, deoarece proclamă că se bazează pe o serie de principii, dar mecanismele de aplicare a acestor principii sunt destul de greoaie (exemplu - în cazul principiului "poluatorul plătește", dificultăți practice apar deseori, încă din faza de identificarea a poluatorilor);  </w:t>
      </w:r>
    </w:p>
    <w:p w14:paraId="5373D976" w14:textId="77777777" w:rsidR="008C6A37" w:rsidRPr="008C6A37" w:rsidRDefault="008C6A37" w:rsidP="00BC11DC">
      <w:pPr>
        <w:ind w:firstLine="567"/>
        <w:rPr>
          <w:lang w:val="ro-RO"/>
        </w:rPr>
      </w:pPr>
      <w:r w:rsidRPr="008C6A37">
        <w:rPr>
          <w:lang w:val="ro-RO"/>
        </w:rPr>
        <w:t>•</w:t>
      </w:r>
      <w:r w:rsidRPr="008C6A37">
        <w:rPr>
          <w:lang w:val="ro-RO"/>
        </w:rPr>
        <w:tab/>
        <w:t xml:space="preserve">Actualul cadru legislativ nu este întrutotul coerent. OUG 202/2002 prezintă câteva exemple de incoerență: i) deși în OUG se aderă la principiul "poluatorul plătește", nu este specificat modalitatea de aplicare a acestui principiu; ii) OUG atribuie sarcini, responsabilități și competențe specifice unor organisme specifice care sunt incompatibile cu alte acte legislative/reglementări existente;     </w:t>
      </w:r>
    </w:p>
    <w:p w14:paraId="1E6A5D09" w14:textId="77777777" w:rsidR="008C6A37" w:rsidRPr="008C6A37" w:rsidRDefault="008C6A37" w:rsidP="00BC11DC">
      <w:pPr>
        <w:ind w:firstLine="567"/>
        <w:rPr>
          <w:lang w:val="ro-RO"/>
        </w:rPr>
      </w:pPr>
      <w:r w:rsidRPr="008C6A37">
        <w:rPr>
          <w:lang w:val="ro-RO"/>
        </w:rPr>
        <w:t>•</w:t>
      </w:r>
      <w:r w:rsidRPr="008C6A37">
        <w:rPr>
          <w:lang w:val="ro-RO"/>
        </w:rPr>
        <w:tab/>
        <w:t>Actualul cadru legislativ ignoră, deseori, legislația și definițiile din legislația specifică domeniilor conexe;</w:t>
      </w:r>
    </w:p>
    <w:p w14:paraId="717FDB96" w14:textId="77777777" w:rsidR="008C6A37" w:rsidRPr="008C6A37" w:rsidRDefault="008C6A37" w:rsidP="00920C1F">
      <w:pPr>
        <w:numPr>
          <w:ilvl w:val="0"/>
          <w:numId w:val="5"/>
        </w:numPr>
        <w:ind w:left="0" w:firstLine="567"/>
        <w:rPr>
          <w:lang w:val="ro-RO"/>
        </w:rPr>
      </w:pPr>
      <w:r w:rsidRPr="008C6A37">
        <w:rPr>
          <w:lang w:val="ro-RO"/>
        </w:rPr>
        <w:t>Actualul cadru legislativ, referitor la delimitări, nu este actualizat în conformitate cu lucrările de protecție și amenajare costieră recente sau în curs de desfășurare.</w:t>
      </w:r>
    </w:p>
    <w:p w14:paraId="511807F8" w14:textId="77777777" w:rsidR="008C6A37" w:rsidRPr="008C6A37" w:rsidRDefault="008C6A37" w:rsidP="00BC11DC">
      <w:pPr>
        <w:ind w:firstLine="567"/>
        <w:rPr>
          <w:lang w:val="ro-RO"/>
        </w:rPr>
      </w:pPr>
      <w:r w:rsidRPr="008C6A37">
        <w:rPr>
          <w:lang w:val="ro-RO"/>
        </w:rPr>
        <w:t xml:space="preserve">Tot referitor la cadrul legislativ, trebuie menționate problemele legate de neclaritățile și ambiguitățile în definirea unor termeni de delimitare, precum domeniul public al statului din zona costieră și neconcordanțele între termenii folosiți de MDLPA și MMAP în diverse reglementări privind delimitarea și managementul zonei costiere. </w:t>
      </w:r>
    </w:p>
    <w:p w14:paraId="21F6A650" w14:textId="77777777" w:rsidR="008C6A37" w:rsidRDefault="008C6A37" w:rsidP="00BC11DC">
      <w:pPr>
        <w:ind w:firstLine="567"/>
        <w:rPr>
          <w:lang w:val="ro-RO"/>
        </w:rPr>
      </w:pPr>
      <w:r w:rsidRPr="008C6A37">
        <w:rPr>
          <w:lang w:val="ro-RO"/>
        </w:rPr>
        <w:t>În plus, se constată aplicarea necorespunzătoare a legislației în domeniu, care cuprinde două aspecte principale, respectiv i) nerespectarea obligațiilor UAT-urilor (stipulată în legislația actuală, OUG 202/2002) de delimitare a zonei costiere, ceea  ce poate genera confuzie și incertitudine cu privire la limitele și statutul juridic al zonei costiere, precum și ii) ilegalități asupra domeniului public al statului.</w:t>
      </w:r>
    </w:p>
    <w:p w14:paraId="3D13476A" w14:textId="77777777" w:rsidR="00A92A31" w:rsidRPr="00A92A31" w:rsidRDefault="00A92A31" w:rsidP="00940876">
      <w:pPr>
        <w:ind w:firstLine="0"/>
        <w:rPr>
          <w:sz w:val="28"/>
          <w:lang w:val="ro-RO"/>
        </w:rPr>
      </w:pPr>
    </w:p>
    <w:p w14:paraId="27A77D88" w14:textId="65CB8452" w:rsidR="008C6A37" w:rsidRPr="005D2CE5" w:rsidRDefault="008C6A37" w:rsidP="008B76B1">
      <w:pPr>
        <w:pStyle w:val="Heading2"/>
        <w:numPr>
          <w:ilvl w:val="1"/>
          <w:numId w:val="48"/>
        </w:numPr>
      </w:pPr>
      <w:bookmarkStart w:id="21" w:name="_Toc150247014"/>
      <w:bookmarkStart w:id="22" w:name="_Toc169625101"/>
      <w:r w:rsidRPr="005D2CE5">
        <w:lastRenderedPageBreak/>
        <w:t>Viziunea</w:t>
      </w:r>
      <w:bookmarkEnd w:id="21"/>
      <w:bookmarkEnd w:id="22"/>
    </w:p>
    <w:p w14:paraId="5F87A3F2" w14:textId="77777777" w:rsidR="008C6A37" w:rsidRPr="008C6A37" w:rsidRDefault="008C6A37" w:rsidP="00BC11DC">
      <w:pPr>
        <w:ind w:firstLine="567"/>
        <w:rPr>
          <w:lang w:val="ro-RO"/>
        </w:rPr>
      </w:pPr>
      <w:r w:rsidRPr="008C6A37">
        <w:rPr>
          <w:lang w:val="ro-RO"/>
        </w:rPr>
        <w:t xml:space="preserve">În vederea definirii Viziunii pe termen mediu și lung a Strategiei, au fost identificate, luând în considerare provocările uriașe cu care se confruntă zona costieră, așa cum este definită în prezentul document, următoarele elemente de viziune: </w:t>
      </w:r>
    </w:p>
    <w:p w14:paraId="71A95713" w14:textId="77777777" w:rsidR="008C6A37" w:rsidRPr="008C6A37" w:rsidRDefault="008C6A37" w:rsidP="00920C1F">
      <w:pPr>
        <w:numPr>
          <w:ilvl w:val="0"/>
          <w:numId w:val="2"/>
        </w:numPr>
        <w:ind w:firstLine="567"/>
        <w:rPr>
          <w:lang w:val="ro-RO"/>
        </w:rPr>
      </w:pPr>
      <w:r w:rsidRPr="008C6A37">
        <w:rPr>
          <w:lang w:val="ro-RO"/>
        </w:rPr>
        <w:t>patrimoniul cultural și cel natural, precum și peisajul sunt protejate; </w:t>
      </w:r>
    </w:p>
    <w:p w14:paraId="087E5DC8" w14:textId="77777777" w:rsidR="008C6A37" w:rsidRPr="008C6A37" w:rsidRDefault="008C6A37" w:rsidP="00920C1F">
      <w:pPr>
        <w:numPr>
          <w:ilvl w:val="0"/>
          <w:numId w:val="2"/>
        </w:numPr>
        <w:ind w:firstLine="567"/>
        <w:rPr>
          <w:lang w:val="ro-RO"/>
        </w:rPr>
      </w:pPr>
      <w:r w:rsidRPr="008C6A37">
        <w:rPr>
          <w:lang w:val="ro-RO"/>
        </w:rPr>
        <w:t>mediul este sănătos și păstrat pentru generațiile viitoare;</w:t>
      </w:r>
    </w:p>
    <w:p w14:paraId="72E06817" w14:textId="77777777" w:rsidR="008C6A37" w:rsidRPr="008C6A37" w:rsidRDefault="008C6A37" w:rsidP="00920C1F">
      <w:pPr>
        <w:numPr>
          <w:ilvl w:val="0"/>
          <w:numId w:val="2"/>
        </w:numPr>
        <w:ind w:firstLine="567"/>
        <w:rPr>
          <w:lang w:val="ro-RO"/>
        </w:rPr>
      </w:pPr>
      <w:r w:rsidRPr="008C6A37">
        <w:rPr>
          <w:lang w:val="ro-RO"/>
        </w:rPr>
        <w:t>serviciile ecosistemice sunt recunoscute și utilizate într-un mod durabil.</w:t>
      </w:r>
    </w:p>
    <w:p w14:paraId="26064187" w14:textId="77777777" w:rsidR="008C6A37" w:rsidRPr="008C6A37" w:rsidRDefault="008C6A37" w:rsidP="00920C1F">
      <w:pPr>
        <w:numPr>
          <w:ilvl w:val="0"/>
          <w:numId w:val="2"/>
        </w:numPr>
        <w:ind w:firstLine="567"/>
        <w:rPr>
          <w:lang w:val="ro-RO"/>
        </w:rPr>
      </w:pPr>
      <w:r w:rsidRPr="008C6A37">
        <w:rPr>
          <w:lang w:val="ro-RO"/>
        </w:rPr>
        <w:t>biodiversitatea părții nordice a zonei costiere (Delta Dunării) este menținută și  protejată în cadrul ARBDD;</w:t>
      </w:r>
    </w:p>
    <w:p w14:paraId="590CA598" w14:textId="77777777" w:rsidR="008C6A37" w:rsidRPr="008C6A37" w:rsidRDefault="008C6A37" w:rsidP="00920C1F">
      <w:pPr>
        <w:numPr>
          <w:ilvl w:val="0"/>
          <w:numId w:val="2"/>
        </w:numPr>
        <w:ind w:firstLine="567"/>
        <w:rPr>
          <w:lang w:val="ro-RO"/>
        </w:rPr>
      </w:pPr>
      <w:r w:rsidRPr="008C6A37">
        <w:rPr>
          <w:lang w:val="ro-RO"/>
        </w:rPr>
        <w:t>elementele unice ale patrimoniului cultural dobrogean sunt protejate și puse în valoare astfel încât să contribuie la dezvoltarea durabilă a zonei costiere;</w:t>
      </w:r>
    </w:p>
    <w:p w14:paraId="553991FB" w14:textId="77777777" w:rsidR="008C6A37" w:rsidRPr="008C6A37" w:rsidRDefault="008C6A37" w:rsidP="00920C1F">
      <w:pPr>
        <w:numPr>
          <w:ilvl w:val="0"/>
          <w:numId w:val="2"/>
        </w:numPr>
        <w:ind w:firstLine="567"/>
        <w:rPr>
          <w:lang w:val="ro-RO"/>
        </w:rPr>
      </w:pPr>
      <w:r w:rsidRPr="008C6A37">
        <w:rPr>
          <w:lang w:val="ro-RO"/>
        </w:rPr>
        <w:t>activitățile și obiceiurile tradiționale locale sunt recunoscute și protejate;</w:t>
      </w:r>
    </w:p>
    <w:p w14:paraId="1CA23B41" w14:textId="77777777" w:rsidR="008C6A37" w:rsidRPr="008C6A37" w:rsidRDefault="008C6A37" w:rsidP="00920C1F">
      <w:pPr>
        <w:numPr>
          <w:ilvl w:val="0"/>
          <w:numId w:val="2"/>
        </w:numPr>
        <w:ind w:firstLine="567"/>
        <w:rPr>
          <w:b/>
          <w:i/>
          <w:lang w:val="ro-RO"/>
        </w:rPr>
      </w:pPr>
      <w:r w:rsidRPr="008C6A37">
        <w:rPr>
          <w:lang w:val="ro-RO"/>
        </w:rPr>
        <w:t>comunitățile costiere sunt protejate de impactul hazardelor naturale și antropice, luând în considerare modificările climatice prognozate pentru secolul XXI;</w:t>
      </w:r>
    </w:p>
    <w:p w14:paraId="16C7E3C3" w14:textId="77777777" w:rsidR="008C6A37" w:rsidRPr="008C6A37" w:rsidRDefault="008C6A37" w:rsidP="00920C1F">
      <w:pPr>
        <w:numPr>
          <w:ilvl w:val="0"/>
          <w:numId w:val="2"/>
        </w:numPr>
        <w:ind w:firstLine="567"/>
        <w:rPr>
          <w:lang w:val="ro-RO"/>
        </w:rPr>
      </w:pPr>
      <w:r w:rsidRPr="008C6A37">
        <w:rPr>
          <w:lang w:val="ro-RO"/>
        </w:rPr>
        <w:t>dezvoltarea zonei costiere este adaptată la nevoile de protecţie a resurselor sale naturale.</w:t>
      </w:r>
    </w:p>
    <w:p w14:paraId="0D797DB2" w14:textId="77777777" w:rsidR="008C6A37" w:rsidRPr="008C6A37" w:rsidRDefault="008C6A37" w:rsidP="00920C1F">
      <w:pPr>
        <w:numPr>
          <w:ilvl w:val="0"/>
          <w:numId w:val="2"/>
        </w:numPr>
        <w:ind w:firstLine="567"/>
        <w:rPr>
          <w:b/>
          <w:i/>
          <w:lang w:val="ro-RO"/>
        </w:rPr>
      </w:pPr>
      <w:r w:rsidRPr="008C6A37">
        <w:rPr>
          <w:lang w:val="ro-RO"/>
        </w:rPr>
        <w:t>activitățile economice din zona costieră respectă principiile neutralității climatice  (0 emisii de carbon) și cele ale economiei verzi - creștere albastră (Green Economy, Blue Growth);</w:t>
      </w:r>
    </w:p>
    <w:p w14:paraId="08D7BE94" w14:textId="77777777" w:rsidR="008C6A37" w:rsidRPr="008C6A37" w:rsidRDefault="008C6A37" w:rsidP="00920C1F">
      <w:pPr>
        <w:numPr>
          <w:ilvl w:val="0"/>
          <w:numId w:val="2"/>
        </w:numPr>
        <w:ind w:firstLine="567"/>
        <w:rPr>
          <w:b/>
          <w:i/>
          <w:lang w:val="ro-RO"/>
        </w:rPr>
      </w:pPr>
      <w:r w:rsidRPr="008C6A37">
        <w:rPr>
          <w:lang w:val="ro-RO"/>
        </w:rPr>
        <w:t>zona costieră din Delta Dunării are o ofertă turistică sustenabilă, cu dezvoltarea componentei eco-culturale și promovarea activităților  tradiționale;</w:t>
      </w:r>
    </w:p>
    <w:p w14:paraId="57B6EDFC" w14:textId="77777777" w:rsidR="008C6A37" w:rsidRPr="008C6A37" w:rsidRDefault="008C6A37" w:rsidP="00920C1F">
      <w:pPr>
        <w:numPr>
          <w:ilvl w:val="0"/>
          <w:numId w:val="2"/>
        </w:numPr>
        <w:ind w:firstLine="567"/>
        <w:rPr>
          <w:b/>
          <w:i/>
          <w:lang w:val="ro-RO"/>
        </w:rPr>
      </w:pPr>
      <w:r w:rsidRPr="008C6A37">
        <w:rPr>
          <w:lang w:val="ro-RO"/>
        </w:rPr>
        <w:t>litoralul sudic are o ofertă diversificată (turism cultural, de aventură, pesca-turism, balneo-medical și gastronomic) ce contribuie la creșterea atractivității turistice și extinderea sezonului turistic;</w:t>
      </w:r>
    </w:p>
    <w:p w14:paraId="1FD4BB8F" w14:textId="77777777" w:rsidR="008C6A37" w:rsidRPr="008C6A37" w:rsidRDefault="008C6A37" w:rsidP="00920C1F">
      <w:pPr>
        <w:numPr>
          <w:ilvl w:val="0"/>
          <w:numId w:val="2"/>
        </w:numPr>
        <w:ind w:firstLine="567"/>
        <w:rPr>
          <w:b/>
          <w:i/>
          <w:lang w:val="ro-RO"/>
        </w:rPr>
      </w:pPr>
      <w:r w:rsidRPr="008C6A37">
        <w:rPr>
          <w:lang w:val="ro-RO"/>
        </w:rPr>
        <w:t>zona costieră românească a atins o poziție satisfăcătoare ca destinație turistică pe piața globală;</w:t>
      </w:r>
    </w:p>
    <w:p w14:paraId="3F2C1CB7" w14:textId="77777777" w:rsidR="008C6A37" w:rsidRPr="008C6A37" w:rsidRDefault="008C6A37" w:rsidP="00BC11DC">
      <w:pPr>
        <w:ind w:firstLine="567"/>
        <w:rPr>
          <w:lang w:val="ro-RO"/>
        </w:rPr>
      </w:pPr>
      <w:r w:rsidRPr="008C6A37">
        <w:rPr>
          <w:lang w:val="ro-RO"/>
        </w:rPr>
        <w:t>- stocurile exploatabile de pești și moluște sunt sustenabile pe termen mediu și lung;</w:t>
      </w:r>
    </w:p>
    <w:p w14:paraId="1A566210" w14:textId="77777777" w:rsidR="008C6A37" w:rsidRPr="008C6A37" w:rsidRDefault="008C6A37" w:rsidP="00BC11DC">
      <w:pPr>
        <w:ind w:firstLine="567"/>
        <w:rPr>
          <w:lang w:val="ro-RO"/>
        </w:rPr>
      </w:pPr>
      <w:r w:rsidRPr="008C6A37">
        <w:rPr>
          <w:lang w:val="ro-RO"/>
        </w:rPr>
        <w:t>- spațiul terestru, precum și cel marin, sunt folosite în comun de diverse activități sinergice;</w:t>
      </w:r>
    </w:p>
    <w:p w14:paraId="7EFCC185" w14:textId="77777777" w:rsidR="008C6A37" w:rsidRPr="008C6A37" w:rsidRDefault="008C6A37" w:rsidP="00BC11DC">
      <w:pPr>
        <w:ind w:firstLine="567"/>
        <w:rPr>
          <w:lang w:val="ro-RO"/>
        </w:rPr>
      </w:pPr>
      <w:r w:rsidRPr="008C6A37">
        <w:rPr>
          <w:lang w:val="ro-RO"/>
        </w:rPr>
        <w:t xml:space="preserve">- sectoarele economice transport naval și activități portuare reprezintă poli de dezvoltare economică sustenabilă, aliniate la strategiile Europene privind politicile comune de transport; </w:t>
      </w:r>
    </w:p>
    <w:p w14:paraId="419916FC" w14:textId="77777777" w:rsidR="008C6A37" w:rsidRPr="008C6A37" w:rsidRDefault="008C6A37" w:rsidP="00BC11DC">
      <w:pPr>
        <w:ind w:firstLine="567"/>
        <w:rPr>
          <w:lang w:val="ro-RO"/>
        </w:rPr>
      </w:pPr>
      <w:r w:rsidRPr="008C6A37">
        <w:rPr>
          <w:lang w:val="ro-RO"/>
        </w:rPr>
        <w:t>- potențialul zonei costiere de generare a energiilor regenerabile din surse eoliene, solare și valuri este valorificat la maximum, fără a intra în conflict pentru spațiu cu alte sectoare;</w:t>
      </w:r>
    </w:p>
    <w:p w14:paraId="29138B34" w14:textId="77777777" w:rsidR="008C6A37" w:rsidRPr="008C6A37" w:rsidRDefault="008C6A37" w:rsidP="00BC11DC">
      <w:pPr>
        <w:ind w:firstLine="567"/>
        <w:rPr>
          <w:lang w:val="ro-RO"/>
        </w:rPr>
      </w:pPr>
      <w:r w:rsidRPr="008C6A37">
        <w:rPr>
          <w:lang w:val="ro-RO"/>
        </w:rPr>
        <w:t xml:space="preserve">- conceptul Smart City este implementat în majoritatea UAT-urilor, integrând aspectele de energie verde regenerabila, consum sustenabil, poluare zero în toate activitățile socio-economice și contribuind la atingerea țintelor asumate de România prin Strategia de </w:t>
      </w:r>
      <w:r w:rsidRPr="008C6A37">
        <w:rPr>
          <w:lang w:val="ro-RO"/>
        </w:rPr>
        <w:lastRenderedPageBreak/>
        <w:t>valorificare a resurselor regenerabile de energie, aprobată prin HG 1535/2003 și a țintelor climatice propuse de EU pentru 2050, prin Pactul Verde European.</w:t>
      </w:r>
    </w:p>
    <w:p w14:paraId="6DD01292" w14:textId="77777777" w:rsidR="008C6A37" w:rsidRPr="008C6A37" w:rsidRDefault="008C6A37" w:rsidP="00920C1F">
      <w:pPr>
        <w:numPr>
          <w:ilvl w:val="0"/>
          <w:numId w:val="1"/>
        </w:numPr>
        <w:ind w:firstLine="567"/>
        <w:rPr>
          <w:lang w:val="ro-RO"/>
        </w:rPr>
      </w:pPr>
      <w:r w:rsidRPr="008C6A37">
        <w:rPr>
          <w:lang w:val="ro-RO"/>
        </w:rPr>
        <w:t>se aplică cele mai bune cunoștințe și standarde disponibile în beneficiul generațiilor actuale și viitoare;</w:t>
      </w:r>
    </w:p>
    <w:p w14:paraId="62654C38" w14:textId="77777777" w:rsidR="008C6A37" w:rsidRPr="008C6A37" w:rsidRDefault="008C6A37" w:rsidP="00920C1F">
      <w:pPr>
        <w:numPr>
          <w:ilvl w:val="0"/>
          <w:numId w:val="1"/>
        </w:numPr>
        <w:ind w:firstLine="567"/>
        <w:rPr>
          <w:lang w:val="ro-RO"/>
        </w:rPr>
      </w:pPr>
      <w:r w:rsidRPr="008C6A37">
        <w:rPr>
          <w:lang w:val="ro-RO"/>
        </w:rPr>
        <w:t>integrare, co-creare și coeziune socială;</w:t>
      </w:r>
    </w:p>
    <w:p w14:paraId="6329F0CF" w14:textId="77777777" w:rsidR="008C6A37" w:rsidRPr="008C6A37" w:rsidRDefault="008C6A37" w:rsidP="00920C1F">
      <w:pPr>
        <w:numPr>
          <w:ilvl w:val="0"/>
          <w:numId w:val="1"/>
        </w:numPr>
        <w:ind w:firstLine="567"/>
        <w:rPr>
          <w:lang w:val="ro-RO"/>
        </w:rPr>
      </w:pPr>
      <w:r w:rsidRPr="008C6A37">
        <w:rPr>
          <w:lang w:val="ro-RO"/>
        </w:rPr>
        <w:t>este asigurată egalitatea de șanse într-un mediu socio-economic competitiv și sănătos; </w:t>
      </w:r>
    </w:p>
    <w:p w14:paraId="5B0827B0" w14:textId="77777777" w:rsidR="008C6A37" w:rsidRPr="008C6A37" w:rsidRDefault="008C6A37" w:rsidP="00920C1F">
      <w:pPr>
        <w:numPr>
          <w:ilvl w:val="0"/>
          <w:numId w:val="1"/>
        </w:numPr>
        <w:ind w:firstLine="567"/>
        <w:rPr>
          <w:lang w:val="ro-RO"/>
        </w:rPr>
      </w:pPr>
      <w:r w:rsidRPr="008C6A37">
        <w:rPr>
          <w:lang w:val="ro-RO"/>
        </w:rPr>
        <w:t>sunt garantate drepturile cetățenilor ce decurg din obligațiile autorităților de a asigura un mediu natural sănătos, în conformitate cu prevederile naționale și  europene;</w:t>
      </w:r>
    </w:p>
    <w:p w14:paraId="62E779C1" w14:textId="77777777" w:rsidR="008C6A37" w:rsidRPr="008C6A37" w:rsidRDefault="008C6A37" w:rsidP="00920C1F">
      <w:pPr>
        <w:numPr>
          <w:ilvl w:val="0"/>
          <w:numId w:val="1"/>
        </w:numPr>
        <w:ind w:firstLine="567"/>
        <w:rPr>
          <w:lang w:val="ro-RO"/>
        </w:rPr>
      </w:pPr>
      <w:r w:rsidRPr="008C6A37">
        <w:rPr>
          <w:lang w:val="ro-RO"/>
        </w:rPr>
        <w:t>sunt monitorizate starea și procesele din zona costieră pentru a evalua progresul în atingerea rezultatelor dorite;</w:t>
      </w:r>
    </w:p>
    <w:p w14:paraId="6536D3C0" w14:textId="77777777" w:rsidR="008C6A37" w:rsidRPr="008C6A37" w:rsidRDefault="008C6A37" w:rsidP="00920C1F">
      <w:pPr>
        <w:numPr>
          <w:ilvl w:val="0"/>
          <w:numId w:val="1"/>
        </w:numPr>
        <w:ind w:firstLine="567"/>
        <w:rPr>
          <w:lang w:val="ro-RO"/>
        </w:rPr>
      </w:pPr>
      <w:r w:rsidRPr="008C6A37">
        <w:rPr>
          <w:lang w:val="ro-RO"/>
        </w:rPr>
        <w:t>participarea populaţiei locale la realizarea şi implementarea unor decizii socio-economice importante este îmbunătățită.</w:t>
      </w:r>
    </w:p>
    <w:p w14:paraId="03666982" w14:textId="77777777" w:rsidR="008C6A37" w:rsidRPr="008C6A37" w:rsidRDefault="008C6A37" w:rsidP="00BC11DC">
      <w:pPr>
        <w:ind w:firstLine="567"/>
        <w:rPr>
          <w:lang w:val="ro-RO"/>
        </w:rPr>
      </w:pPr>
      <w:r w:rsidRPr="008C6A37">
        <w:rPr>
          <w:lang w:val="ro-RO"/>
        </w:rPr>
        <w:t>Integrarea tuturor acestor elemente de viziune conduce la stabilirea Viziunii  pe termen mediu și lung pentru dezvoltarea sustenabilă a zonei costiere românești. Astfel:</w:t>
      </w:r>
    </w:p>
    <w:p w14:paraId="0AEA6444" w14:textId="77777777" w:rsidR="008C6A37" w:rsidRPr="008C6A37" w:rsidRDefault="008C6A37" w:rsidP="00BC11DC">
      <w:pPr>
        <w:ind w:firstLine="567"/>
        <w:rPr>
          <w:b/>
          <w:lang w:val="ro-RO"/>
        </w:rPr>
      </w:pPr>
      <w:r w:rsidRPr="008C6A37">
        <w:rPr>
          <w:b/>
          <w:lang w:val="ro-RO"/>
        </w:rPr>
        <w:t>În 2040, zona costieră a României este sănătoasă, productivă și rezilientă, cu identitate și autenticitate recunoscute. Indicatorii de calitate arată o stare ecologică bună a întregului mediu costier. Resursele zonei costiere sunt utilizate sustenabil asigurând beneficii pentru generațiile actuale și viitoare.</w:t>
      </w:r>
    </w:p>
    <w:p w14:paraId="11B1930B" w14:textId="77777777" w:rsidR="00E441F9" w:rsidRPr="00E441F9" w:rsidRDefault="00E441F9" w:rsidP="00E441F9">
      <w:pPr>
        <w:spacing w:before="0"/>
        <w:ind w:firstLine="0"/>
        <w:rPr>
          <w:b/>
          <w:sz w:val="28"/>
          <w:lang w:val="ro-RO"/>
        </w:rPr>
      </w:pPr>
    </w:p>
    <w:p w14:paraId="6462BAED" w14:textId="5896EC0C" w:rsidR="008C6A37" w:rsidRPr="00940876" w:rsidRDefault="008C6A37" w:rsidP="008B76B1">
      <w:pPr>
        <w:pStyle w:val="Heading2"/>
        <w:numPr>
          <w:ilvl w:val="1"/>
          <w:numId w:val="48"/>
        </w:numPr>
        <w:rPr>
          <w:sz w:val="28"/>
        </w:rPr>
      </w:pPr>
      <w:bookmarkStart w:id="23" w:name="_Toc150247015"/>
      <w:bookmarkStart w:id="24" w:name="_Toc169625102"/>
      <w:r w:rsidRPr="005D2CE5">
        <w:t>Obiectivele</w:t>
      </w:r>
      <w:r w:rsidRPr="00940876">
        <w:rPr>
          <w:sz w:val="28"/>
        </w:rPr>
        <w:t xml:space="preserve"> </w:t>
      </w:r>
      <w:r w:rsidRPr="005D2CE5">
        <w:t>generale</w:t>
      </w:r>
      <w:r w:rsidRPr="00940876">
        <w:rPr>
          <w:sz w:val="28"/>
        </w:rPr>
        <w:t xml:space="preserve"> </w:t>
      </w:r>
      <w:r w:rsidRPr="005D2CE5">
        <w:t>și specifice</w:t>
      </w:r>
      <w:bookmarkEnd w:id="23"/>
      <w:bookmarkEnd w:id="24"/>
      <w:r w:rsidRPr="00940876">
        <w:rPr>
          <w:sz w:val="28"/>
        </w:rPr>
        <w:t xml:space="preserve"> </w:t>
      </w:r>
    </w:p>
    <w:p w14:paraId="3AA9FD33" w14:textId="77777777" w:rsidR="008C6A37" w:rsidRPr="008C6A37" w:rsidRDefault="008C6A37" w:rsidP="00BC11DC">
      <w:pPr>
        <w:ind w:firstLine="567"/>
        <w:rPr>
          <w:lang w:val="ro-RO"/>
        </w:rPr>
      </w:pPr>
      <w:r w:rsidRPr="008C6A37">
        <w:rPr>
          <w:lang w:val="ro-RO"/>
        </w:rPr>
        <w:t>Obiectivele generale ale strategiei sunt definite ca răspuns la problemele și punctele slabe identificate și cu scopul principal de a îndeplini viziunea definită pentru orizontul de timp 2040.</w:t>
      </w:r>
    </w:p>
    <w:p w14:paraId="266364F8" w14:textId="77777777" w:rsidR="008C6A37" w:rsidRPr="008C6A37" w:rsidRDefault="008C6A37" w:rsidP="00BC11DC">
      <w:pPr>
        <w:ind w:firstLine="567"/>
        <w:rPr>
          <w:b/>
          <w:i/>
          <w:lang w:val="ro-RO"/>
        </w:rPr>
      </w:pPr>
      <w:r w:rsidRPr="008C6A37">
        <w:rPr>
          <w:b/>
          <w:i/>
          <w:lang w:val="ro-RO"/>
        </w:rPr>
        <w:t>O1. Conservarea valorilor naturale, peisagistice și culturale</w:t>
      </w:r>
    </w:p>
    <w:p w14:paraId="4E2556F5" w14:textId="77777777" w:rsidR="008C6A37" w:rsidRPr="008C6A37" w:rsidRDefault="008C6A37" w:rsidP="00BC11DC">
      <w:pPr>
        <w:ind w:firstLine="567"/>
        <w:rPr>
          <w:lang w:val="ro-RO"/>
        </w:rPr>
      </w:pPr>
      <w:r w:rsidRPr="008C6A37">
        <w:rPr>
          <w:lang w:val="ro-RO"/>
        </w:rPr>
        <w:t xml:space="preserve">Aspectele referitoare la conservarea valorilor naturale, peisagistice și culturale sunt printre cele mai importante aspecte strategice pentru managementul integrat al zonei costiere românești. Valorile naturale, peisagistice și culturale ale zonei costiere reprezintă fundația de care depind păstrarea identității spațiale și a modului de viață al populației din zona costieră. Astfel, conservarea lor devine un element cheie al politicilor de dezvoltare pentru a asigura stabilitatea ecosistemelor și a serviciilor furnizate de către acestea, păstrarea atractivității zonei costiere, bunăstarea comunităților costiere, precum și în ceea ce privește conservarea abilităților societății și naturii de a se adapta la schimbările climatice. </w:t>
      </w:r>
    </w:p>
    <w:p w14:paraId="0985DF2E" w14:textId="77777777" w:rsidR="008C6A37" w:rsidRPr="008C6A37" w:rsidRDefault="008C6A37" w:rsidP="00BC11DC">
      <w:pPr>
        <w:ind w:firstLine="567"/>
        <w:rPr>
          <w:lang w:val="ro-RO"/>
        </w:rPr>
      </w:pPr>
      <w:r w:rsidRPr="008C6A37">
        <w:rPr>
          <w:lang w:val="ro-RO"/>
        </w:rPr>
        <w:t>Obiectivele specifice urmărite pentru atingerea acestui obiectiv general sunt:</w:t>
      </w:r>
    </w:p>
    <w:p w14:paraId="6FCFA9F2" w14:textId="77777777" w:rsidR="008C6A37" w:rsidRPr="008C6A37" w:rsidRDefault="008C6A37" w:rsidP="00BC11DC">
      <w:pPr>
        <w:ind w:firstLine="567"/>
        <w:rPr>
          <w:i/>
          <w:lang w:val="ro-RO"/>
        </w:rPr>
      </w:pPr>
      <w:r w:rsidRPr="008C6A37">
        <w:rPr>
          <w:i/>
          <w:lang w:val="ro-RO"/>
        </w:rPr>
        <w:t xml:space="preserve">  Os1.a Protejarea eficientă a valorilor naturale, peisagistice și culturale</w:t>
      </w:r>
    </w:p>
    <w:p w14:paraId="0CB798A3" w14:textId="77777777" w:rsidR="008C6A37" w:rsidRPr="008C6A37" w:rsidRDefault="008C6A37" w:rsidP="00BC11DC">
      <w:pPr>
        <w:ind w:firstLine="567"/>
        <w:rPr>
          <w:lang w:val="ro-RO"/>
        </w:rPr>
      </w:pPr>
      <w:r w:rsidRPr="008C6A37">
        <w:rPr>
          <w:lang w:val="ro-RO"/>
        </w:rPr>
        <w:t xml:space="preserve">Atingerea acestui obiectiv este esențială pentru întreaga zonă costieră care, cu puține excepții, prezintă o stare precară de conservare și valorificare eficientă a patrimoniului natural </w:t>
      </w:r>
      <w:r w:rsidRPr="008C6A37">
        <w:rPr>
          <w:lang w:val="ro-RO"/>
        </w:rPr>
        <w:lastRenderedPageBreak/>
        <w:t>și cultural existent. Cauzele acestui deficit sunt multiple, iar rezolvarea acestora impune mobilizarea și cooperarea a autorităților, experților, societății civile, precum și alocarea resurselor financiare necesare.</w:t>
      </w:r>
    </w:p>
    <w:p w14:paraId="7A675218" w14:textId="77777777" w:rsidR="008C6A37" w:rsidRPr="008C6A37" w:rsidRDefault="008C6A37" w:rsidP="00BC11DC">
      <w:pPr>
        <w:ind w:firstLine="567"/>
        <w:rPr>
          <w:i/>
          <w:lang w:val="ro-RO"/>
        </w:rPr>
      </w:pPr>
      <w:r w:rsidRPr="008C6A37">
        <w:rPr>
          <w:i/>
          <w:lang w:val="ro-RO"/>
        </w:rPr>
        <w:t>Os1b. Îmbunătățirea și valorizarea serviciilor ecosistemice prin crearea unor mecanisme monetare și nemonetare</w:t>
      </w:r>
    </w:p>
    <w:p w14:paraId="68C55B5A" w14:textId="77777777" w:rsidR="008C6A37" w:rsidRPr="008C6A37" w:rsidRDefault="008C6A37" w:rsidP="00BC11DC">
      <w:pPr>
        <w:ind w:firstLine="567"/>
        <w:rPr>
          <w:lang w:val="ro-RO"/>
        </w:rPr>
      </w:pPr>
      <w:r w:rsidRPr="008C6A37">
        <w:rPr>
          <w:lang w:val="ro-RO"/>
        </w:rPr>
        <w:t xml:space="preserve">Prin atingerea acestui obiectiv specific se urmărește creșterea și conștientizarea comunităților privind valoarea serviciilor ecosistemice privind furnizarea de bunuri și servicii, menținerea calității mediului, funcția estetică și culturală a peisajului, cât și introducerea unor mecanisme viabile de valorizare monetară a acestor servicii de către utilizatori.  </w:t>
      </w:r>
    </w:p>
    <w:p w14:paraId="764E769D" w14:textId="77777777" w:rsidR="008C6A37" w:rsidRPr="008C6A37" w:rsidRDefault="008C6A37" w:rsidP="00BC11DC">
      <w:pPr>
        <w:ind w:firstLine="567"/>
        <w:rPr>
          <w:b/>
          <w:i/>
          <w:lang w:val="ro-RO"/>
        </w:rPr>
      </w:pPr>
      <w:r w:rsidRPr="008C6A37">
        <w:rPr>
          <w:b/>
          <w:i/>
          <w:lang w:val="ro-RO"/>
        </w:rPr>
        <w:t>O2. Prevenirea, reducerea și remedierea efectelor schimbărilor climatice și poluării</w:t>
      </w:r>
    </w:p>
    <w:p w14:paraId="3B296CF5" w14:textId="77777777" w:rsidR="008C6A37" w:rsidRPr="008C6A37" w:rsidRDefault="008C6A37" w:rsidP="00BC11DC">
      <w:pPr>
        <w:ind w:firstLine="567"/>
        <w:rPr>
          <w:lang w:val="ro-RO"/>
        </w:rPr>
      </w:pPr>
      <w:r w:rsidRPr="008C6A37">
        <w:rPr>
          <w:lang w:val="ro-RO"/>
        </w:rPr>
        <w:t xml:space="preserve">Nivelul actual de dezvoltare al infrastructurii de mediu (stații de epurare a apelor uzate, eliminarea deșeurilor, infrastructura de monitorizare a mediului, etc.) nu este pe deplin suficient pentru asigurarea unei calități bune a apelor subterane și de suprafață, a solului și aerului. În plus, infrastructura insuficient dezvoltată limitează și potențialul de dezvoltare socio-economică. În aceste condiții apare necesitatea îmbunătățirii capacităților și calității infrastructurii existente prin investiții semnificative pentru dezvoltarea proiectelor de infrastructură, dar, în același timp, asigurându-se minimizarea impactului negativ asupra mediului datorat dezvoltării infrastructurii. </w:t>
      </w:r>
    </w:p>
    <w:p w14:paraId="3F45B9A9" w14:textId="77777777" w:rsidR="008C6A37" w:rsidRPr="008C6A37" w:rsidRDefault="008C6A37" w:rsidP="00BC11DC">
      <w:pPr>
        <w:ind w:firstLine="567"/>
        <w:rPr>
          <w:lang w:val="ro-RO"/>
        </w:rPr>
      </w:pPr>
      <w:r w:rsidRPr="008C6A37">
        <w:rPr>
          <w:lang w:val="ro-RO"/>
        </w:rPr>
        <w:t xml:space="preserve">În condițiile unei variabilității pronunțate a climei și schimbări climatice, zonele costiere sunt direct expuse hazardelor naturale și impactului acestora. Prin urmare, este necesar un management al riscului  la hazarde naturale, performant care să limiteze la minimum impactul acestora asupra infrastructurii costiere. </w:t>
      </w:r>
    </w:p>
    <w:p w14:paraId="70F06D3F" w14:textId="77777777" w:rsidR="008C6A37" w:rsidRPr="008C6A37" w:rsidRDefault="008C6A37" w:rsidP="00BC11DC">
      <w:pPr>
        <w:ind w:firstLine="567"/>
        <w:rPr>
          <w:lang w:val="ro-RO"/>
        </w:rPr>
      </w:pPr>
      <w:r w:rsidRPr="008C6A37">
        <w:rPr>
          <w:lang w:val="ro-RO"/>
        </w:rPr>
        <w:t>Obiectivele specifice definite pentru acest obiectiv general sunt:</w:t>
      </w:r>
    </w:p>
    <w:p w14:paraId="529BF675" w14:textId="77777777" w:rsidR="008C6A37" w:rsidRPr="008C6A37" w:rsidRDefault="008C6A37" w:rsidP="00BC11DC">
      <w:pPr>
        <w:ind w:firstLine="567"/>
        <w:rPr>
          <w:i/>
          <w:lang w:val="ro-RO"/>
        </w:rPr>
      </w:pPr>
      <w:r w:rsidRPr="008C6A37">
        <w:rPr>
          <w:i/>
          <w:lang w:val="ro-RO"/>
        </w:rPr>
        <w:t xml:space="preserve"> Os2.a Atingerea stării ecologice bune a ecosistemelor</w:t>
      </w:r>
    </w:p>
    <w:p w14:paraId="444AC7FC" w14:textId="77777777" w:rsidR="008C6A37" w:rsidRPr="008C6A37" w:rsidRDefault="008C6A37" w:rsidP="00BC11DC">
      <w:pPr>
        <w:ind w:firstLine="567"/>
        <w:rPr>
          <w:lang w:val="ro-RO"/>
        </w:rPr>
      </w:pPr>
      <w:r w:rsidRPr="008C6A37">
        <w:rPr>
          <w:lang w:val="ro-RO"/>
        </w:rPr>
        <w:t xml:space="preserve">Conform Directivei Apă (DCA) și Directivei Cadru privind Strategia pentru Mediul Marin (DCSMM), reducerea poluării până la pragul de la care se poate considera atingerea stării chimice, respectiv ecologice bune, este o prioritate. În ceea ce privește habitatele terestre, este imperios necesar atingerea stării de conservare favorabile conform țintelor asumate de România prin Directiva Habitate și Directiva Păsări, până la următorul ciclu de raportare (2026). </w:t>
      </w:r>
    </w:p>
    <w:p w14:paraId="03E6F474" w14:textId="77777777" w:rsidR="008C6A37" w:rsidRPr="008C6A37" w:rsidRDefault="008C6A37" w:rsidP="00BC11DC">
      <w:pPr>
        <w:ind w:firstLine="567"/>
        <w:rPr>
          <w:i/>
          <w:lang w:val="ro-RO"/>
        </w:rPr>
      </w:pPr>
      <w:r w:rsidRPr="008C6A37">
        <w:rPr>
          <w:i/>
          <w:lang w:val="ro-RO"/>
        </w:rPr>
        <w:t>Os2.b Gestionarea, revitalizare și reabilitarea zonelor poluate din cauza depozitării, eliminării și tratării  inadecvate a deșeurilor (solide și lichide)</w:t>
      </w:r>
    </w:p>
    <w:p w14:paraId="4E3CBAD1" w14:textId="77777777" w:rsidR="008C6A37" w:rsidRPr="008C6A37" w:rsidRDefault="008C6A37" w:rsidP="00BC11DC">
      <w:pPr>
        <w:ind w:firstLine="567"/>
        <w:rPr>
          <w:lang w:val="ro-RO"/>
        </w:rPr>
      </w:pPr>
      <w:r w:rsidRPr="008C6A37">
        <w:rPr>
          <w:lang w:val="ro-RO"/>
        </w:rPr>
        <w:t>În mare parte din UAT-urile zonei costiere, pe lângă siturile poluate și/sau potențial poluate identificate oficial, există numeroase altele, generate de depozitarea și eliminarea ilegală sau accidentală a deșeurilor solide și/sau lichide în mediu, neinventariate și nemonitorizate. Atingerea acestui obiectiv specific va conduce la revitalizare și reabilitarea tuturor zonelor poluate sau potențial poluate din zona costieră.</w:t>
      </w:r>
    </w:p>
    <w:p w14:paraId="0AD7B201" w14:textId="77777777" w:rsidR="008C6A37" w:rsidRPr="008C6A37" w:rsidRDefault="008C6A37" w:rsidP="00BC11DC">
      <w:pPr>
        <w:ind w:firstLine="567"/>
        <w:rPr>
          <w:i/>
          <w:lang w:val="ro-RO"/>
        </w:rPr>
      </w:pPr>
      <w:r w:rsidRPr="008C6A37">
        <w:rPr>
          <w:i/>
          <w:lang w:val="ro-RO"/>
        </w:rPr>
        <w:t xml:space="preserve"> Os2.c Stimularea dezvoltării infrastructurii verzi</w:t>
      </w:r>
    </w:p>
    <w:p w14:paraId="0FD48E2F" w14:textId="77777777" w:rsidR="008C6A37" w:rsidRPr="008C6A37" w:rsidRDefault="008C6A37" w:rsidP="00BC11DC">
      <w:pPr>
        <w:ind w:firstLine="567"/>
        <w:rPr>
          <w:lang w:val="ro-RO"/>
        </w:rPr>
      </w:pPr>
      <w:r w:rsidRPr="008C6A37">
        <w:rPr>
          <w:lang w:val="ro-RO"/>
        </w:rPr>
        <w:lastRenderedPageBreak/>
        <w:t>Efectele pozitive pentru calitatea mediului, precum și sănătatea ecosistemului, trebuie obținute prin stimularea proiectelor de infrastructură verde în zone naturale sau seminaturale. Acest lucru ar reduce nevoia de a dezvolta infrastructură convențională sau, așa numita, infrastructură gri. Atingerea acestui obiectiv, ce presupune introducerea metodelor și tehnicilor de dezvoltare a infrastructurii verzi, va contribui la refacerea naturii, a funcțiilor naturale și a proceselor importante pentru furnizarea a numeroase servicii ecosistemice. De asemenea, este important să se testeze implementarea proiectelor de infrastructură verde în conformitate cu cele mai bune practici disponibile în UE.</w:t>
      </w:r>
    </w:p>
    <w:p w14:paraId="685F4EEE" w14:textId="77777777" w:rsidR="008C6A37" w:rsidRPr="008C6A37" w:rsidRDefault="008C6A37" w:rsidP="00BC11DC">
      <w:pPr>
        <w:ind w:firstLine="567"/>
        <w:rPr>
          <w:i/>
          <w:lang w:val="ro-RO"/>
        </w:rPr>
      </w:pPr>
      <w:r w:rsidRPr="008C6A37">
        <w:rPr>
          <w:i/>
          <w:lang w:val="ro-RO"/>
        </w:rPr>
        <w:t>Os2.d Întărirea sistemului de management al riscurilor pentru hazarde naturale și antropice, luând în calcul și impactul schimbărilor climatice</w:t>
      </w:r>
    </w:p>
    <w:p w14:paraId="2B63E098" w14:textId="77777777" w:rsidR="008C6A37" w:rsidRPr="008C6A37" w:rsidRDefault="008C6A37" w:rsidP="00BC11DC">
      <w:pPr>
        <w:ind w:firstLine="567"/>
        <w:rPr>
          <w:lang w:val="ro-RO"/>
        </w:rPr>
      </w:pPr>
      <w:r w:rsidRPr="008C6A37">
        <w:rPr>
          <w:lang w:val="ro-RO"/>
        </w:rPr>
        <w:t>Strategiile privind sistemele de management a riscului la hazarde naturale sau antropice sunt bazate pe prognozele elaborate pentru următoarele decenii, la nivel național și european, referitoare la vulnerabilitatea fiecărei zone și probabilitatea de apariție a acestora (inundații, seceta, cutremure, poluare cu hidrocarburi, risc epidemic, etc.). Cu toate acestea, schimbările climatice bruște la nivel local și regional, cu consecințe, uneori devastatoare, obligă autoritățile să aloce resurse și să implementeze sisteme moderne de monitorizare, prevenire și reducere a efectelor posibile ale acestor hazarde, să îmbunătățească capacitatea de predicție și să actualizeze frecvent planurile de intervenție. Acestea trebuie să fie însoțite de acțiuni, la nivelul fiecărui UAT, de coordonare, împreună cu autoritățile responsabile, de planificare și implementare de măsuri pentru asigurarea utilităților, a folosinței terenurilor, astfel încât riscul de producere a pagubelor, să fie minim.</w:t>
      </w:r>
    </w:p>
    <w:p w14:paraId="31AC02C8" w14:textId="77777777" w:rsidR="008C6A37" w:rsidRPr="008C6A37" w:rsidRDefault="008C6A37" w:rsidP="00BC11DC">
      <w:pPr>
        <w:ind w:firstLine="567"/>
        <w:rPr>
          <w:lang w:val="ro-RO"/>
        </w:rPr>
      </w:pPr>
      <w:r w:rsidRPr="008C6A37">
        <w:rPr>
          <w:b/>
          <w:i/>
          <w:lang w:val="ro-RO"/>
        </w:rPr>
        <w:t>O3. Planificare spațială și dezvoltare spațială sustenabilă</w:t>
      </w:r>
    </w:p>
    <w:p w14:paraId="2EF38B26" w14:textId="77777777" w:rsidR="008C6A37" w:rsidRPr="008C6A37" w:rsidRDefault="008C6A37" w:rsidP="00BC11DC">
      <w:pPr>
        <w:ind w:firstLine="567"/>
        <w:rPr>
          <w:lang w:val="ro-RO"/>
        </w:rPr>
      </w:pPr>
      <w:r w:rsidRPr="008C6A37">
        <w:rPr>
          <w:lang w:val="ro-RO"/>
        </w:rPr>
        <w:t>Actualele probleme și punctele slabe ale dezvoltării spațiale în zona costieră aparțin în mare măsură unui grup de probleme sistemice în domeniul amenajării teritoriului și urbanismului. În acest context, eforturile de îmbunătățire a sistemului de amenajare a teritoriului și urbanism sunt esențiale deoarece ar trebui să permită integrarea nevoilor și aspirațiilor sectoriale, protecția necondiționată a celor mai semnificative valori naturale, culturale și peisagistice, consumul și utilizarea rațională a spațiului.</w:t>
      </w:r>
    </w:p>
    <w:p w14:paraId="502DF823" w14:textId="77777777" w:rsidR="008C6A37" w:rsidRPr="008C6A37" w:rsidRDefault="008C6A37" w:rsidP="00BC11DC">
      <w:pPr>
        <w:ind w:firstLine="567"/>
        <w:rPr>
          <w:lang w:val="ro-RO"/>
        </w:rPr>
      </w:pPr>
      <w:r w:rsidRPr="008C6A37">
        <w:rPr>
          <w:lang w:val="ro-RO"/>
        </w:rPr>
        <w:t>Obiectivele specifice pentru acest obiectiv general sunt:</w:t>
      </w:r>
    </w:p>
    <w:p w14:paraId="0E952D8F" w14:textId="77777777" w:rsidR="008C6A37" w:rsidRPr="008C6A37" w:rsidRDefault="008C6A37" w:rsidP="00BC11DC">
      <w:pPr>
        <w:ind w:firstLine="567"/>
        <w:rPr>
          <w:i/>
          <w:lang w:val="ro-RO"/>
        </w:rPr>
      </w:pPr>
      <w:r w:rsidRPr="008C6A37">
        <w:rPr>
          <w:i/>
          <w:lang w:val="ro-RO"/>
        </w:rPr>
        <w:t>Os3.a Punerea în practică a planurilor de amenajare spațială a zonei costiere în coordonare cu planurile statelor vecine</w:t>
      </w:r>
    </w:p>
    <w:p w14:paraId="0C018E6F" w14:textId="77777777" w:rsidR="008C6A37" w:rsidRPr="008C6A37" w:rsidRDefault="008C6A37" w:rsidP="00BC11DC">
      <w:pPr>
        <w:ind w:firstLine="567"/>
        <w:rPr>
          <w:lang w:val="ro-RO"/>
        </w:rPr>
      </w:pPr>
      <w:r w:rsidRPr="008C6A37">
        <w:rPr>
          <w:lang w:val="ro-RO"/>
        </w:rPr>
        <w:t xml:space="preserve">Definirea acestui obiectiv specific rezidă din necesitatea aprobării planului de amenajare a teritoriului zonei costiere și armonizarea acestuia cu planurile de amenajare a teritoriului ale statelor vecine, astfel încât să se asigure cooperarea în proiectele de infrastructură mare, cu caracter transfrontalier și dezvoltarea durabilă a zonei costiere și la nivel regional.   </w:t>
      </w:r>
    </w:p>
    <w:p w14:paraId="32C1F6BE" w14:textId="77777777" w:rsidR="008C6A37" w:rsidRPr="008C6A37" w:rsidRDefault="008C6A37" w:rsidP="00BC11DC">
      <w:pPr>
        <w:ind w:firstLine="567"/>
        <w:rPr>
          <w:i/>
          <w:lang w:val="ro-RO"/>
        </w:rPr>
      </w:pPr>
      <w:r w:rsidRPr="008C6A37">
        <w:rPr>
          <w:i/>
          <w:lang w:val="ro-RO"/>
        </w:rPr>
        <w:t>Os3.b. Stabilirea unui sistem performant de supraveghere a eficienței implementării planificării spațiale prin realizarea Geamănului Digital (Digital Twin) a litoralului românesc</w:t>
      </w:r>
    </w:p>
    <w:p w14:paraId="56239643" w14:textId="77777777" w:rsidR="008C6A37" w:rsidRPr="008C6A37" w:rsidRDefault="008C6A37" w:rsidP="00BC11DC">
      <w:pPr>
        <w:ind w:firstLine="567"/>
        <w:rPr>
          <w:lang w:val="ro-RO"/>
        </w:rPr>
      </w:pPr>
      <w:r w:rsidRPr="008C6A37">
        <w:rPr>
          <w:lang w:val="ro-RO"/>
        </w:rPr>
        <w:t xml:space="preserve">Tehnologiile inteligente (IA), precum Geamănul Digital, constituie elemente centrale pentru atingerea obiectivelor acestei Strategii. Simularea diferitelor scenarii de management în mediul virtual construit cu ajutorul IA, reprezintă un instrument de management adaptiv, cu un </w:t>
      </w:r>
      <w:r w:rsidRPr="008C6A37">
        <w:rPr>
          <w:lang w:val="ro-RO"/>
        </w:rPr>
        <w:lastRenderedPageBreak/>
        <w:t>potențial uriaș de înțelegere a nevoilor reale și răspunsurilor la problemele actuale și viitoare ale zonei costiere. Asistarea procesului de planificare de către maşini virtuale, va ajuta la diminuarea riscului asociat hazardelor, datorită antrenării capabilităţilor acestora de predicţie numerică.</w:t>
      </w:r>
    </w:p>
    <w:p w14:paraId="2E486DDE" w14:textId="77777777" w:rsidR="008C6A37" w:rsidRPr="008C6A37" w:rsidRDefault="008C6A37" w:rsidP="00BC11DC">
      <w:pPr>
        <w:ind w:firstLine="567"/>
        <w:rPr>
          <w:i/>
          <w:lang w:val="ro-RO"/>
        </w:rPr>
      </w:pPr>
      <w:r w:rsidRPr="008C6A37">
        <w:rPr>
          <w:i/>
          <w:lang w:val="ro-RO"/>
        </w:rPr>
        <w:t xml:space="preserve">Os3.c Planificare și dezvoltare spațială integrată și durabilă a zonelor metropolitane, periurbane și rurale din zona costieră </w:t>
      </w:r>
    </w:p>
    <w:p w14:paraId="2BABBC36" w14:textId="77777777" w:rsidR="008C6A37" w:rsidRPr="008C6A37" w:rsidRDefault="008C6A37" w:rsidP="00BC11DC">
      <w:pPr>
        <w:ind w:firstLine="567"/>
        <w:rPr>
          <w:lang w:val="ro-RO"/>
        </w:rPr>
      </w:pPr>
      <w:r w:rsidRPr="008C6A37">
        <w:rPr>
          <w:lang w:val="ro-RO"/>
        </w:rPr>
        <w:t>Acest obiectiv specific a fost definit din necesitatea de a combate presiunea determinată de procesele de suburbanizare și metropolizare, care însoțesc dezvoltare urbană excesivă și necontrolată din sectorul sudic al zonei costiere. Acțiunile implementate pentru atingerea acestui obiectiv contribuie la dezvoltarea de instrumente eficiente de planificare spațială la nivelul teritoriului metropolitan Constanța și la nivelul zonelor  periurbane ale orașelor din zona costieră.</w:t>
      </w:r>
    </w:p>
    <w:p w14:paraId="76601FEE" w14:textId="77777777" w:rsidR="008C6A37" w:rsidRPr="008C6A37" w:rsidRDefault="008C6A37" w:rsidP="00BC11DC">
      <w:pPr>
        <w:ind w:firstLine="567"/>
        <w:rPr>
          <w:b/>
          <w:i/>
          <w:lang w:val="ro-RO"/>
        </w:rPr>
      </w:pPr>
      <w:r w:rsidRPr="008C6A37">
        <w:rPr>
          <w:b/>
          <w:i/>
          <w:lang w:val="ro-RO"/>
        </w:rPr>
        <w:t>O4. Dezvoltarea durabilă a zonei costiere</w:t>
      </w:r>
    </w:p>
    <w:p w14:paraId="60B5F621" w14:textId="77777777" w:rsidR="008C6A37" w:rsidRPr="008C6A37" w:rsidRDefault="008C6A37" w:rsidP="00BC11DC">
      <w:pPr>
        <w:ind w:firstLine="567"/>
        <w:rPr>
          <w:lang w:val="ro-RO"/>
        </w:rPr>
      </w:pPr>
      <w:r w:rsidRPr="008C6A37">
        <w:rPr>
          <w:lang w:val="ro-RO"/>
        </w:rPr>
        <w:t xml:space="preserve">O preocupare centrală în managementul integrat al zonei costiere este legată de îmbunătățirea performanțelor economice prin depășirea deficiențelor care caracterizează starea existentă a dezvoltării socio-economice a zonei costiere, în primul rând a celor cauzate de nivelul relativ scăzut de diversificare a unor sectoare economice (turismul, producerea de energie, etc.) și de impactul negativ al acestora asupra calității mediului. Valorile naturale, culturale și peisagistice, resursele biotice și cele minerale, oferă zonei costiere un potențial de dezvoltare economică ridicat, respectiv îmbunătățirea ofertei de turism de înaltă calitate și diversificat, precum și a producției agricole ecologice autohtone. De asemenea, prin poziția sa geografică, zona costieră oferă un potențial ridicat pentru producerea de energie alternativă. În același timp însă, sunt evidente numeroase efecte negative asupra mediului ale dezvoltării activităților economice (în special dezvoltarea urbană, turismul, transporturile). </w:t>
      </w:r>
    </w:p>
    <w:p w14:paraId="3FB035D1" w14:textId="77777777" w:rsidR="008C6A37" w:rsidRPr="008C6A37" w:rsidRDefault="008C6A37" w:rsidP="00BC11DC">
      <w:pPr>
        <w:ind w:firstLine="567"/>
        <w:rPr>
          <w:lang w:val="ro-RO"/>
        </w:rPr>
      </w:pPr>
      <w:r w:rsidRPr="008C6A37">
        <w:rPr>
          <w:lang w:val="ro-RO"/>
        </w:rPr>
        <w:t xml:space="preserve">De aceea, nevoile prioritare în contextul creșterii economice durabile a zonei costiere necesită, printre altele, stimulente pentru dezvoltarea turismului durabil, dezvoltarea agriculturii și pescuitului sustenabile, utilizarea zonelor rurale, unele dintre ele neglijate în prezent, precum și stimulente pentru alte dezvoltarea sectoarelor emergente ale economiei albastre (acvacultura, biotehnologii, etc.). </w:t>
      </w:r>
    </w:p>
    <w:p w14:paraId="660D66FE" w14:textId="77777777" w:rsidR="008C6A37" w:rsidRPr="008C6A37" w:rsidRDefault="008C6A37" w:rsidP="00BC11DC">
      <w:pPr>
        <w:ind w:firstLine="567"/>
        <w:rPr>
          <w:lang w:val="ro-RO"/>
        </w:rPr>
      </w:pPr>
      <w:r w:rsidRPr="008C6A37">
        <w:rPr>
          <w:lang w:val="ro-RO"/>
        </w:rPr>
        <w:t>Obiectivele specifice definite pentru acest obiectiv general sunt:</w:t>
      </w:r>
    </w:p>
    <w:p w14:paraId="2B3516D6" w14:textId="77777777" w:rsidR="008C6A37" w:rsidRPr="008C6A37" w:rsidRDefault="008C6A37" w:rsidP="00BC11DC">
      <w:pPr>
        <w:ind w:firstLine="567"/>
        <w:rPr>
          <w:lang w:val="ro-RO"/>
        </w:rPr>
      </w:pPr>
      <w:r w:rsidRPr="008C6A37">
        <w:rPr>
          <w:i/>
          <w:lang w:val="ro-RO"/>
        </w:rPr>
        <w:t>Os4.a Gestionarea durabilă a resurselor zonei de coastă</w:t>
      </w:r>
      <w:r w:rsidRPr="008C6A37">
        <w:rPr>
          <w:lang w:val="ro-RO"/>
        </w:rPr>
        <w:t xml:space="preserve"> </w:t>
      </w:r>
    </w:p>
    <w:p w14:paraId="2EB9CD2F" w14:textId="77777777" w:rsidR="008C6A37" w:rsidRPr="008C6A37" w:rsidRDefault="008C6A37" w:rsidP="00BC11DC">
      <w:pPr>
        <w:ind w:firstLine="567"/>
        <w:rPr>
          <w:lang w:val="ro-RO"/>
        </w:rPr>
      </w:pPr>
      <w:r w:rsidRPr="008C6A37">
        <w:rPr>
          <w:lang w:val="ro-RO"/>
        </w:rPr>
        <w:t xml:space="preserve">Planul Național de Redresare și Reziliență (PNRR) și Strategia Națională și Planul de Acțiune pentru Conservarea Biodiversității 2014-2020 (SNPACB 2014-2020) (în curs de actualizare) trasează liniile directoare pentru stoparea declinului diversităţii biologice reprezentată de resursele genetice, specii, ecosisteme şi peisaj şi refacerea ecosistemelor degradate, precum și de conservare a patrimoniului natural și cultural. La nivel local, Strategia integrată de dezvoltare durabilă a Deltei Dunării 2016-2030, cât și strategiile de dezvoltare a județelor Constanța și Tulcea includ obiective specifice de gestionare durabilă a resurselor zonei costiere. Planificarea strategică a sectoarelor economice din zona costieră (energie, pescuit și acvacultura, turism, agricultură) ce utilizează resursele biotice și abiotice ale zonei costiere, trebuie sa conțină acțiunile sinergice pentru atingerea țintelor de sustenabilitate, </w:t>
      </w:r>
      <w:r w:rsidRPr="008C6A37">
        <w:rPr>
          <w:lang w:val="ro-RO"/>
        </w:rPr>
        <w:lastRenderedPageBreak/>
        <w:t>respectiv măsuri de implementare a acestora prin aplicarea instrumentelor financiare și capacităților oferite de documentele strategice menționate. Un accent deosebit trebuie pus pe gestionarea resurselor biotice, prin programe dedicate fiecărei resurse exploatate în prezent sau prevăzute a fi exploatate în viitor, precum și prin menținerea calității foarte bună a apelor costiere destinate îmbăierii pentru sectorul turistic.</w:t>
      </w:r>
    </w:p>
    <w:p w14:paraId="29015BD1" w14:textId="77777777" w:rsidR="008C6A37" w:rsidRPr="008C6A37" w:rsidRDefault="008C6A37" w:rsidP="00BC11DC">
      <w:pPr>
        <w:ind w:firstLine="567"/>
        <w:rPr>
          <w:i/>
          <w:lang w:val="ro-RO"/>
        </w:rPr>
      </w:pPr>
      <w:r w:rsidRPr="008C6A37">
        <w:rPr>
          <w:i/>
          <w:lang w:val="ro-RO"/>
        </w:rPr>
        <w:t>Os4.b Dezvoltarea “verde” a zonei costiere</w:t>
      </w:r>
    </w:p>
    <w:p w14:paraId="342C2F4D" w14:textId="77777777" w:rsidR="008C6A37" w:rsidRPr="008C6A37" w:rsidRDefault="008C6A37" w:rsidP="00BC11DC">
      <w:pPr>
        <w:ind w:firstLine="567"/>
        <w:rPr>
          <w:lang w:val="ro-RO"/>
        </w:rPr>
      </w:pPr>
      <w:r w:rsidRPr="008C6A37">
        <w:rPr>
          <w:lang w:val="ro-RO"/>
        </w:rPr>
        <w:t>Acest obiectiv specific vizează diversificarea economiei în zona costieră și atingerea performanțelor economice dorite de către antreprenorii locali prin folosirea tehnicilor și tehnologiilor inovative, verzi. Acțiunile implementate pentru atingerea acestui obiectiv specific sunt în concordanță cu principiile neutralității climatice (zero emisii de carbon) și ale economiei verzi - creștere albastră (Green Economy, Blue Growth).</w:t>
      </w:r>
    </w:p>
    <w:p w14:paraId="1E1F76AA" w14:textId="77777777" w:rsidR="008C6A37" w:rsidRPr="008C6A37" w:rsidRDefault="008C6A37" w:rsidP="00BC11DC">
      <w:pPr>
        <w:ind w:firstLine="567"/>
        <w:rPr>
          <w:i/>
          <w:lang w:val="ro-RO"/>
        </w:rPr>
      </w:pPr>
      <w:r w:rsidRPr="008C6A37">
        <w:rPr>
          <w:i/>
          <w:lang w:val="ro-RO"/>
        </w:rPr>
        <w:t xml:space="preserve">Os4.c Valorificarea resurselor energetice regenerabile </w:t>
      </w:r>
    </w:p>
    <w:p w14:paraId="38181B7E" w14:textId="77777777" w:rsidR="008C6A37" w:rsidRPr="008C6A37" w:rsidRDefault="008C6A37" w:rsidP="00BC11DC">
      <w:pPr>
        <w:ind w:firstLine="567"/>
        <w:rPr>
          <w:lang w:val="ro-RO"/>
        </w:rPr>
      </w:pPr>
      <w:r w:rsidRPr="008C6A37">
        <w:rPr>
          <w:lang w:val="ro-RO"/>
        </w:rPr>
        <w:t xml:space="preserve">Zona costieră românească oferă posibilități considerabile de producere a energiei alternative, în special a energiei solare fotovoltaice şi eoliene, existând deja o serie de iniţiative în acest sens, însă potenţialul de dezvoltare nu a fost atins la capacitatea estimată. Atingerea acestui obiectiv specific presupune acțiuni de susținere și promovare a producerii de energie din surse alternative, regenerabile și nepoluante care vin în sprijinul îndeplinirii obiectivelor Planului Național Integrat în domeniul Energiei și Schimbărilor Climatice (PNIESC) 2021-2030 și Strategiei Naționale pentru Dezvoltarea Durabilă a României 2030 (SNDDR). </w:t>
      </w:r>
    </w:p>
    <w:p w14:paraId="0FE39269" w14:textId="77777777" w:rsidR="008C6A37" w:rsidRPr="008C6A37" w:rsidRDefault="008C6A37" w:rsidP="00BC11DC">
      <w:pPr>
        <w:ind w:firstLine="567"/>
        <w:rPr>
          <w:i/>
          <w:lang w:val="ro-RO"/>
        </w:rPr>
      </w:pPr>
      <w:r w:rsidRPr="008C6A37">
        <w:rPr>
          <w:i/>
          <w:lang w:val="ro-RO"/>
        </w:rPr>
        <w:t>Os4.d. Atragerea investițiilor în biotehnologii pentru recuperarea, remedierea, îmbunătățirea sănătății umane și a mediului, în acord cu strategiile europene de promovare a Economiei Albastre și de atingere a obiectivelor Pactului Verde European și a Strategiei de la Ferma direct în Farfurie.</w:t>
      </w:r>
    </w:p>
    <w:p w14:paraId="28746D42" w14:textId="77777777" w:rsidR="008C6A37" w:rsidRPr="008C6A37" w:rsidRDefault="008C6A37" w:rsidP="00BC11DC">
      <w:pPr>
        <w:ind w:firstLine="567"/>
        <w:rPr>
          <w:lang w:val="ro-RO"/>
        </w:rPr>
      </w:pPr>
      <w:r w:rsidRPr="008C6A37">
        <w:rPr>
          <w:lang w:val="ro-RO"/>
        </w:rPr>
        <w:t>Până la ora actuală, zona costieră beneficiază de investiții relativ scăzute în acest sector emergent al Economiei verde / albastre, deși atât partea terestră cât și cea marină au un potențial considerabil din punct de vedere biologic, ecologic dar și economic. Acțiunile ce vor fi întreprinse pentru îndeplinirea acestui obiectiv specific vor contribui la atingerea, de către România, a obiectivelor Pactului Verde European și a Strategiei de la Fermă direct la Farfurie.</w:t>
      </w:r>
    </w:p>
    <w:p w14:paraId="15904FC6" w14:textId="77777777" w:rsidR="008C6A37" w:rsidRPr="008C6A37" w:rsidRDefault="008C6A37" w:rsidP="00BC11DC">
      <w:pPr>
        <w:ind w:firstLine="567"/>
        <w:rPr>
          <w:b/>
          <w:i/>
          <w:lang w:val="ro-RO"/>
        </w:rPr>
      </w:pPr>
      <w:r w:rsidRPr="008C6A37">
        <w:rPr>
          <w:b/>
          <w:i/>
          <w:lang w:val="ro-RO"/>
        </w:rPr>
        <w:t>O5. Creșterea eficienței sistemului de management al zonei costiere</w:t>
      </w:r>
    </w:p>
    <w:p w14:paraId="5C512DC1" w14:textId="77777777" w:rsidR="008C6A37" w:rsidRPr="008C6A37" w:rsidRDefault="008C6A37" w:rsidP="00BC11DC">
      <w:pPr>
        <w:ind w:firstLine="567"/>
        <w:rPr>
          <w:lang w:val="ro-RO"/>
        </w:rPr>
      </w:pPr>
      <w:r w:rsidRPr="008C6A37">
        <w:rPr>
          <w:lang w:val="ro-RO"/>
        </w:rPr>
        <w:t>Acest obiectiv general a fost definit în contextul în care un mecanism funcțional de coordonare și cooperare reprezintă o nevoie urgentă a actualului sistem de management al zonei costiere. O contribuție importantă la dezvoltarea sustenabilă a zonei costiere trebuie să fie adusă prin consolidarea cooperării și coordonării între părțile interesate. În același timp, îmbunătățirea sistemului (instituțional) de management al zonei costiere nu este posibilă fără a investi în același timp în dezvoltarea capacităților funcționarilor publici și experților de a îndeplini sarcinile atribuite în mod eficient și eficace.</w:t>
      </w:r>
    </w:p>
    <w:p w14:paraId="31552240" w14:textId="77777777" w:rsidR="008C6A37" w:rsidRPr="008C6A37" w:rsidRDefault="008C6A37" w:rsidP="00BC11DC">
      <w:pPr>
        <w:ind w:firstLine="567"/>
        <w:rPr>
          <w:lang w:val="ro-RO"/>
        </w:rPr>
      </w:pPr>
      <w:r w:rsidRPr="008C6A37">
        <w:rPr>
          <w:lang w:val="ro-RO"/>
        </w:rPr>
        <w:t>Obiectivele specifice definite pentru acest obiectiv general sunt:</w:t>
      </w:r>
    </w:p>
    <w:p w14:paraId="2A0FC2A0" w14:textId="77777777" w:rsidR="008C6A37" w:rsidRPr="008C6A37" w:rsidRDefault="008C6A37" w:rsidP="00BC11DC">
      <w:pPr>
        <w:ind w:firstLine="567"/>
        <w:rPr>
          <w:i/>
          <w:lang w:val="ro-RO"/>
        </w:rPr>
      </w:pPr>
      <w:r w:rsidRPr="008C6A37">
        <w:rPr>
          <w:i/>
          <w:lang w:val="ro-RO"/>
        </w:rPr>
        <w:t>Os5.a Stabilirea / consolidarea mecanismului de coordonare a managementului integrat al zonei de coastă care să aducă împreună toate instituțiile responsabile ale statului român</w:t>
      </w:r>
    </w:p>
    <w:p w14:paraId="39AA31A4" w14:textId="77777777" w:rsidR="008C6A37" w:rsidRPr="008C6A37" w:rsidRDefault="008C6A37" w:rsidP="00BC11DC">
      <w:pPr>
        <w:ind w:firstLine="567"/>
        <w:rPr>
          <w:lang w:val="ro-RO"/>
        </w:rPr>
      </w:pPr>
      <w:r w:rsidRPr="008C6A37">
        <w:rPr>
          <w:lang w:val="ro-RO"/>
        </w:rPr>
        <w:lastRenderedPageBreak/>
        <w:t xml:space="preserve">Atingerea acestui obiectiv specific este prioritară, asigurarea un mecanism de coordonare eficient și eficace fiind condiția esențială pentru gestionarea integrată a unei zone atât de complexe și dinamice, precum zona costieră. </w:t>
      </w:r>
    </w:p>
    <w:p w14:paraId="513F3F49" w14:textId="77777777" w:rsidR="008C6A37" w:rsidRPr="008C6A37" w:rsidRDefault="008C6A37" w:rsidP="00BC11DC">
      <w:pPr>
        <w:ind w:firstLine="567"/>
        <w:rPr>
          <w:i/>
          <w:lang w:val="ro-RO"/>
        </w:rPr>
      </w:pPr>
      <w:r w:rsidRPr="008C6A37">
        <w:rPr>
          <w:i/>
          <w:lang w:val="ro-RO"/>
        </w:rPr>
        <w:t>Os5.b Consolidarea capacităţii administrației publice</w:t>
      </w:r>
    </w:p>
    <w:p w14:paraId="026BC424" w14:textId="77777777" w:rsidR="008C6A37" w:rsidRPr="008C6A37" w:rsidRDefault="008C6A37" w:rsidP="00BC11DC">
      <w:pPr>
        <w:ind w:firstLine="567"/>
        <w:rPr>
          <w:i/>
          <w:lang w:val="ro-RO"/>
        </w:rPr>
      </w:pPr>
      <w:r w:rsidRPr="008C6A37">
        <w:rPr>
          <w:lang w:val="ro-RO"/>
        </w:rPr>
        <w:t xml:space="preserve">Un sistem de management modern, eficient și responsabil trebuie să se bazeze pe rezultate și performanțe măsurabile ale administrației publice, pe îmbunătățirea competențelor funcționarilor publici și pe consolidarea transparenței managementului. Atingerea acestui obiectiv specific presupune formarea continuă a resursei umane din cadrul autorităților prin derularea, în mod regulat, de programe de asistență tehnică, ca singurul mod în care bunele practici şi competenţele se pot învăţa eficient, îmbunătăţi şi continua să existe la nivelul unei organizaţii publice. </w:t>
      </w:r>
    </w:p>
    <w:p w14:paraId="7B504CC6" w14:textId="77777777" w:rsidR="008C6A37" w:rsidRPr="008C6A37" w:rsidRDefault="008C6A37" w:rsidP="00BC11DC">
      <w:pPr>
        <w:ind w:firstLine="567"/>
        <w:rPr>
          <w:lang w:val="ro-RO"/>
        </w:rPr>
      </w:pPr>
      <w:r w:rsidRPr="008C6A37">
        <w:rPr>
          <w:i/>
          <w:lang w:val="ro-RO"/>
        </w:rPr>
        <w:t>Os5.c Întărirea aplicării normelor specifice sectoarelor economice din zona costieră</w:t>
      </w:r>
      <w:r w:rsidRPr="008C6A37">
        <w:rPr>
          <w:lang w:val="ro-RO"/>
        </w:rPr>
        <w:t xml:space="preserve"> </w:t>
      </w:r>
    </w:p>
    <w:p w14:paraId="529E54DF" w14:textId="77777777" w:rsidR="008C6A37" w:rsidRPr="008C6A37" w:rsidRDefault="008C6A37" w:rsidP="00BC11DC">
      <w:pPr>
        <w:ind w:firstLine="567"/>
        <w:rPr>
          <w:lang w:val="ro-RO"/>
        </w:rPr>
      </w:pPr>
      <w:r w:rsidRPr="008C6A37">
        <w:rPr>
          <w:lang w:val="ro-RO"/>
        </w:rPr>
        <w:t>Zona costieră este acoperită din punct de vedere legislativ de nenumărate prevederi şi norme de aplicare a acestora menite să prevină o administrare defectuoasă a acesteia. Cu toate acestea, problemele care apar au drept cauze, deseori, birocraţia, schimbările frecvente legislative şi administrative, modul dubitativ de interpretare a normelor și contradicțiile între diversele acte legislative. Prin atingerea acestui obiectiv se va asigura un sistem eficient de supraveghere și control al utilizării sustenabile resurselor zonei costiere.</w:t>
      </w:r>
    </w:p>
    <w:p w14:paraId="1F2AD30B" w14:textId="77777777" w:rsidR="008C6A37" w:rsidRPr="008C6A37" w:rsidRDefault="008C6A37" w:rsidP="00BC11DC">
      <w:pPr>
        <w:ind w:firstLine="567"/>
        <w:rPr>
          <w:b/>
          <w:i/>
          <w:lang w:val="ro-RO"/>
        </w:rPr>
      </w:pPr>
      <w:r w:rsidRPr="008C6A37">
        <w:rPr>
          <w:b/>
          <w:i/>
          <w:lang w:val="ro-RO"/>
        </w:rPr>
        <w:t>O6. Consolidarea resursei umane și coeziunii sociale</w:t>
      </w:r>
    </w:p>
    <w:p w14:paraId="48EF1347" w14:textId="77777777" w:rsidR="008C6A37" w:rsidRPr="008C6A37" w:rsidRDefault="008C6A37" w:rsidP="00BC11DC">
      <w:pPr>
        <w:ind w:firstLine="567"/>
        <w:rPr>
          <w:lang w:val="ro-RO"/>
        </w:rPr>
      </w:pPr>
      <w:r w:rsidRPr="008C6A37">
        <w:rPr>
          <w:lang w:val="ro-RO"/>
        </w:rPr>
        <w:t xml:space="preserve">Societățile care prețuiesc cunoștințele și aptitudinile, care reușesc să mobilizeze potențialul diferitelor grupuri sociale și să ofere beneficii ale dezvoltării tuturor membrilor lor, sunt societăți care se află pe calea dezvoltării durabile. Esențială pentru buna funcționare a sistemului de management a zonei costiere este includerea eficientă a publicului în procesele de luare a deciziilor și utilizarea tuturor cunoștințelor disponibile. Publicul trebuie să fie permanent informat, să dispună de cunoștințele necesare în vederea unei participări active și eficientă în procesul MIZC. </w:t>
      </w:r>
    </w:p>
    <w:p w14:paraId="16C3732C" w14:textId="77777777" w:rsidR="008C6A37" w:rsidRPr="008C6A37" w:rsidRDefault="008C6A37" w:rsidP="00BC11DC">
      <w:pPr>
        <w:ind w:firstLine="567"/>
        <w:rPr>
          <w:lang w:val="ro-RO"/>
        </w:rPr>
      </w:pPr>
      <w:r w:rsidRPr="008C6A37">
        <w:rPr>
          <w:lang w:val="ro-RO"/>
        </w:rPr>
        <w:t>Obiectivele specifice definite pentru acest obiectiv general sunt:</w:t>
      </w:r>
    </w:p>
    <w:p w14:paraId="6326136F" w14:textId="77777777" w:rsidR="008C6A37" w:rsidRPr="008C6A37" w:rsidRDefault="008C6A37" w:rsidP="00BC11DC">
      <w:pPr>
        <w:ind w:firstLine="567"/>
        <w:rPr>
          <w:i/>
          <w:lang w:val="ro-RO"/>
        </w:rPr>
      </w:pPr>
      <w:r w:rsidRPr="008C6A37">
        <w:rPr>
          <w:i/>
          <w:lang w:val="ro-RO"/>
        </w:rPr>
        <w:t>Os6.a Crearea unui proces real participativ în gestionarea integrată a zonei costiere</w:t>
      </w:r>
    </w:p>
    <w:p w14:paraId="46C468DC" w14:textId="77777777" w:rsidR="008C6A37" w:rsidRPr="008C6A37" w:rsidRDefault="008C6A37" w:rsidP="00BC11DC">
      <w:pPr>
        <w:ind w:firstLine="567"/>
        <w:rPr>
          <w:i/>
          <w:lang w:val="ro-RO"/>
        </w:rPr>
      </w:pPr>
      <w:r w:rsidRPr="008C6A37">
        <w:rPr>
          <w:lang w:val="ro-RO"/>
        </w:rPr>
        <w:t>Comunitatea și comunicarea sunt elemente critice ale managementului zonei costiere, ținând cont de numeroșii actori implicați în procesele de decizie, cât și de vastitatea teritoriului, dar și a problemelor ce necesită rezolvare și cooperare, în acest sens. Prin acțiunile implementate în vederea atingerii acestui obiectiv specific va crește gradul de implicare și participare a tuturor factorilor interesați în procesul de gestionare a zonei costiere.</w:t>
      </w:r>
    </w:p>
    <w:p w14:paraId="77F78A19" w14:textId="77777777" w:rsidR="008C6A37" w:rsidRPr="008C6A37" w:rsidRDefault="008C6A37" w:rsidP="00BC11DC">
      <w:pPr>
        <w:ind w:firstLine="567"/>
        <w:rPr>
          <w:i/>
          <w:lang w:val="ro-RO"/>
        </w:rPr>
      </w:pPr>
      <w:r w:rsidRPr="008C6A37">
        <w:rPr>
          <w:i/>
          <w:lang w:val="ro-RO"/>
        </w:rPr>
        <w:t>Os6.b Creșterea gradului de conștientizare cu privire la necesitatea de a păstra și îmbunătăți resursele zonei de coastă</w:t>
      </w:r>
    </w:p>
    <w:p w14:paraId="6E79DA8A" w14:textId="77777777" w:rsidR="008C6A37" w:rsidRPr="008C6A37" w:rsidRDefault="008C6A37" w:rsidP="00BC11DC">
      <w:pPr>
        <w:ind w:firstLine="567"/>
        <w:rPr>
          <w:lang w:val="ro-RO"/>
        </w:rPr>
      </w:pPr>
      <w:r w:rsidRPr="008C6A37">
        <w:rPr>
          <w:lang w:val="ro-RO"/>
        </w:rPr>
        <w:t xml:space="preserve">Pe lângă dezvoltarea capacităților, este, de asemenea, necesară creșterea conștientizării cu privire la importanța conservării valorilor culturale, naturale și peisagistice ca o obligație față de trecut și viitor și o condiție prealabilă pentru dezvoltarea durabilă pe termen lung a societății. Importanța diseminării experiențelor privind implementarea de bune practici în </w:t>
      </w:r>
      <w:r w:rsidRPr="008C6A37">
        <w:rPr>
          <w:lang w:val="ro-RO"/>
        </w:rPr>
        <w:lastRenderedPageBreak/>
        <w:t>dezvoltarea activităților economice sustenabile și stimularea antreprenoriatului local trebuie luată în considerare în cadrul campaniilor de creștere a gradului de conștientizare. Acțiunile care vor contribui la atingerea acestui obiectiv nu vor viza doar antreprenoriatul, ci se vor adresa și publicului larg, societății civile deoarece un mediu sănătos contribuie la bunăstarea întregii comunități. Creșterea gradului de conștientizare și îmbunătățire a cunoștințelor trebuie realizate la diferite niveluri și în moduri diferite – prin includerea amenajării teritoriului și a protecției mediului în programele de învățământ, prin organizarea de expoziții și ateliere de lucru, etc.</w:t>
      </w:r>
    </w:p>
    <w:p w14:paraId="53C1CAE8" w14:textId="77777777" w:rsidR="008C6A37" w:rsidRPr="008C6A37" w:rsidRDefault="008C6A37" w:rsidP="00BC11DC">
      <w:pPr>
        <w:ind w:firstLine="567"/>
        <w:rPr>
          <w:i/>
          <w:lang w:val="ro-RO"/>
        </w:rPr>
      </w:pPr>
      <w:r w:rsidRPr="008C6A37">
        <w:rPr>
          <w:i/>
          <w:lang w:val="ro-RO"/>
        </w:rPr>
        <w:t>Os6.c Implicarea cetățenilor în monitorizarea stării de sănătate a mediului costier (Citizen-science)</w:t>
      </w:r>
    </w:p>
    <w:p w14:paraId="4C91F9FA" w14:textId="77777777" w:rsidR="00E21863" w:rsidRDefault="008C6A37" w:rsidP="00BC11DC">
      <w:pPr>
        <w:ind w:firstLine="567"/>
        <w:rPr>
          <w:lang w:val="ro-RO"/>
        </w:rPr>
      </w:pPr>
      <w:r w:rsidRPr="008C6A37">
        <w:rPr>
          <w:lang w:val="ro-RO"/>
        </w:rPr>
        <w:t>Inițiativele Citizen Science (Știință prin cetățeni), care sprijină colaborarea dintre cercetători și publicul larg, nu sunt o obişnuinţă în România și, implicit, la litoralul românesc, însă constituie o practică consacrată în ţările europene odată cu publicarea în 2013 a Cartei Verzi a Ştiinţei pentru Cetăţeni. Pentru punerea în aplicare a acestor iniţiative, autorităţile din zona costieră trebuie să vadă avantajele pe care acest gen de iniţiative le aduce gestionării problemelor de mediu, prin participarea cetăţenilor instruiţi la luarea, în mod conştient, a deciziilor privind protecţia şi conservarea mediului, precum și la procesul de colectare de date și informații de mediu. Managementul oricărui teritoriu, mai ales al zonei costiere, o zonă vulnerabilă la presiunea crescândă asupra mediului şi sănătăţii umane, trebuie privit ca un parteneriat public-privat (cetăţeni), în care sunt preţuite serviciile reciproce oferite de fiecare parte.</w:t>
      </w:r>
    </w:p>
    <w:p w14:paraId="172FC18B" w14:textId="77777777" w:rsidR="00E21863" w:rsidRPr="008C6A37" w:rsidRDefault="00E21863" w:rsidP="00BC11DC">
      <w:pPr>
        <w:ind w:firstLine="567"/>
        <w:rPr>
          <w:lang w:val="ro-RO"/>
        </w:rPr>
      </w:pPr>
    </w:p>
    <w:p w14:paraId="1E209D2F" w14:textId="6A52AA89" w:rsidR="008C6A37" w:rsidRPr="008C6A37" w:rsidRDefault="008C6A37" w:rsidP="008B76B1">
      <w:pPr>
        <w:pStyle w:val="Heading2"/>
        <w:numPr>
          <w:ilvl w:val="1"/>
          <w:numId w:val="48"/>
        </w:numPr>
      </w:pPr>
      <w:bookmarkStart w:id="25" w:name="_Toc150247016"/>
      <w:bookmarkStart w:id="26" w:name="_Toc169625103"/>
      <w:r w:rsidRPr="005D2CE5">
        <w:t>Program</w:t>
      </w:r>
      <w:r w:rsidRPr="00940876">
        <w:rPr>
          <w:sz w:val="28"/>
        </w:rPr>
        <w:t xml:space="preserve"> / Plan de Acțiune</w:t>
      </w:r>
      <w:bookmarkEnd w:id="25"/>
      <w:bookmarkEnd w:id="26"/>
      <w:r w:rsidRPr="00940876">
        <w:rPr>
          <w:sz w:val="28"/>
        </w:rPr>
        <w:t xml:space="preserve"> </w:t>
      </w:r>
    </w:p>
    <w:p w14:paraId="643AC394" w14:textId="77777777" w:rsidR="008C6A37" w:rsidRPr="008C6A37" w:rsidRDefault="008C6A37" w:rsidP="00BC11DC">
      <w:pPr>
        <w:ind w:firstLine="567"/>
        <w:rPr>
          <w:lang w:val="ro-RO"/>
        </w:rPr>
      </w:pPr>
      <w:r w:rsidRPr="008C6A37">
        <w:rPr>
          <w:lang w:val="ro-RO"/>
        </w:rPr>
        <w:t>În conformitate cu viziunea, cadrul legislativ și instituțional, problemele și nevoile identificate, precum și obiectivele stabilite, a fost definit un set de direcții de acțiune, luând în considerare diferiți actori implicați în ceea ce privește implementarea. Direcțiile de acțiune care vor sprijini atingerea obiectivelor și implementarea strategiei, asigurând concordanța cu alte programe și planuri naționale sunt:</w:t>
      </w:r>
    </w:p>
    <w:p w14:paraId="3D6DE4C0" w14:textId="77777777" w:rsidR="008C6A37" w:rsidRPr="008C6A37" w:rsidRDefault="008C6A37" w:rsidP="00920C1F">
      <w:pPr>
        <w:numPr>
          <w:ilvl w:val="0"/>
          <w:numId w:val="3"/>
        </w:numPr>
        <w:ind w:firstLine="567"/>
        <w:rPr>
          <w:b/>
          <w:lang w:val="ro-RO"/>
        </w:rPr>
      </w:pPr>
      <w:bookmarkStart w:id="27" w:name="_heading=h.2s8eyo1" w:colFirst="0" w:colLast="0"/>
      <w:bookmarkEnd w:id="27"/>
      <w:r w:rsidRPr="008C6A37">
        <w:rPr>
          <w:b/>
          <w:lang w:val="ro-RO"/>
        </w:rPr>
        <w:t>Conservarea și valorificarea durabilă a patrimoniului natural și cultural</w:t>
      </w:r>
    </w:p>
    <w:p w14:paraId="3BED6760" w14:textId="77777777" w:rsidR="008C6A37" w:rsidRPr="008C6A37" w:rsidRDefault="008C6A37" w:rsidP="00BC11DC">
      <w:pPr>
        <w:ind w:firstLine="567"/>
        <w:rPr>
          <w:lang w:val="ro-RO"/>
        </w:rPr>
      </w:pPr>
      <w:r w:rsidRPr="008C6A37">
        <w:rPr>
          <w:lang w:val="ro-RO"/>
        </w:rPr>
        <w:t>Acțiunile subsecvente acestei direcții de acțiune sunt:</w:t>
      </w:r>
    </w:p>
    <w:p w14:paraId="1DA3AE9C" w14:textId="77777777" w:rsidR="008C6A37" w:rsidRPr="008C6A37" w:rsidRDefault="008C6A37" w:rsidP="00BC11DC">
      <w:pPr>
        <w:ind w:firstLine="567"/>
        <w:rPr>
          <w:b/>
          <w:i/>
          <w:lang w:val="ro-RO"/>
        </w:rPr>
      </w:pPr>
      <w:r w:rsidRPr="008C6A37">
        <w:rPr>
          <w:b/>
          <w:i/>
          <w:lang w:val="ro-RO"/>
        </w:rPr>
        <w:t>A.1 Alcătuirea cadastrului monumentelor și siturilor arheologice</w:t>
      </w:r>
    </w:p>
    <w:p w14:paraId="2B6E5D42" w14:textId="77777777" w:rsidR="008C6A37" w:rsidRPr="008C6A37" w:rsidRDefault="008C6A37" w:rsidP="00BC11DC">
      <w:pPr>
        <w:ind w:firstLine="567"/>
        <w:rPr>
          <w:lang w:val="ro-RO"/>
        </w:rPr>
      </w:pPr>
      <w:r w:rsidRPr="008C6A37">
        <w:rPr>
          <w:lang w:val="ro-RO"/>
        </w:rPr>
        <w:t xml:space="preserve">Zona costieră prezintă un potenţial patrimonial cultural cu totul remarcabil, compus din 426 de monumente, foruri publice, memorial funerare şi situri arheologice (inclusiv cel situat pe platforma continentală românească a Mării Negre). Protecția bunurilor ce compun patrimoniul cultural trebuie impusă prin documentele de amenajare a teritoriului și urbanism, esențială fiind actualizarea PUG-urilor și preluarea informațiilor privitoare la existența și localizarea bunurilor de patrimoniu ca urmare a unor noi descoperiri sau cercetări. Prin implementarea acestei măsuri se vor realiza o bază de date geospațiale a monumentelor și </w:t>
      </w:r>
      <w:r w:rsidRPr="008C6A37">
        <w:rPr>
          <w:lang w:val="ro-RO"/>
        </w:rPr>
        <w:lastRenderedPageBreak/>
        <w:t>siturilor arheologice, precum și un atlas al elementelor de patrimoniu construit din Lista Monumentelor Istorice (LMI) pentru zona costieră. De asemenea, se va identifica regimul de proprietate pentru monumentele și siturile din LMI de grupă valorică A (de importanță națională și internațională) din zona costieră.</w:t>
      </w:r>
    </w:p>
    <w:p w14:paraId="43FC6480" w14:textId="77777777" w:rsidR="008C6A37" w:rsidRPr="008C6A37" w:rsidRDefault="008C6A37" w:rsidP="00BC11DC">
      <w:pPr>
        <w:ind w:firstLine="567"/>
        <w:rPr>
          <w:b/>
          <w:i/>
          <w:lang w:val="ro-RO"/>
        </w:rPr>
      </w:pPr>
      <w:r w:rsidRPr="008C6A37">
        <w:rPr>
          <w:b/>
          <w:i/>
          <w:lang w:val="ro-RO"/>
        </w:rPr>
        <w:t>A.2 Inițierea și implementarea programelor de dezvoltare de proiecte pentru protecția, conservarea și restaurarea patrimoniului cultural existent de interes național (monumente istorice, situri, imobile sau amenajări cu valoare arhitectural urbanistică, precum și peisajele din zona costieră)</w:t>
      </w:r>
    </w:p>
    <w:p w14:paraId="44A84CD4" w14:textId="77777777" w:rsidR="008C6A37" w:rsidRPr="008C6A37" w:rsidRDefault="008C6A37" w:rsidP="00BC11DC">
      <w:pPr>
        <w:ind w:firstLine="567"/>
        <w:rPr>
          <w:lang w:val="ro-RO"/>
        </w:rPr>
      </w:pPr>
      <w:r w:rsidRPr="008C6A37">
        <w:rPr>
          <w:lang w:val="ro-RO"/>
        </w:rPr>
        <w:t>Prezența numeroaselor și valoroaselor obiective arheologice, arhitecturale, memoriale, artistice conferă un potențial deosebit, din punct de vedere cultural și turistic, zonei costiere în general și a zonelor urbane, în special. Degradarea accelerată a patrimoniului cultural imobil din zona costieră poate fi limitată prin intervenții sistemice de calitate și impact în mediul cultural în scopul regenerării și reabilitării centrelor urbane cu valoare istorică, punerii în valoare și promovării prin campanii și evenimente dedicate a identității și patrimoniului cultural local și regional, material și imaterial. Valorificarea patrimoniului cultural existent trebuie să aibă în vedere păstrarea unui echilibru prudent între progres şi protejare, care să permită dezvoltarea economică, turistică şi socială în respectul protejării patrimoniului imobil și a peisajului cultural.</w:t>
      </w:r>
    </w:p>
    <w:p w14:paraId="0798420D" w14:textId="77777777" w:rsidR="008C6A37" w:rsidRPr="008C6A37" w:rsidRDefault="008C6A37" w:rsidP="00BC11DC">
      <w:pPr>
        <w:ind w:firstLine="567"/>
        <w:rPr>
          <w:b/>
          <w:i/>
          <w:lang w:val="ro-RO"/>
        </w:rPr>
      </w:pPr>
      <w:r w:rsidRPr="008C6A37">
        <w:rPr>
          <w:b/>
          <w:i/>
          <w:lang w:val="ro-RO"/>
        </w:rPr>
        <w:t>A.3 Realizarea unui program național de cercetare, inventariere și punere în valoare a patrimoniului arheologic subacvatic din zona costieră</w:t>
      </w:r>
    </w:p>
    <w:p w14:paraId="772AA8D0" w14:textId="77777777" w:rsidR="008C6A37" w:rsidRPr="008C6A37" w:rsidRDefault="008C6A37" w:rsidP="00BC11DC">
      <w:pPr>
        <w:ind w:firstLine="567"/>
        <w:rPr>
          <w:lang w:val="ro-RO"/>
        </w:rPr>
      </w:pPr>
      <w:r w:rsidRPr="008C6A37">
        <w:rPr>
          <w:lang w:val="ro-RO"/>
        </w:rPr>
        <w:t xml:space="preserve">Convenția UNESCO privind protecția patrimoniului cultural subacvatic, Paris, 2001, adoptată în România prin Legea 99/2007, a stabilit un cadru legal cuprinzător pentru cercetarea, conservarea, protecția și gestionarea patrimoniului cultural subacvatic. Totuși, datele privind patrimoniul cultural subacvatic disponibile în prezent în România sunt departe de a fi complete, în lipsa unor anchete sistematice în zona maritimă. Implementarea acestei acțiuni este în concordanță cu obiectivele și acțiunile Planului de Amenajare a Spațiului Maritim. </w:t>
      </w:r>
    </w:p>
    <w:p w14:paraId="3A9B2754" w14:textId="77777777" w:rsidR="008C6A37" w:rsidRPr="008C6A37" w:rsidRDefault="008C6A37" w:rsidP="00BC11DC">
      <w:pPr>
        <w:ind w:firstLine="567"/>
        <w:rPr>
          <w:b/>
          <w:i/>
          <w:lang w:val="ro-RO"/>
        </w:rPr>
      </w:pPr>
      <w:r w:rsidRPr="008C6A37">
        <w:rPr>
          <w:b/>
          <w:i/>
          <w:lang w:val="ro-RO"/>
        </w:rPr>
        <w:t>A.4 Inventarierea și evaluarea peisajului în zona costieră în vederea susținerii proceselor de elaborarea a activităților de planificare spațială a teritoriului, precum și a programelor de conservare / restaurare / reabilitare / valorificare a peisajului costier</w:t>
      </w:r>
    </w:p>
    <w:p w14:paraId="6D408D6A" w14:textId="77777777" w:rsidR="008C6A37" w:rsidRPr="008C6A37" w:rsidRDefault="008C6A37" w:rsidP="00BC11DC">
      <w:pPr>
        <w:ind w:firstLine="567"/>
        <w:rPr>
          <w:lang w:val="ro-RO"/>
        </w:rPr>
      </w:pPr>
      <w:r w:rsidRPr="008C6A37">
        <w:rPr>
          <w:lang w:val="ro-RO"/>
        </w:rPr>
        <w:t>În ultimii ani, politicile UE privind peisajul costier au devenit mai bine definite, impunându-se necesitatea stabilirii unor indicatori pentru evaluarea și monitorizarea efectelor politicilor și planurilor în zona costieră. Însă peisajul reprezintă una dintre componentele dificil de măsurat folosind metode cantitative. Pentru a aborda diversele dimensiuni ale peisajului costier (a cărui complexitate este binecunoscută având în vedere interacțiunea uscat-mare), este nevoie de o implicare multidisciplinară, cu expertiză în ecologia peisajului, istoria peisajului, percepția peisajului, planificarea regională, evaluarea strategică a mediului și procedurile de evaluare a impactului asupra mediului costier și marin. Implementarea acțiunii propuse include:</w:t>
      </w:r>
    </w:p>
    <w:p w14:paraId="607E1BC9" w14:textId="77777777" w:rsidR="008C6A37" w:rsidRPr="008C6A37" w:rsidRDefault="008C6A37" w:rsidP="00BC11DC">
      <w:pPr>
        <w:ind w:firstLine="567"/>
        <w:rPr>
          <w:lang w:val="ro-RO"/>
        </w:rPr>
      </w:pPr>
      <w:r w:rsidRPr="008C6A37">
        <w:rPr>
          <w:lang w:val="ro-RO"/>
        </w:rPr>
        <w:t>- elaborarea unei metodologii pentru inventarierea  și evaluarea peisajului costier;</w:t>
      </w:r>
    </w:p>
    <w:p w14:paraId="60FCC6A8" w14:textId="77777777" w:rsidR="00BA1C09" w:rsidRDefault="008C6A37" w:rsidP="00BA1C09">
      <w:pPr>
        <w:ind w:firstLine="567"/>
        <w:rPr>
          <w:lang w:val="ro-RO"/>
        </w:rPr>
      </w:pPr>
      <w:r w:rsidRPr="008C6A37">
        <w:rPr>
          <w:lang w:val="ro-RO"/>
        </w:rPr>
        <w:t>- realizarea atlasului peisajului costier;</w:t>
      </w:r>
    </w:p>
    <w:p w14:paraId="5C5E16A9" w14:textId="358D52EA" w:rsidR="008C6A37" w:rsidRPr="008C6A37" w:rsidRDefault="00BA1C09" w:rsidP="00BA1C09">
      <w:pPr>
        <w:ind w:firstLine="567"/>
        <w:rPr>
          <w:lang w:val="ro-RO"/>
        </w:rPr>
      </w:pPr>
      <w:r>
        <w:rPr>
          <w:lang w:val="ro-RO"/>
        </w:rPr>
        <w:lastRenderedPageBreak/>
        <w:t xml:space="preserve">- </w:t>
      </w:r>
      <w:r w:rsidR="00940876">
        <w:rPr>
          <w:lang w:val="ro-RO"/>
        </w:rPr>
        <w:t>realizarea unei metodologii/</w:t>
      </w:r>
      <w:r w:rsidR="008C6A37" w:rsidRPr="008C6A37">
        <w:rPr>
          <w:lang w:val="ro-RO"/>
        </w:rPr>
        <w:t>ghid pentru programele de conservare/reabilitare/valorificare a peisajului costier;</w:t>
      </w:r>
    </w:p>
    <w:p w14:paraId="2098465C" w14:textId="77777777" w:rsidR="008C6A37" w:rsidRPr="008C6A37" w:rsidRDefault="008C6A37" w:rsidP="00BC11DC">
      <w:pPr>
        <w:ind w:firstLine="567"/>
        <w:rPr>
          <w:lang w:val="ro-RO"/>
        </w:rPr>
      </w:pPr>
      <w:r w:rsidRPr="008C6A37">
        <w:rPr>
          <w:lang w:val="ro-RO"/>
        </w:rPr>
        <w:t>- realizarea unor analize detaliate privind modul de utilizare a terenurilor, cu accent pe aspectele ecologice, istorice, economice și de percepție.</w:t>
      </w:r>
    </w:p>
    <w:p w14:paraId="0CCFFFA8" w14:textId="77777777" w:rsidR="008C6A37" w:rsidRPr="008C6A37" w:rsidRDefault="008C6A37" w:rsidP="00BC11DC">
      <w:pPr>
        <w:ind w:firstLine="567"/>
        <w:rPr>
          <w:b/>
          <w:i/>
          <w:lang w:val="ro-RO"/>
        </w:rPr>
      </w:pPr>
      <w:r w:rsidRPr="008C6A37">
        <w:rPr>
          <w:b/>
          <w:i/>
          <w:lang w:val="ro-RO"/>
        </w:rPr>
        <w:t>A.5 Asigurarea conservării biodiversității în conformitate cu obligațiile prevăzute de legislația europeană</w:t>
      </w:r>
    </w:p>
    <w:p w14:paraId="228F8768" w14:textId="77777777" w:rsidR="008C6A37" w:rsidRPr="008C6A37" w:rsidRDefault="008C6A37" w:rsidP="00BC11DC">
      <w:pPr>
        <w:ind w:firstLine="567"/>
        <w:rPr>
          <w:lang w:val="ro-RO"/>
        </w:rPr>
      </w:pPr>
      <w:r w:rsidRPr="008C6A37">
        <w:rPr>
          <w:lang w:val="ro-RO"/>
        </w:rPr>
        <w:t>Conservarea biodiversității reprezintă obiectivul major al implementării la nivel european a rețelei Natura 2000. Datorită importanței economice a zonei costiere, existenței ariilor protejate terestre și marine și a poziției geografice sunt necesare, în continuarea de măsuri de management adecvate dezvoltării durabile. Existența ariilor protejate în zona costiera trebuie conștientizată ca atare, iar planificarea activităților de orice natură în zonele protejate sau în vecinătatea acestora trebuie să aibă în vedere în mod expres principiul conservării biodiversității.</w:t>
      </w:r>
    </w:p>
    <w:p w14:paraId="774A5D2C" w14:textId="77777777" w:rsidR="008C6A37" w:rsidRPr="008C6A37" w:rsidRDefault="008C6A37" w:rsidP="00BC11DC">
      <w:pPr>
        <w:ind w:firstLine="567"/>
        <w:rPr>
          <w:b/>
          <w:i/>
          <w:lang w:val="ro-RO"/>
        </w:rPr>
      </w:pPr>
      <w:r w:rsidRPr="008C6A37">
        <w:rPr>
          <w:b/>
          <w:i/>
          <w:lang w:val="ro-RO"/>
        </w:rPr>
        <w:t>A.6 Dezvoltarea unor programe pentru restabilirea/refacerea și utilizarea sustenabilă a ecosistemelor costiere utilizând soluțiile bazate pe natură</w:t>
      </w:r>
    </w:p>
    <w:p w14:paraId="7AE54A41" w14:textId="77777777" w:rsidR="008C6A37" w:rsidRPr="008C6A37" w:rsidRDefault="008C6A37" w:rsidP="00BC11DC">
      <w:pPr>
        <w:ind w:firstLine="567"/>
        <w:rPr>
          <w:lang w:val="ro-RO"/>
        </w:rPr>
      </w:pPr>
      <w:r w:rsidRPr="008C6A37">
        <w:rPr>
          <w:lang w:val="ro-RO"/>
        </w:rPr>
        <w:t>Restabilirea/refacerea ecosistemelor naturale reprezintă unul dintre instrumentele de bază care ar putea stimula păstrarea integrității ariilor protejate sub toate aspectele și atingerea țintelor AICHI de conservare a biodiversității. Activitățile de refacere/restaurare promovează principiul conservării biodiversității, îmbunătățesc captarea și stocarea carbonului și accelerează reziliența ecosistemelor naturale. Cu toate acestea, lipsește un program care să combine conservarea și refacerea/restaurarea într-un cadru unificat, cu implicarea cetățenilor și a mediului economic.</w:t>
      </w:r>
    </w:p>
    <w:p w14:paraId="495EA7C2" w14:textId="77777777" w:rsidR="008C6A37" w:rsidRPr="008C6A37" w:rsidRDefault="008C6A37" w:rsidP="00BC11DC">
      <w:pPr>
        <w:ind w:firstLine="567"/>
        <w:rPr>
          <w:b/>
          <w:i/>
          <w:lang w:val="ro-RO"/>
        </w:rPr>
      </w:pPr>
      <w:r w:rsidRPr="008C6A37">
        <w:rPr>
          <w:b/>
          <w:i/>
          <w:lang w:val="ro-RO"/>
        </w:rPr>
        <w:t>A.7 Identificarea, catalogarea și monitorizarea serviciilor ecosistemice</w:t>
      </w:r>
    </w:p>
    <w:p w14:paraId="4F5698F7" w14:textId="77777777" w:rsidR="008C6A37" w:rsidRPr="008C6A37" w:rsidRDefault="008C6A37" w:rsidP="00BC11DC">
      <w:pPr>
        <w:ind w:firstLine="567"/>
        <w:rPr>
          <w:lang w:val="ro-RO"/>
        </w:rPr>
      </w:pPr>
      <w:r w:rsidRPr="008C6A37">
        <w:rPr>
          <w:lang w:val="ro-RO"/>
        </w:rPr>
        <w:t>Deoarece multe dintre bunurile și serviciile ecosistemice au fost dintotdeauna la dispoziția tuturor și, de regulă, puțin prețuite pe piață, valoarea lor reală nu a fost inclusă în estimările economice. Pe lângă valoarea resurselor naturale exploatate comercial, există o valoare intrinsecă a fiecărui serviciu ecosistemic, care se referă la funcţiile prin care ecosistemele contribuie la reglarea proceselor şi fenomenelor care susţin viaţa (epurarea apelor, fixarea nutrienților şi a carbonului, fotosinteza), la funcţiile de suport, precum producţia de biomasă, de elemente esenţiale vieţii (ex. oxigen), formarea solurilor, etc., precum și la oportunităţile culturale şi estetice pe care le oferă (peisaje, experienţe spirituale, etc.). Implementarea acestei acțiuni este necesară în contextul ignorării, din necunoaștere și/sau neglijență, atât din partea autorităților, cât și a publicului, a importanței tuturor serviciilor ecosistemice pentru dezvoltarea durabilă a zonei costiere.</w:t>
      </w:r>
    </w:p>
    <w:p w14:paraId="48370D41" w14:textId="77777777" w:rsidR="008C6A37" w:rsidRPr="008C6A37" w:rsidRDefault="008C6A37" w:rsidP="00BC11DC">
      <w:pPr>
        <w:ind w:firstLine="567"/>
        <w:rPr>
          <w:b/>
          <w:i/>
          <w:lang w:val="ro-RO"/>
        </w:rPr>
      </w:pPr>
      <w:r w:rsidRPr="008C6A37">
        <w:rPr>
          <w:b/>
          <w:i/>
          <w:lang w:val="ro-RO"/>
        </w:rPr>
        <w:t>A.8 Stabilirea instrumentelor pentru valorizarea monetară și non-monetară a serviciilor ecosistemice în concordanță cu obiectivele de protecție și conservare a speciilor și habitatelor</w:t>
      </w:r>
    </w:p>
    <w:p w14:paraId="03044212" w14:textId="77777777" w:rsidR="008C6A37" w:rsidRPr="008C6A37" w:rsidRDefault="008C6A37" w:rsidP="00BC11DC">
      <w:pPr>
        <w:ind w:firstLine="567"/>
        <w:rPr>
          <w:lang w:val="ro-RO"/>
        </w:rPr>
      </w:pPr>
      <w:r w:rsidRPr="008C6A37">
        <w:rPr>
          <w:lang w:val="ro-RO"/>
        </w:rPr>
        <w:t xml:space="preserve">Valorizarea monetară și non-monetară a serviciilor ecosistemice contribuie la o utilizare îmbunătățită a resurselor naturale, în special prin creșterea gradului de informare și cunoaștere a factorilor de decizie asupra costului total al exploatării sistemelor ecologice și asupra </w:t>
      </w:r>
      <w:r w:rsidRPr="008C6A37">
        <w:rPr>
          <w:lang w:val="ro-RO"/>
        </w:rPr>
        <w:lastRenderedPageBreak/>
        <w:t>beneficiilor potențiale pe care sistemele ecologice naturale le furnizează. Prin urmare, prin implementarea acestei activități se urmărește stabilirea mecanismelor monetare și non-monetare a serviciilor ecosistemice și integrarea costurilor de conservare și refacere a capitalului natural în realizarea politicilor și strategiilor sectoriale. Această abordare  va conduce la o responsabilitate mai mare faţă de natură, precum și față de bunăstarea generațiilor viitoare.</w:t>
      </w:r>
    </w:p>
    <w:p w14:paraId="55675CA4" w14:textId="77777777" w:rsidR="008C6A37" w:rsidRPr="008C6A37" w:rsidRDefault="008C6A37" w:rsidP="00BC11DC">
      <w:pPr>
        <w:ind w:firstLine="567"/>
        <w:rPr>
          <w:b/>
          <w:i/>
          <w:lang w:val="ro-RO"/>
        </w:rPr>
      </w:pPr>
      <w:r w:rsidRPr="008C6A37">
        <w:rPr>
          <w:b/>
          <w:i/>
          <w:lang w:val="ro-RO"/>
        </w:rPr>
        <w:t>A.9 Elaborarea instrumentelor de reglementare pentru direcționarea investițiilor către fondul destinat proiectelor de reconstrucție ecologică și renaturare</w:t>
      </w:r>
    </w:p>
    <w:p w14:paraId="7959F0F2" w14:textId="77777777" w:rsidR="008C6A37" w:rsidRPr="008C6A37" w:rsidRDefault="008C6A37" w:rsidP="00BC11DC">
      <w:pPr>
        <w:ind w:firstLine="567"/>
        <w:rPr>
          <w:lang w:val="ro-RO"/>
        </w:rPr>
      </w:pPr>
      <w:r w:rsidRPr="008C6A37">
        <w:rPr>
          <w:lang w:val="ro-RO"/>
        </w:rPr>
        <w:t xml:space="preserve">Prin implementarea acestei acțiuni se urmărește integrarea costurilor de conservare și de refacere a capitalului natural în realizarea politicilor și strategiilor sectoriale, pentru creșterea responsabilității faţă de natură și asigurarea bunăstării generațiilor viitoare.  </w:t>
      </w:r>
    </w:p>
    <w:p w14:paraId="0A7D5DF1" w14:textId="77777777" w:rsidR="008C6A37" w:rsidRPr="008C6A37" w:rsidRDefault="008C6A37" w:rsidP="00BC11DC">
      <w:pPr>
        <w:ind w:firstLine="567"/>
        <w:rPr>
          <w:b/>
          <w:i/>
          <w:lang w:val="ro-RO"/>
        </w:rPr>
      </w:pPr>
      <w:r w:rsidRPr="008C6A37">
        <w:rPr>
          <w:b/>
          <w:i/>
          <w:lang w:val="ro-RO"/>
        </w:rPr>
        <w:t>A.10 Managementul speciilor invazive prin programe de monitorizare a vectorilor și a posibilelor căi de pătrundere, precum și prin măsuri de prevenire a răspândirii acestora (detectare rapidă, inclusiv prin metode ADN)</w:t>
      </w:r>
    </w:p>
    <w:p w14:paraId="06899AEE" w14:textId="77777777" w:rsidR="00BA1C09" w:rsidRPr="008C6A37" w:rsidRDefault="008C6A37" w:rsidP="00BA1C09">
      <w:pPr>
        <w:ind w:firstLine="567"/>
        <w:rPr>
          <w:lang w:val="ro-RO"/>
        </w:rPr>
      </w:pPr>
      <w:r w:rsidRPr="008C6A37">
        <w:rPr>
          <w:lang w:val="ro-RO"/>
        </w:rPr>
        <w:t>Speciile invazive alohtone reprezintă la ora actuală unul din principalele motive ale alterării profunde a habitatelor naturale, fie că este vorba de mediul terestru sau acvatic (dulcicol și marin), cu consecințe negative, inclusiv de natură socio-economică. Prin implementarea acestei acțiuni se urmărește reducerea la minimum și, dacă este posibil, eliminarea introducerii și stabilirii speciilor invazive terestre, dulcicole sau marine și refacerea/restaurarea ecosistemelor naturale.</w:t>
      </w:r>
    </w:p>
    <w:p w14:paraId="68094EA9" w14:textId="77777777" w:rsidR="008C6A37" w:rsidRPr="008C6A37" w:rsidRDefault="008C6A37" w:rsidP="00920C1F">
      <w:pPr>
        <w:numPr>
          <w:ilvl w:val="0"/>
          <w:numId w:val="3"/>
        </w:numPr>
        <w:ind w:firstLine="567"/>
        <w:rPr>
          <w:b/>
          <w:lang w:val="ro-RO"/>
        </w:rPr>
      </w:pPr>
      <w:bookmarkStart w:id="28" w:name="_heading=h.17dp8vu" w:colFirst="0" w:colLast="0"/>
      <w:bookmarkEnd w:id="28"/>
      <w:r w:rsidRPr="008C6A37">
        <w:rPr>
          <w:b/>
          <w:lang w:val="ro-RO"/>
        </w:rPr>
        <w:t>Prevenirea și limitarea/stoparea poluării</w:t>
      </w:r>
    </w:p>
    <w:p w14:paraId="481B9E0F" w14:textId="77777777" w:rsidR="008C6A37" w:rsidRPr="008C6A37" w:rsidRDefault="008C6A37" w:rsidP="00BC11DC">
      <w:pPr>
        <w:ind w:firstLine="567"/>
        <w:rPr>
          <w:lang w:val="ro-RO"/>
        </w:rPr>
      </w:pPr>
      <w:r w:rsidRPr="008C6A37">
        <w:rPr>
          <w:lang w:val="ro-RO"/>
        </w:rPr>
        <w:t>Această direcție cuprinde pe de o parte acțiuni, de natură legislativă, tehnică (îmbunătățirea infrastructurii) și de cercetare, inclusiv monitorizare, în scopul reducerii poluării și creșterii cunoașterii efectelor asupra componentelor ecosistemului costier, precum și acțiuni ce vizează remedierea/refacerea siturilor poluate.</w:t>
      </w:r>
    </w:p>
    <w:p w14:paraId="668B782B" w14:textId="77777777" w:rsidR="008C6A37" w:rsidRPr="008C6A37" w:rsidRDefault="008C6A37" w:rsidP="00BC11DC">
      <w:pPr>
        <w:ind w:firstLine="567"/>
        <w:rPr>
          <w:b/>
          <w:i/>
          <w:lang w:val="ro-RO"/>
        </w:rPr>
      </w:pPr>
      <w:r w:rsidRPr="008C6A37">
        <w:rPr>
          <w:b/>
          <w:i/>
          <w:lang w:val="ro-RO"/>
        </w:rPr>
        <w:t xml:space="preserve">B.1 Inițierea și implementarea programelor pentru îndepărtarea deșeurilor marine, din coloana de apă și de pe fundul mării  </w:t>
      </w:r>
    </w:p>
    <w:p w14:paraId="0F8DF7D8" w14:textId="146DC639" w:rsidR="008C6A37" w:rsidRPr="008C6A37" w:rsidRDefault="008C6A37" w:rsidP="00BC11DC">
      <w:pPr>
        <w:ind w:firstLine="567"/>
        <w:rPr>
          <w:lang w:val="ro-RO"/>
        </w:rPr>
      </w:pPr>
      <w:r w:rsidRPr="008C6A37">
        <w:rPr>
          <w:lang w:val="ro-RO"/>
        </w:rPr>
        <w:t>Această acțiune este asociată cu respectarea cerințelor Directivei Cadru privind Strategia pentru Mediul Marin, implementarea eficientă a acestei acțiuni conducând la atingerea, nu doar a obiectivelor prezentei strategii, ci și a Directivei Cadru privind Strategia pentru Mediul Marin (referitoare la Descriptorul 10 – Deșeuri marine). Implementarea acestei acțiuni este în concordanță cu Planul de măsuri pentru atingerea stării ecologice bune a Mediului Marin</w:t>
      </w:r>
      <w:r w:rsidR="00BA434A">
        <w:rPr>
          <w:lang w:val="ro-RO"/>
        </w:rPr>
        <w:t>.</w:t>
      </w:r>
    </w:p>
    <w:p w14:paraId="2E545067" w14:textId="1E23EBF5" w:rsidR="008C6A37" w:rsidRPr="008C6A37" w:rsidRDefault="008C6A37" w:rsidP="00BC11DC">
      <w:pPr>
        <w:ind w:firstLine="567"/>
        <w:rPr>
          <w:b/>
          <w:i/>
          <w:lang w:val="ro-RO"/>
        </w:rPr>
      </w:pPr>
      <w:r w:rsidRPr="008C6A37">
        <w:rPr>
          <w:b/>
          <w:i/>
          <w:lang w:val="ro-RO"/>
        </w:rPr>
        <w:t>B.</w:t>
      </w:r>
      <w:r w:rsidR="00BA434A">
        <w:rPr>
          <w:b/>
          <w:i/>
          <w:lang w:val="ro-RO"/>
        </w:rPr>
        <w:t>2</w:t>
      </w:r>
      <w:r w:rsidRPr="008C6A37">
        <w:rPr>
          <w:b/>
          <w:i/>
          <w:lang w:val="ro-RO"/>
        </w:rPr>
        <w:t xml:space="preserve"> Îmbunătățirea capacității de monitorizare a </w:t>
      </w:r>
      <w:r w:rsidR="009766FF">
        <w:rPr>
          <w:b/>
          <w:i/>
          <w:lang w:val="ro-RO"/>
        </w:rPr>
        <w:t>calității aerului</w:t>
      </w:r>
      <w:r w:rsidRPr="008C6A37">
        <w:rPr>
          <w:b/>
          <w:i/>
          <w:lang w:val="ro-RO"/>
        </w:rPr>
        <w:t>, precum și a depunerilor atmosferice</w:t>
      </w:r>
    </w:p>
    <w:p w14:paraId="739D47CC" w14:textId="7649E348" w:rsidR="008C6A37" w:rsidRPr="008C6A37" w:rsidRDefault="008C6A37" w:rsidP="00BC11DC">
      <w:pPr>
        <w:ind w:firstLine="567"/>
        <w:rPr>
          <w:lang w:val="ro-RO"/>
        </w:rPr>
      </w:pPr>
      <w:r w:rsidRPr="008C6A37">
        <w:rPr>
          <w:lang w:val="ro-RO"/>
        </w:rPr>
        <w:t xml:space="preserve">Implementarea acestei acțiuni va contribui </w:t>
      </w:r>
      <w:r w:rsidR="00B04ADD">
        <w:rPr>
          <w:lang w:val="ro-RO"/>
        </w:rPr>
        <w:t>atât</w:t>
      </w:r>
      <w:r w:rsidRPr="008C6A37">
        <w:rPr>
          <w:lang w:val="ro-RO"/>
        </w:rPr>
        <w:t xml:space="preserve"> la </w:t>
      </w:r>
      <w:r w:rsidR="00B04ADD">
        <w:rPr>
          <w:lang w:val="ro-RO"/>
        </w:rPr>
        <w:t>creșterea capabilităților</w:t>
      </w:r>
      <w:r w:rsidRPr="008C6A37">
        <w:rPr>
          <w:lang w:val="ro-RO"/>
        </w:rPr>
        <w:t xml:space="preserve"> de monitorizare a calității aerului, cu precădere în zona nordică a zonei costiere (</w:t>
      </w:r>
      <w:r w:rsidR="00B04ADD">
        <w:rPr>
          <w:lang w:val="ro-RO"/>
        </w:rPr>
        <w:t>în contextul politic și socio-economic actual ce presupune, printre altele, intensificarea transportului naval pe brațele Dunării, creșterea semnificativă a numărului ambarcațiunilor de agrement și nu numai, în Delta Dunării, etc.</w:t>
      </w:r>
      <w:r w:rsidRPr="008C6A37">
        <w:rPr>
          <w:lang w:val="ro-RO"/>
        </w:rPr>
        <w:t>)</w:t>
      </w:r>
      <w:r w:rsidR="00BB40D3">
        <w:rPr>
          <w:lang w:val="ro-RO"/>
        </w:rPr>
        <w:t xml:space="preserve">. Această acțiune vizează și dezvoltarea unui program de </w:t>
      </w:r>
      <w:r w:rsidRPr="008C6A37">
        <w:rPr>
          <w:lang w:val="ro-RO"/>
        </w:rPr>
        <w:t>monitorizare</w:t>
      </w:r>
      <w:r w:rsidR="00BB40D3">
        <w:rPr>
          <w:lang w:val="ro-RO"/>
        </w:rPr>
        <w:t xml:space="preserve"> </w:t>
      </w:r>
      <w:r w:rsidRPr="008C6A37">
        <w:rPr>
          <w:lang w:val="ro-RO"/>
        </w:rPr>
        <w:t xml:space="preserve">a depunerilor atmosferice în mare, în apele de suprafață, pe soluri, care în prezent este </w:t>
      </w:r>
      <w:r w:rsidR="00BB40D3">
        <w:rPr>
          <w:lang w:val="ro-RO"/>
        </w:rPr>
        <w:t xml:space="preserve">aproape </w:t>
      </w:r>
      <w:r w:rsidR="00BB40D3">
        <w:rPr>
          <w:lang w:val="ro-RO"/>
        </w:rPr>
        <w:lastRenderedPageBreak/>
        <w:t xml:space="preserve">inexistentă, în contextul în care </w:t>
      </w:r>
      <w:r w:rsidRPr="008C6A37">
        <w:rPr>
          <w:lang w:val="ro-RO"/>
        </w:rPr>
        <w:t xml:space="preserve">introducerea de poluanți în mediu, pe această cale, este estimată a fi </w:t>
      </w:r>
      <w:r w:rsidR="00BB40D3">
        <w:rPr>
          <w:lang w:val="ro-RO"/>
        </w:rPr>
        <w:t xml:space="preserve">foarte </w:t>
      </w:r>
      <w:r w:rsidRPr="008C6A37">
        <w:rPr>
          <w:lang w:val="ro-RO"/>
        </w:rPr>
        <w:t>semnificativă (în special pentru mediul marin).</w:t>
      </w:r>
    </w:p>
    <w:p w14:paraId="73D85448" w14:textId="2E86E27A" w:rsidR="008C6A37" w:rsidRPr="008C6A37" w:rsidRDefault="008C6A37" w:rsidP="00BC11DC">
      <w:pPr>
        <w:ind w:firstLine="567"/>
        <w:rPr>
          <w:b/>
          <w:i/>
          <w:lang w:val="ro-RO"/>
        </w:rPr>
      </w:pPr>
      <w:r w:rsidRPr="008C6A37">
        <w:rPr>
          <w:b/>
          <w:i/>
          <w:lang w:val="ro-RO"/>
        </w:rPr>
        <w:t>B.</w:t>
      </w:r>
      <w:r w:rsidR="00BA434A">
        <w:rPr>
          <w:b/>
          <w:i/>
          <w:lang w:val="ro-RO"/>
        </w:rPr>
        <w:t>3</w:t>
      </w:r>
      <w:r w:rsidRPr="008C6A37">
        <w:rPr>
          <w:b/>
          <w:i/>
          <w:lang w:val="ro-RO"/>
        </w:rPr>
        <w:t xml:space="preserve"> Extinderea și modernizarea infrastructurii de canalizare și epurare în partea nordică a zonei costiere, aferentă Deltei Dunării</w:t>
      </w:r>
    </w:p>
    <w:p w14:paraId="4D26376E" w14:textId="77777777" w:rsidR="008C6A37" w:rsidRPr="008C6A37" w:rsidRDefault="008C6A37" w:rsidP="00BC11DC">
      <w:pPr>
        <w:ind w:firstLine="567"/>
        <w:rPr>
          <w:lang w:val="ro-RO"/>
        </w:rPr>
      </w:pPr>
      <w:r w:rsidRPr="008C6A37">
        <w:rPr>
          <w:lang w:val="ro-RO"/>
        </w:rPr>
        <w:t>În partea nordică a zonei costiere, localităţile din RBDD nu au sisteme de canalizare centralizate care să colecteze apele uzate la nivelul întregii localităţi, iar staţiile de epurare existente realizează epurarea mecanică și biologică a apelor menajere la un nivel și eficiență insuficiente. Astfel apare evidentă necesitatea stringentă a implementării acestei acțiuni, care este în deplină concordanță cu obiectivele și acțiunile prevăzute în mai multe strategii și planuri / programe (naționale și locale), precum: Strategia integrată de dezvoltare durabilă a Deltei Dunării 2016-2030; Strategia de dezvoltare teritorială a României 2035 (SDTR); Strategia Națională pentru Dezvoltarea Durabilă a României 2030 (SNDDR); Planul național de management actualizat (2021) aferent porțiunii naționale a bazinului hidrografic internațional al fluviului Dunărea, Planul de management actualizat al fluviului Dunărea, Deltei Dunării, spațiului hidrografic Dobrogea și apelor costiere, etc.</w:t>
      </w:r>
    </w:p>
    <w:p w14:paraId="4E2958BE" w14:textId="4AC8F543" w:rsidR="008C6A37" w:rsidRPr="008C6A37" w:rsidRDefault="008C6A37" w:rsidP="00BC11DC">
      <w:pPr>
        <w:ind w:firstLine="567"/>
        <w:rPr>
          <w:b/>
          <w:i/>
          <w:lang w:val="ro-RO"/>
        </w:rPr>
      </w:pPr>
      <w:r w:rsidRPr="008C6A37">
        <w:rPr>
          <w:b/>
          <w:i/>
          <w:lang w:val="ro-RO"/>
        </w:rPr>
        <w:t>B.</w:t>
      </w:r>
      <w:r w:rsidR="00BA434A">
        <w:rPr>
          <w:b/>
          <w:i/>
          <w:lang w:val="ro-RO"/>
        </w:rPr>
        <w:t>4</w:t>
      </w:r>
      <w:r w:rsidRPr="008C6A37">
        <w:rPr>
          <w:b/>
          <w:i/>
          <w:lang w:val="ro-RO"/>
        </w:rPr>
        <w:t xml:space="preserve"> Dezvoltarea unui program pentru studierea principalelor surse, căi de transport și impactului contaminanților emergenți asupra faunei și omului, precum și dezvoltarea  unui program de monitorizare a acestora</w:t>
      </w:r>
    </w:p>
    <w:p w14:paraId="233E4C70" w14:textId="77777777" w:rsidR="008C6A37" w:rsidRPr="008C6A37" w:rsidRDefault="008C6A37" w:rsidP="00BC11DC">
      <w:pPr>
        <w:ind w:firstLine="567"/>
        <w:rPr>
          <w:lang w:val="ro-RO"/>
        </w:rPr>
      </w:pPr>
      <w:r w:rsidRPr="008C6A37">
        <w:rPr>
          <w:lang w:val="ro-RO"/>
        </w:rPr>
        <w:t>Studierea contaminanților emergenți (surse, căi de transport, efecte, etc.) se află într-o fază incipientă în România, deși în ultimii ani tot mai multe organizații de cercetare și universități au abordat această temă. Această acțiune, deși vizează strict cercetarea, poate contribui la dezvoltarea durabilă a zonei costiere, deoarece odată cu creșterea gradului de cunoaștere a efectelor negative ale contaminanților emergenți asupra stării și funcționării ecosistemelor acvatice, a serviciilor oferite de acestea și, nu în ultimul rând, asupra sănătății omului se creează cadrul necesar pentru elaborarea măsurilor de prevenire, limitare/stopare a poluării generate de aceste clase de compuși chimici.</w:t>
      </w:r>
    </w:p>
    <w:p w14:paraId="28072F3E" w14:textId="4A0ECE48" w:rsidR="008C6A37" w:rsidRPr="008C6A37" w:rsidRDefault="008C6A37" w:rsidP="00BC11DC">
      <w:pPr>
        <w:ind w:firstLine="567"/>
        <w:rPr>
          <w:b/>
          <w:i/>
          <w:lang w:val="ro-RO"/>
        </w:rPr>
      </w:pPr>
      <w:r w:rsidRPr="008C6A37">
        <w:rPr>
          <w:b/>
          <w:i/>
          <w:lang w:val="ro-RO"/>
        </w:rPr>
        <w:t>B.</w:t>
      </w:r>
      <w:r w:rsidR="00BA434A">
        <w:rPr>
          <w:b/>
          <w:i/>
          <w:lang w:val="ro-RO"/>
        </w:rPr>
        <w:t>5</w:t>
      </w:r>
      <w:r w:rsidRPr="008C6A37">
        <w:rPr>
          <w:b/>
          <w:i/>
          <w:lang w:val="ro-RO"/>
        </w:rPr>
        <w:t xml:space="preserve"> </w:t>
      </w:r>
      <w:r w:rsidR="00BA434A">
        <w:rPr>
          <w:b/>
          <w:i/>
          <w:lang w:val="ro-RO"/>
        </w:rPr>
        <w:t>Gestionarea</w:t>
      </w:r>
      <w:r w:rsidRPr="008C6A37">
        <w:rPr>
          <w:b/>
          <w:i/>
          <w:lang w:val="ro-RO"/>
        </w:rPr>
        <w:t xml:space="preserve"> siturilor contaminate și potențial contaminate din zona costieră </w:t>
      </w:r>
    </w:p>
    <w:p w14:paraId="36AC2D19" w14:textId="77777777" w:rsidR="008C6A37" w:rsidRPr="008C6A37" w:rsidRDefault="008C6A37" w:rsidP="00BC11DC">
      <w:pPr>
        <w:ind w:firstLine="567"/>
        <w:rPr>
          <w:lang w:val="ro-RO"/>
        </w:rPr>
      </w:pPr>
      <w:r w:rsidRPr="008C6A37">
        <w:rPr>
          <w:lang w:val="ro-RO"/>
        </w:rPr>
        <w:t xml:space="preserve">Acțiunea propusă este în concordanță cu obiectivele Strategiei naționale și Planului național  pentru gestionarea siturilor contaminate din România (din 19 august 2015). Prin implementarea acestei acțiuni se va realiza o actualizare a siturilor contaminate și potențial contaminate din zona costieră, ultima actualizare în România datând din 2013. Metodologiile de remediere și monitorizare post remediere ale acestor situri, precum și criteriile de prioritizare sunt clare și sunt prevăzute în legislația în vigoare (Legea nr. 74 din 25 aprilie 2019 privind gestionarea siturilor potențial contaminate și a celor contaminate, Ordinul nr. 267/346/2021 privind aprobarea Metodologiei de remediere a siturilor contaminate), dar prin implementarea acestei acțiuni se urmărește dezvoltarea de tehnologii noi, inovative, sustenabile pentru remedierea acestor situri, precum și creșterea capacității de monitorizare post remediere prin folosirea de tehnici noi, moderne și cost-eficiente. </w:t>
      </w:r>
    </w:p>
    <w:p w14:paraId="064AEE2E" w14:textId="4AF320E1" w:rsidR="008C6A37" w:rsidRPr="008C6A37" w:rsidRDefault="008C6A37" w:rsidP="00BC11DC">
      <w:pPr>
        <w:ind w:firstLine="567"/>
        <w:rPr>
          <w:b/>
          <w:i/>
          <w:lang w:val="ro-RO"/>
        </w:rPr>
      </w:pPr>
      <w:r w:rsidRPr="008C6A37">
        <w:rPr>
          <w:b/>
          <w:i/>
          <w:lang w:val="ro-RO"/>
        </w:rPr>
        <w:t>B.</w:t>
      </w:r>
      <w:r w:rsidR="00BA434A">
        <w:rPr>
          <w:b/>
          <w:i/>
          <w:lang w:val="ro-RO"/>
        </w:rPr>
        <w:t xml:space="preserve">6 </w:t>
      </w:r>
      <w:r w:rsidRPr="008C6A37">
        <w:rPr>
          <w:b/>
          <w:i/>
          <w:lang w:val="ro-RO"/>
        </w:rPr>
        <w:t>Dezvoltarea infrastructurii verzi în zona carierelor active de calcare și șisturi verzi (zona Tașaul-Luminița)</w:t>
      </w:r>
    </w:p>
    <w:p w14:paraId="03A002E0" w14:textId="77777777" w:rsidR="008C6A37" w:rsidRPr="008C6A37" w:rsidRDefault="008C6A37" w:rsidP="00BC11DC">
      <w:pPr>
        <w:ind w:firstLine="567"/>
        <w:rPr>
          <w:lang w:val="ro-RO"/>
        </w:rPr>
      </w:pPr>
      <w:r w:rsidRPr="008C6A37">
        <w:rPr>
          <w:lang w:val="ro-RO"/>
        </w:rPr>
        <w:lastRenderedPageBreak/>
        <w:t xml:space="preserve">În zona Tașaul-Luminița sunt active în prezent două licențe de concesiune pentru exploatarea calcarului industrial și de construcții și un permis de exploatare a acestuia. Exploatarea calcarelor și șisturilor verzi este o activitate cu un puternic impact negativ atât asupra biodiversității, peisajului, calității aerului, apelor de suprafață (lacurile Tașaul și Corbu), solului, cât și asupra sănătății umane. Măsurile luate de către operatorii economici în vederea minimizării impactului negativ nu sunt suficiente, astfel încât se impune implementarea acestei acțiuni în vederea reducerii poluării atmosferice și, indirect, a apelor de suprafață și solului, precum și a creșterii gradului de protecție a biodiversității ținând cont de faptul că această activitate se desfășoară în situl Natura 2000 ROSPA 0060 Lacurile Tașaul – Corbu. </w:t>
      </w:r>
    </w:p>
    <w:p w14:paraId="2C9B0CA4" w14:textId="1D84DC04" w:rsidR="008C6A37" w:rsidRPr="008C6A37" w:rsidRDefault="008C6A37" w:rsidP="00BC11DC">
      <w:pPr>
        <w:ind w:firstLine="567"/>
        <w:rPr>
          <w:b/>
          <w:i/>
          <w:lang w:val="ro-RO"/>
        </w:rPr>
      </w:pPr>
      <w:r w:rsidRPr="008C6A37">
        <w:rPr>
          <w:b/>
          <w:i/>
          <w:lang w:val="ro-RO"/>
        </w:rPr>
        <w:t>B.</w:t>
      </w:r>
      <w:r w:rsidR="00BA434A">
        <w:rPr>
          <w:b/>
          <w:i/>
          <w:lang w:val="ro-RO"/>
        </w:rPr>
        <w:t>7</w:t>
      </w:r>
      <w:r w:rsidRPr="008C6A37">
        <w:rPr>
          <w:b/>
          <w:i/>
          <w:lang w:val="ro-RO"/>
        </w:rPr>
        <w:t xml:space="preserve"> Restaurarea ecologică a lacurilor urbane în scopul valorificării potențialului lor natural și turistic (lacurile Tăbăcărie, Costinești, Belona, Neptun, etc.)</w:t>
      </w:r>
    </w:p>
    <w:p w14:paraId="5340AB12" w14:textId="77777777" w:rsidR="008C6A37" w:rsidRPr="008C6A37" w:rsidRDefault="008C6A37" w:rsidP="00BC11DC">
      <w:pPr>
        <w:ind w:firstLine="567"/>
        <w:rPr>
          <w:lang w:val="ro-RO"/>
        </w:rPr>
      </w:pPr>
      <w:r w:rsidRPr="008C6A37">
        <w:rPr>
          <w:lang w:val="ro-RO"/>
        </w:rPr>
        <w:t xml:space="preserve">Lacurile urbane din zona costieră sunt ecosisteme supuse unor presiuni antropice semnificative și continue. Restaurare lor ecologică a fost în permanență un subiect fierbinte de dezbatere, în special în rândul societății civile. Totuși, de-a lungul timpul, autoritățile locale și cele centrale competente au fost relativ indiferente, măsurile și acțiunile vizând restaurarea acestor lacuri au fost destul de sporadice, de cele mai multe ori limitându-se doar la campanii de ecologizare. Prin implementarea acestei acțiuni, într-o serie de lacuri urbane din zona costieră se vor identifica, testa și aplica soluții ecologice reducerea/stoparea aportului de poluanți, materie organică și deșeuri în lacurile urbane, precum și pentru restaurarea acestora. </w:t>
      </w:r>
    </w:p>
    <w:p w14:paraId="72EFB3EB" w14:textId="52097D1D" w:rsidR="008C6A37" w:rsidRPr="008C6A37" w:rsidRDefault="008C6A37" w:rsidP="00BC11DC">
      <w:pPr>
        <w:ind w:firstLine="567"/>
        <w:rPr>
          <w:b/>
          <w:i/>
          <w:lang w:val="ro-RO"/>
        </w:rPr>
      </w:pPr>
      <w:r w:rsidRPr="008C6A37">
        <w:rPr>
          <w:b/>
          <w:i/>
          <w:lang w:val="ro-RO"/>
        </w:rPr>
        <w:t>B.</w:t>
      </w:r>
      <w:r w:rsidR="00BA434A">
        <w:rPr>
          <w:b/>
          <w:i/>
          <w:lang w:val="ro-RO"/>
        </w:rPr>
        <w:t>8</w:t>
      </w:r>
      <w:r w:rsidRPr="008C6A37">
        <w:rPr>
          <w:b/>
          <w:i/>
          <w:lang w:val="ro-RO"/>
        </w:rPr>
        <w:t xml:space="preserve"> Inițierea și implementarea de programe pentru îmbunătățirea infrastructurii de gestionare a deșeurilor </w:t>
      </w:r>
    </w:p>
    <w:p w14:paraId="70D62B2A" w14:textId="77777777" w:rsidR="008C6A37" w:rsidRPr="008C6A37" w:rsidRDefault="008C6A37" w:rsidP="00BC11DC">
      <w:pPr>
        <w:ind w:firstLine="567"/>
        <w:rPr>
          <w:lang w:val="ro-RO"/>
        </w:rPr>
      </w:pPr>
      <w:r w:rsidRPr="008C6A37">
        <w:rPr>
          <w:lang w:val="ro-RO"/>
        </w:rPr>
        <w:t>În ciuda existenței a numeroase reglementări legislative, strategii și planuri de management a deșeurilor la nivel național (Strategia Națională privind Gestionarea Deșeurilor, Planul Național privind gestionarea deșeurilor) și local (Planurile județene de gestionare a deșeurilor - Constanța și Tulcea), problema introducerii deșeurilor în mediu încă persistă în zona costieră.</w:t>
      </w:r>
    </w:p>
    <w:p w14:paraId="6342E091" w14:textId="77777777" w:rsidR="008C6A37" w:rsidRPr="008C6A37" w:rsidRDefault="008C6A37" w:rsidP="00BC11DC">
      <w:pPr>
        <w:ind w:firstLine="567"/>
        <w:rPr>
          <w:lang w:val="ro-RO"/>
        </w:rPr>
      </w:pPr>
      <w:r w:rsidRPr="008C6A37">
        <w:rPr>
          <w:lang w:val="ro-RO"/>
        </w:rPr>
        <w:t>Acțiunea propusă este în concordanță cu acțiunile și obiectivele Planului Național de Gestionare a Deșeurilor și, în mod specific, cu cele ale Planurilor Județene de Gestionare a Deșeurilor (Constanța și Tulcea). Această acțiune este de tip tehnic, vizând îmbunătățirea infrastructurii de colectare, depozitare și tratare a deșeurilor în zona costieră.</w:t>
      </w:r>
    </w:p>
    <w:p w14:paraId="17AE13B0" w14:textId="77777777" w:rsidR="008C6A37" w:rsidRPr="008C6A37" w:rsidRDefault="008C6A37" w:rsidP="00920C1F">
      <w:pPr>
        <w:numPr>
          <w:ilvl w:val="0"/>
          <w:numId w:val="3"/>
        </w:numPr>
        <w:ind w:firstLine="567"/>
        <w:rPr>
          <w:b/>
          <w:lang w:val="ro-RO"/>
        </w:rPr>
      </w:pPr>
      <w:r w:rsidRPr="008C6A37">
        <w:rPr>
          <w:b/>
          <w:lang w:val="ro-RO"/>
        </w:rPr>
        <w:t>Prevenirea, controlul și remedierea impacturilor generate de hazardele naturale și antropice</w:t>
      </w:r>
    </w:p>
    <w:p w14:paraId="0C3607D4" w14:textId="77777777" w:rsidR="008C6A37" w:rsidRPr="008C6A37" w:rsidRDefault="008C6A37" w:rsidP="00BC11DC">
      <w:pPr>
        <w:ind w:firstLine="567"/>
        <w:rPr>
          <w:lang w:val="ro-RO"/>
        </w:rPr>
      </w:pPr>
      <w:r w:rsidRPr="008C6A37">
        <w:rPr>
          <w:lang w:val="ro-RO"/>
        </w:rPr>
        <w:t>Această direcție de acțiune are în vedere pe de o parte îmbunătățirea sistemelor de monitorizare a efectelor hazardelor naturale și, pe de altă parte, creșterea capacității de evaluarea a vulnerabilității zonei costiere la fenomenele extreme și a potențialelor riscuri induse de către acestea, în scopul întăririi măsurilor de prevenire, atenuare, adaptare și remediere. În cadrul acestei direcții de acțiune sunt propuse două acțiuni:</w:t>
      </w:r>
    </w:p>
    <w:p w14:paraId="0FD70F09" w14:textId="77777777" w:rsidR="008C6A37" w:rsidRPr="008C6A37" w:rsidRDefault="008C6A37" w:rsidP="00BC11DC">
      <w:pPr>
        <w:ind w:firstLine="567"/>
        <w:rPr>
          <w:b/>
          <w:i/>
          <w:lang w:val="ro-RO"/>
        </w:rPr>
      </w:pPr>
      <w:r w:rsidRPr="008C6A37">
        <w:rPr>
          <w:b/>
          <w:i/>
          <w:lang w:val="ro-RO"/>
        </w:rPr>
        <w:t xml:space="preserve">C.1 Realizarea și aplicarea de soluții moderne, simple și cost-eficiente pentru monitorizarea efectelor hazardelor naturale </w:t>
      </w:r>
    </w:p>
    <w:p w14:paraId="48687687" w14:textId="77777777" w:rsidR="008C6A37" w:rsidRPr="008C6A37" w:rsidRDefault="008C6A37" w:rsidP="00BC11DC">
      <w:pPr>
        <w:ind w:firstLine="567"/>
        <w:rPr>
          <w:lang w:val="ro-RO"/>
        </w:rPr>
      </w:pPr>
      <w:r w:rsidRPr="008C6A37">
        <w:rPr>
          <w:lang w:val="ro-RO"/>
        </w:rPr>
        <w:lastRenderedPageBreak/>
        <w:t>Prin implementarea acestei acțiuni se urmărește dezvoltarea unor instrumente complexe, ușor de utilizat și disponibile oricui, de monitorizare continuă și automată a dinamicii liniei țărmului care să permită decizii informate și bazate pe date în cazul unor intervenții legate de combaterea eroziunii costiere și nu numai. De asemenea, implementarea acțiunii va contribui la dezvoltarea unor instrumente de monitorizare și mecanisme de management al sedimentelor atât în interiorul Deltei Dunării, cât și pe întreg țărmul românesc al Mării Negre.</w:t>
      </w:r>
    </w:p>
    <w:p w14:paraId="6A9803F7" w14:textId="77777777" w:rsidR="008C6A37" w:rsidRPr="008C6A37" w:rsidRDefault="008C6A37" w:rsidP="00BC11DC">
      <w:pPr>
        <w:ind w:firstLine="567"/>
        <w:rPr>
          <w:b/>
          <w:i/>
          <w:lang w:val="ro-RO"/>
        </w:rPr>
      </w:pPr>
      <w:r w:rsidRPr="008C6A37">
        <w:rPr>
          <w:b/>
          <w:i/>
          <w:lang w:val="ro-RO"/>
        </w:rPr>
        <w:t>C.2 Realizarea unei evaluări detaliate a vulnerabilității zonei de coastă la fenomene extreme, identificarea și analizarea riscurilor potențiale și stabilirea de măsuri prioritare de prevenire, atenuare, adaptare și remediere</w:t>
      </w:r>
    </w:p>
    <w:p w14:paraId="64DCFC49" w14:textId="77777777" w:rsidR="008C6A37" w:rsidRPr="008C6A37" w:rsidRDefault="008C6A37" w:rsidP="00BC11DC">
      <w:pPr>
        <w:ind w:firstLine="567"/>
        <w:rPr>
          <w:lang w:val="ro-RO"/>
        </w:rPr>
      </w:pPr>
      <w:r w:rsidRPr="008C6A37">
        <w:rPr>
          <w:lang w:val="ro-RO"/>
        </w:rPr>
        <w:t xml:space="preserve">Problemele care rezultă din abordarea și gestionarea inadecvate a hazardelor naturale din zona costieră devin adesea vizibile numai după ce ating anumite proporții cumulative sau în cazul unor dezastre naturale (inundații, secetă, furtuni extreme, etc). Implementarea acestei măsuri este necesară în scopul minimizării daunelor pe care le provoacă hazardele naturale asupra ecosistemelor, infrastructurii și sănătății umane. Acțiunea se aliniază obiectivelor și acțiunilor din Strategia națională privind reducerea efectelor secetei, prevenirea și combaterea degradării terenurilor și deșertificării, pe termen scurt, mediu și lung; Strategia Națională a Riscului de Inundații pe termen mediu și lung, Planul de management al riscului la inundații A.B.A Dobrogea Litoral; Planul național management al riscurilor de dezastre; Planul național de management actualizat aferent porțiunii din bazinul hidrografic internațional al fluviului Dunărea care este cuprinsă în teritoriul României, Planului de management actualizat al fluviului Dunărea, Deltei Dunării, spațiului hidrografic Dobrogea și apelor costiere și Strategiei Naționale pentru Dezvoltarea Durabilă a României 2030 (SNDDR).  </w:t>
      </w:r>
    </w:p>
    <w:p w14:paraId="0CC76965" w14:textId="77777777" w:rsidR="008C6A37" w:rsidRPr="008C6A37" w:rsidRDefault="008C6A37" w:rsidP="00920C1F">
      <w:pPr>
        <w:numPr>
          <w:ilvl w:val="0"/>
          <w:numId w:val="3"/>
        </w:numPr>
        <w:ind w:firstLine="567"/>
        <w:rPr>
          <w:b/>
          <w:lang w:val="ro-RO"/>
        </w:rPr>
      </w:pPr>
      <w:bookmarkStart w:id="29" w:name="_heading=h.3rdcrjn" w:colFirst="0" w:colLast="0"/>
      <w:bookmarkEnd w:id="29"/>
      <w:r w:rsidRPr="008C6A37">
        <w:rPr>
          <w:b/>
          <w:lang w:val="ro-RO"/>
        </w:rPr>
        <w:t>Dezvoltarea economică sustenabilă a zonei costiere</w:t>
      </w:r>
    </w:p>
    <w:p w14:paraId="5922F83E" w14:textId="77777777" w:rsidR="008C6A37" w:rsidRPr="008C6A37" w:rsidRDefault="008C6A37" w:rsidP="00BC11DC">
      <w:pPr>
        <w:ind w:firstLine="567"/>
        <w:rPr>
          <w:lang w:val="ro-RO"/>
        </w:rPr>
      </w:pPr>
      <w:r w:rsidRPr="008C6A37">
        <w:rPr>
          <w:lang w:val="ro-RO"/>
        </w:rPr>
        <w:t xml:space="preserve">În cadrul acestei direcții sunt propuse acțiuni ce contribuie la dezvoltarea economică a zonei prin valorificarea sustenabilă a resurselor sale naturale costiere, precum și sprijinirea sectoarelor economiei verzi / albastre.   </w:t>
      </w:r>
    </w:p>
    <w:p w14:paraId="2D9A5757" w14:textId="77777777" w:rsidR="008C6A37" w:rsidRPr="008C6A37" w:rsidRDefault="008C6A37" w:rsidP="00BC11DC">
      <w:pPr>
        <w:ind w:firstLine="567"/>
        <w:rPr>
          <w:b/>
          <w:i/>
          <w:lang w:val="ro-RO"/>
        </w:rPr>
      </w:pPr>
      <w:r w:rsidRPr="008C6A37">
        <w:rPr>
          <w:b/>
          <w:i/>
          <w:lang w:val="ro-RO"/>
        </w:rPr>
        <w:t>D.1 Consolidarea infrastructurii antreprenoriale locale</w:t>
      </w:r>
    </w:p>
    <w:p w14:paraId="15155EE7" w14:textId="77777777" w:rsidR="008C6A37" w:rsidRPr="008C6A37" w:rsidRDefault="008C6A37" w:rsidP="00BC11DC">
      <w:pPr>
        <w:ind w:firstLine="567"/>
        <w:rPr>
          <w:lang w:val="ro-RO"/>
        </w:rPr>
      </w:pPr>
      <w:r w:rsidRPr="008C6A37">
        <w:rPr>
          <w:lang w:val="ro-RO"/>
        </w:rPr>
        <w:t>Acțiunea propusă se adresează antreprenorilor locali și urmărește consolidarea capacității acestora de a propune, iniția și implementa proiecte inovative, verzi / albastre, care să contribuie la dezvoltarea durabilă a zonei costiere.</w:t>
      </w:r>
    </w:p>
    <w:p w14:paraId="6FE68388" w14:textId="77777777" w:rsidR="008C6A37" w:rsidRPr="008C6A37" w:rsidRDefault="008C6A37" w:rsidP="00BC11DC">
      <w:pPr>
        <w:ind w:firstLine="567"/>
        <w:rPr>
          <w:b/>
          <w:i/>
          <w:lang w:val="ro-RO"/>
        </w:rPr>
      </w:pPr>
      <w:r w:rsidRPr="008C6A37">
        <w:rPr>
          <w:b/>
          <w:i/>
          <w:lang w:val="ro-RO"/>
        </w:rPr>
        <w:t>D.2 Program național de stimulare a întreprinderilor care obțin eticheta ecologică pentru activitatea de cazare turistică</w:t>
      </w:r>
    </w:p>
    <w:p w14:paraId="7950DA69" w14:textId="77777777" w:rsidR="008C6A37" w:rsidRPr="008C6A37" w:rsidRDefault="008C6A37" w:rsidP="00BC11DC">
      <w:pPr>
        <w:ind w:firstLine="567"/>
        <w:rPr>
          <w:lang w:val="ro-RO"/>
        </w:rPr>
      </w:pPr>
      <w:r w:rsidRPr="008C6A37">
        <w:rPr>
          <w:lang w:val="ro-RO"/>
        </w:rPr>
        <w:t>Acțiunea propusă se adresează antreprenorilor locali deținători de structuri de primire turistică având funcțiuni de cazare turistică și care sunt conștienți de importanța oferirii de servicii turistice mai prietenoase cu mediul, contribuind astfel și la  dezvoltarea durabilă a zonei costiere.</w:t>
      </w:r>
    </w:p>
    <w:p w14:paraId="2DD7DE77" w14:textId="77777777" w:rsidR="008C6A37" w:rsidRPr="008C6A37" w:rsidRDefault="008C6A37" w:rsidP="00BC11DC">
      <w:pPr>
        <w:ind w:firstLine="567"/>
        <w:rPr>
          <w:lang w:val="ro-RO"/>
        </w:rPr>
      </w:pPr>
      <w:r w:rsidRPr="008C6A37">
        <w:rPr>
          <w:lang w:val="ro-RO"/>
        </w:rPr>
        <w:t xml:space="preserve">Eticheta ecologică (Ecolabel) este eticheta voluntară oficială a Uniunii Europene pentru excelență privind mediul, care îndrumă consumatorii către produse și servicii durabile, printre care și serviciile de cazare turistică. Întreprinderile din turism primesc această distincție în baza investițiilor realizate, astfel încât să îndeplinească toate criteriile și care să ducă la economisirea </w:t>
      </w:r>
      <w:r w:rsidRPr="008C6A37">
        <w:rPr>
          <w:lang w:val="ro-RO"/>
        </w:rPr>
        <w:lastRenderedPageBreak/>
        <w:t>apei și energiei, reducerea deșeurilor generate și de ameliorare a mediului, aliniindu-se astfel obiectivelor Strategiei Naționale a României pentru Dezvoltarea Turismului 2023-2035 și Strategiei Naționale pentru Dezvoltarea Durabilă a României 2030 (SNDDR).</w:t>
      </w:r>
    </w:p>
    <w:p w14:paraId="4D7E397F" w14:textId="77777777" w:rsidR="008C6A37" w:rsidRPr="008C6A37" w:rsidRDefault="008C6A37" w:rsidP="00BC11DC">
      <w:pPr>
        <w:ind w:firstLine="567"/>
        <w:rPr>
          <w:b/>
          <w:i/>
          <w:lang w:val="ro-RO"/>
        </w:rPr>
      </w:pPr>
      <w:r w:rsidRPr="008C6A37">
        <w:rPr>
          <w:b/>
          <w:i/>
          <w:lang w:val="ro-RO"/>
        </w:rPr>
        <w:t>D.3 Program de stimulare a operatorilor de plaje și de porturi de agrement care reușesc să obțină distincția Blue Flag</w:t>
      </w:r>
    </w:p>
    <w:p w14:paraId="7E7094CD" w14:textId="77777777" w:rsidR="008C6A37" w:rsidRPr="008C6A37" w:rsidRDefault="008C6A37" w:rsidP="00BC11DC">
      <w:pPr>
        <w:ind w:firstLine="567"/>
        <w:rPr>
          <w:lang w:val="ro-RO"/>
        </w:rPr>
      </w:pPr>
      <w:r w:rsidRPr="008C6A37">
        <w:rPr>
          <w:lang w:val="ro-RO"/>
        </w:rPr>
        <w:t>Acțiunea propusă se adresează antreprenorilor locali care au obținut prin licitație publică dreptul de exploatare a unor zone de plaje, pe o perioadă de timp, conform contractului, precum și administratorilor de porturi de agrement.</w:t>
      </w:r>
    </w:p>
    <w:p w14:paraId="40096A3E" w14:textId="77777777" w:rsidR="008C6A37" w:rsidRPr="008C6A37" w:rsidRDefault="008C6A37" w:rsidP="00BC11DC">
      <w:pPr>
        <w:ind w:firstLine="567"/>
        <w:rPr>
          <w:lang w:val="ro-RO"/>
        </w:rPr>
      </w:pPr>
      <w:r w:rsidRPr="008C6A37">
        <w:rPr>
          <w:lang w:val="ro-RO"/>
        </w:rPr>
        <w:t>„Blue Flag” se numără printre cele mai recunoscute etichete ecologice voluntare din lume, acordate plajelor, porturilor turistice și navelor de agrement turistic. Printre avantajele programului se numără: deţinerea unui simbol ecologic (etichetă ecologică), vizibil şi recunoscut la nivel internaţional; posibilitatea utilizării acestui simbol pentru promovare la nivel local, naţional şi internaţional a plajei; atragerea turiștilor străini care caută, cu predilecție, aceste plaje, „Blue Flag”. La nivelul anului 2023, la litoralul românesc sunt doar 6 astfel de plaje și nici un port de agrement, dar prin implementarea acțiunii se urmărește creșterea numărului lor.</w:t>
      </w:r>
    </w:p>
    <w:p w14:paraId="443DAA69" w14:textId="77777777" w:rsidR="008C6A37" w:rsidRPr="008C6A37" w:rsidRDefault="008C6A37" w:rsidP="00BC11DC">
      <w:pPr>
        <w:ind w:firstLine="567"/>
        <w:rPr>
          <w:b/>
          <w:i/>
          <w:lang w:val="ro-RO"/>
        </w:rPr>
      </w:pPr>
      <w:r w:rsidRPr="008C6A37">
        <w:rPr>
          <w:b/>
          <w:i/>
          <w:lang w:val="ro-RO"/>
        </w:rPr>
        <w:t xml:space="preserve">D.4 Inițierea și implementarea unui program de dezvoltare a turismului subacvatic </w:t>
      </w:r>
    </w:p>
    <w:p w14:paraId="0CBF487A" w14:textId="77777777" w:rsidR="008C6A37" w:rsidRPr="008C6A37" w:rsidRDefault="008C6A37" w:rsidP="00BC11DC">
      <w:pPr>
        <w:ind w:firstLine="567"/>
        <w:rPr>
          <w:lang w:val="ro-RO"/>
        </w:rPr>
      </w:pPr>
      <w:r w:rsidRPr="008C6A37">
        <w:rPr>
          <w:lang w:val="ro-RO"/>
        </w:rPr>
        <w:t>Protejarea și conservarea patrimoniului cultural subacvatic reprezintă o prioritate pentru managementul zonei costiere. Promovarea și dezvoltarea turismului subacvatic în zona costieră românească (cu precădere în sudul zonei costiere), pe lângă o diversificare a ofertei turistice, poate asigura și o creștere a gradului de protecției patrimoniului cultural subacvatic, precum și a celui natural (habitate marine) în condițiile unei reglementări optime a cadrului legislativ referitor la acest tip de activitate turistică. Această acțiune este în concordanță și cu obiectivele Planului național de amenajare spațială maritimă, care promovează această utilizare multiplă a spațiului maritim (turism - patrimoniu cultural subacvatic).</w:t>
      </w:r>
    </w:p>
    <w:p w14:paraId="214C2AFE" w14:textId="77777777" w:rsidR="008C6A37" w:rsidRPr="008C6A37" w:rsidRDefault="008C6A37" w:rsidP="00BC11DC">
      <w:pPr>
        <w:ind w:firstLine="567"/>
        <w:rPr>
          <w:b/>
          <w:i/>
          <w:lang w:val="ro-RO"/>
        </w:rPr>
      </w:pPr>
      <w:r w:rsidRPr="008C6A37">
        <w:rPr>
          <w:b/>
          <w:i/>
          <w:lang w:val="ro-RO"/>
        </w:rPr>
        <w:t>D.5 Identificarea măsurilor pentru reabilitarea stocurilor de pești cu valoare comercială, încurajarea  și susținerea implementării procedurilor/tehnicilor și tehnologiilor de pescuit sustenabil prin acordarea de stimulente</w:t>
      </w:r>
    </w:p>
    <w:p w14:paraId="021A0E5F" w14:textId="77777777" w:rsidR="008C6A37" w:rsidRPr="008C6A37" w:rsidRDefault="008C6A37" w:rsidP="00BC11DC">
      <w:pPr>
        <w:ind w:firstLine="567"/>
        <w:rPr>
          <w:lang w:val="ro-RO"/>
        </w:rPr>
      </w:pPr>
      <w:r w:rsidRPr="008C6A37">
        <w:rPr>
          <w:lang w:val="ro-RO"/>
        </w:rPr>
        <w:t>Identificarea căilor și măsurilor, precum și elaborarea suportului legislativ, pentru reabilitarea/refacerea stocurilor de pești cu valoare ecologică și economică, dintre care unele aflate în prezent într-o stare de conservare precară (sturionii, calcanul, scrumbia, etc.), este o prioritate de nivel regional. Această acțiune este în corelare cu Strategia Națională de Pescuit și Acvacultura 2020-2027, care recomandă dirijarea fondurilor alocate și liniile de acţiuni/măsuri de intervenţie a statului.</w:t>
      </w:r>
    </w:p>
    <w:p w14:paraId="3CA5F98D" w14:textId="77777777" w:rsidR="008C6A37" w:rsidRPr="008C6A37" w:rsidRDefault="008C6A37" w:rsidP="00BC11DC">
      <w:pPr>
        <w:ind w:firstLine="567"/>
        <w:rPr>
          <w:b/>
          <w:i/>
          <w:lang w:val="ro-RO"/>
        </w:rPr>
      </w:pPr>
      <w:r w:rsidRPr="008C6A37">
        <w:rPr>
          <w:b/>
          <w:i/>
          <w:lang w:val="ro-RO"/>
        </w:rPr>
        <w:t>D.6 Realizarea programelor de dezvoltarea a acvaculturii costiere (marine, terestre) prietenoase cu mediul</w:t>
      </w:r>
    </w:p>
    <w:p w14:paraId="4663620D" w14:textId="77777777" w:rsidR="008C6A37" w:rsidRPr="008C6A37" w:rsidRDefault="008C6A37" w:rsidP="00BC11DC">
      <w:pPr>
        <w:ind w:firstLine="567"/>
        <w:rPr>
          <w:lang w:val="ro-RO"/>
        </w:rPr>
      </w:pPr>
      <w:r w:rsidRPr="008C6A37">
        <w:rPr>
          <w:lang w:val="ro-RO"/>
        </w:rPr>
        <w:t xml:space="preserve">Implementarea acestei acțiuni va conduce la o planificare adecvată a activităților și locațiilor pentru acvacultură în raport cu alte utilizări ale spațiului maritim aferent zonei costiere, precum și la îmbunătățirea sistemului de trasabilitate în vederea asigurării calității produselor obținute. </w:t>
      </w:r>
    </w:p>
    <w:p w14:paraId="6DB576AB" w14:textId="77777777" w:rsidR="008C6A37" w:rsidRPr="008C6A37" w:rsidRDefault="008C6A37" w:rsidP="00BC11DC">
      <w:pPr>
        <w:ind w:firstLine="567"/>
        <w:rPr>
          <w:b/>
          <w:i/>
          <w:lang w:val="ro-RO"/>
        </w:rPr>
      </w:pPr>
      <w:r w:rsidRPr="008C6A37">
        <w:rPr>
          <w:b/>
          <w:i/>
          <w:lang w:val="ro-RO"/>
        </w:rPr>
        <w:lastRenderedPageBreak/>
        <w:t>D.7 Dezvoltarea infrastructurii pescărești și utilizarea de mijloace de pescuit (ambarcațiuni, echipamente și unelte) prietenoase cu mediul pentru evitarea deteriorării substratului marin și diminuarea presiunii asupra mediului</w:t>
      </w:r>
    </w:p>
    <w:p w14:paraId="6596782D" w14:textId="77777777" w:rsidR="008C6A37" w:rsidRPr="008C6A37" w:rsidRDefault="008C6A37" w:rsidP="00BC11DC">
      <w:pPr>
        <w:ind w:firstLine="567"/>
        <w:rPr>
          <w:lang w:val="ro-RO"/>
        </w:rPr>
      </w:pPr>
      <w:r w:rsidRPr="008C6A37">
        <w:rPr>
          <w:lang w:val="ro-RO"/>
        </w:rPr>
        <w:t>Implementarea acestei acțiuni, aliniate obiectivelor și măsurilor propuse în Strategia Națională de Pescuit și Acvacultura a României 2020 – 2027 constă în:</w:t>
      </w:r>
    </w:p>
    <w:p w14:paraId="588D5281" w14:textId="77777777" w:rsidR="008C6A37" w:rsidRPr="008C6A37" w:rsidRDefault="008C6A37" w:rsidP="00BC11DC">
      <w:pPr>
        <w:ind w:firstLine="567"/>
        <w:rPr>
          <w:lang w:val="ro-RO"/>
        </w:rPr>
      </w:pPr>
      <w:r w:rsidRPr="008C6A37">
        <w:rPr>
          <w:lang w:val="ro-RO"/>
        </w:rPr>
        <w:t>- elaborarea și implementarea programelor pentru modernizarea ambarcaţiunilor de pescuit, dotarea cu echipamente de navigaţie şi plase de pescuit specializate, diferenţiat pe specii de peşte;</w:t>
      </w:r>
    </w:p>
    <w:p w14:paraId="40A2F7E1" w14:textId="77777777" w:rsidR="008C6A37" w:rsidRPr="008C6A37" w:rsidRDefault="008C6A37" w:rsidP="00BC11DC">
      <w:pPr>
        <w:ind w:firstLine="567"/>
        <w:rPr>
          <w:lang w:val="ro-RO"/>
        </w:rPr>
      </w:pPr>
      <w:r w:rsidRPr="008C6A37">
        <w:rPr>
          <w:lang w:val="ro-RO"/>
        </w:rPr>
        <w:t>- elaborarea și implementarea programelor privind modernizarea uneltelor de pescuit, respectiv achiziţia de noi unelte, schimbarea motoarelor  ambarcaţiunilor;</w:t>
      </w:r>
    </w:p>
    <w:p w14:paraId="470C447C" w14:textId="77777777" w:rsidR="008C6A37" w:rsidRPr="008C6A37" w:rsidRDefault="008C6A37" w:rsidP="00BC11DC">
      <w:pPr>
        <w:ind w:firstLine="567"/>
        <w:rPr>
          <w:lang w:val="ro-RO"/>
        </w:rPr>
      </w:pPr>
      <w:r w:rsidRPr="008C6A37">
        <w:rPr>
          <w:lang w:val="ro-RO"/>
        </w:rPr>
        <w:t>- îmbunătățirea bazei logistice prin retehnologizare şi modernizarea infrastructurii, achiziționarea de echipamente moderne și soft-uri specializate pentru standardizarea metodelor de pescuit și procesarea datelor de producție.</w:t>
      </w:r>
    </w:p>
    <w:p w14:paraId="3CAC2968" w14:textId="77777777" w:rsidR="008C6A37" w:rsidRPr="008C6A37" w:rsidRDefault="008C6A37" w:rsidP="00BC11DC">
      <w:pPr>
        <w:ind w:firstLine="567"/>
        <w:rPr>
          <w:b/>
          <w:i/>
          <w:lang w:val="ro-RO"/>
        </w:rPr>
      </w:pPr>
      <w:r w:rsidRPr="008C6A37">
        <w:rPr>
          <w:b/>
          <w:i/>
          <w:lang w:val="ro-RO"/>
        </w:rPr>
        <w:t>D.8 Realizarea de programe  / proiecte pentru reabilitarea activităților tradiționale și valorificarea resursei stuficole din Delta Dunării</w:t>
      </w:r>
    </w:p>
    <w:p w14:paraId="33BD44E3" w14:textId="77777777" w:rsidR="008C6A37" w:rsidRPr="008C6A37" w:rsidRDefault="008C6A37" w:rsidP="00BC11DC">
      <w:pPr>
        <w:ind w:firstLine="567"/>
        <w:rPr>
          <w:lang w:val="ro-RO"/>
        </w:rPr>
      </w:pPr>
      <w:r w:rsidRPr="008C6A37">
        <w:rPr>
          <w:lang w:val="ro-RO"/>
        </w:rPr>
        <w:t xml:space="preserve">Stuful reprezintă o resursă foarte importantă a Deltei Dunării, cu potențial ridicat de valorificare atât în scop comercial, cât și gospodăresc. Implementarea acțiunii propuse va asigura promovarea  unor metode variate de valorificare a resursei stuficole, atât ca biomasă, cât și ca material de construcție tradițional. De asemenea, implementarea acestei măsuri va avea efecte benefice asupra habitatelor naturale din Delta Dunării, prin prevenirea fenomenului de “îmbătrânire“ a stufăriilor. </w:t>
      </w:r>
    </w:p>
    <w:p w14:paraId="7F088497" w14:textId="77777777" w:rsidR="008C6A37" w:rsidRPr="008C6A37" w:rsidRDefault="008C6A37" w:rsidP="00BC11DC">
      <w:pPr>
        <w:ind w:firstLine="567"/>
        <w:rPr>
          <w:b/>
          <w:i/>
          <w:lang w:val="ro-RO"/>
        </w:rPr>
      </w:pPr>
      <w:r w:rsidRPr="008C6A37">
        <w:rPr>
          <w:b/>
          <w:i/>
          <w:lang w:val="ro-RO"/>
        </w:rPr>
        <w:t>D.9 Implementarea de programe de conștientizare și susținere a producătorilor agricoli privind beneficiile aplicării în  practică a noilor politici agricole</w:t>
      </w:r>
    </w:p>
    <w:p w14:paraId="04D383AE" w14:textId="77777777" w:rsidR="008C6A37" w:rsidRPr="008C6A37" w:rsidRDefault="008C6A37" w:rsidP="00BC11DC">
      <w:pPr>
        <w:ind w:firstLine="567"/>
        <w:rPr>
          <w:lang w:val="ro-RO"/>
        </w:rPr>
      </w:pPr>
      <w:r w:rsidRPr="008C6A37">
        <w:rPr>
          <w:lang w:val="ro-RO"/>
        </w:rPr>
        <w:t>Implementarea acestei acțiuni va duce la eficientizarea producției agricole, obținerea unor produse de calitate care să poată fi valorificate pe piețele locale, în special pe perioada sezonului estival, contribuind astfel la reducerea amprentei de carbon și la încadrarea agriculturii în standardele de sustenabilitate impuse de această strategie.</w:t>
      </w:r>
    </w:p>
    <w:p w14:paraId="416F5033" w14:textId="77777777" w:rsidR="008C6A37" w:rsidRPr="008C6A37" w:rsidRDefault="008C6A37" w:rsidP="00BC11DC">
      <w:pPr>
        <w:ind w:firstLine="567"/>
        <w:rPr>
          <w:b/>
          <w:i/>
          <w:lang w:val="ro-RO"/>
        </w:rPr>
      </w:pPr>
      <w:r w:rsidRPr="008C6A37">
        <w:rPr>
          <w:b/>
          <w:i/>
          <w:lang w:val="ro-RO"/>
        </w:rPr>
        <w:t>D.10 Implementarea proiectelor de transport fluvial verde în Delta Dunării</w:t>
      </w:r>
    </w:p>
    <w:p w14:paraId="666491E3" w14:textId="77777777" w:rsidR="008C6A37" w:rsidRPr="008C6A37" w:rsidRDefault="008C6A37" w:rsidP="00BC11DC">
      <w:pPr>
        <w:ind w:firstLine="567"/>
        <w:rPr>
          <w:lang w:val="ro-RO"/>
        </w:rPr>
      </w:pPr>
      <w:r w:rsidRPr="008C6A37">
        <w:rPr>
          <w:lang w:val="ro-RO"/>
        </w:rPr>
        <w:t>Transportul fluvial, principala formă de transport în Delta Dunării, determină o presiune semnificativă asupra ecosistemului deltaic, în mare parte ca urmare a unei flote de ambarcațiuni învechită, uzată folosită pentru transportul de persoane, marfă, precum și în activități de agrement. În vederea reducerii poluării atmosferice, a apelor de suprafață (scurgeri de combustibil) și fonice apare necesară orientarea spre un transport verde, bazat pe surse neconvenționale de energie. Implementarea acțiunii va include dezvoltarea unor proiecte pilot pentru testarea unor soluțiii de transport bazat pe surse neconvenționale, precum și identificarea unor mecanisme financiare de stimulare a“transportului verde”.</w:t>
      </w:r>
    </w:p>
    <w:p w14:paraId="3B3D97BE" w14:textId="77777777" w:rsidR="008C6A37" w:rsidRPr="008C6A37" w:rsidRDefault="008C6A37" w:rsidP="00BC11DC">
      <w:pPr>
        <w:ind w:firstLine="567"/>
        <w:rPr>
          <w:b/>
          <w:i/>
          <w:lang w:val="ro-RO"/>
        </w:rPr>
      </w:pPr>
      <w:r w:rsidRPr="008C6A37">
        <w:rPr>
          <w:b/>
          <w:i/>
          <w:lang w:val="ro-RO"/>
        </w:rPr>
        <w:t>D.11 Evaluarea potențialului de valorificare a resurselor energetice regenerabile din zonă: energia eoliană, “inshore” și „offshore”, energia valurilor, fotovoltaică, etc.</w:t>
      </w:r>
    </w:p>
    <w:p w14:paraId="44F32B8A" w14:textId="77777777" w:rsidR="008C6A37" w:rsidRPr="008C6A37" w:rsidRDefault="008C6A37" w:rsidP="00BC11DC">
      <w:pPr>
        <w:ind w:firstLine="567"/>
        <w:rPr>
          <w:lang w:val="ro-RO"/>
        </w:rPr>
      </w:pPr>
      <w:r w:rsidRPr="008C6A37">
        <w:rPr>
          <w:lang w:val="ro-RO"/>
        </w:rPr>
        <w:lastRenderedPageBreak/>
        <w:t xml:space="preserve">Implementarea acestei acțiuni vine în sprijinul îndeplinirii obiectivelor Planului Național Integrat în domeniul Energiei și Schimbărilor Climatice (PNIESC) 2021-2030 și Strategiei Naționale pentru Dezvoltarea Durabilă a României 2030 (SNDDR). Implementarea acestei acțiuni are ca scop susținerea și promovarea producerii de energie din surse alternative, regenerabile și nepoluante. </w:t>
      </w:r>
    </w:p>
    <w:p w14:paraId="3FDA2CF7" w14:textId="77777777" w:rsidR="008C6A37" w:rsidRPr="008C6A37" w:rsidRDefault="008C6A37" w:rsidP="00BC11DC">
      <w:pPr>
        <w:ind w:firstLine="567"/>
        <w:rPr>
          <w:b/>
          <w:i/>
          <w:lang w:val="ro-RO"/>
        </w:rPr>
      </w:pPr>
      <w:r w:rsidRPr="008C6A37">
        <w:rPr>
          <w:b/>
          <w:i/>
          <w:lang w:val="ro-RO"/>
        </w:rPr>
        <w:t>D.12 Susținerea și dezvoltarea de noi instrumente (centre de excelență, proiecte pilot, servicii de extensie oferite de către universități, etc) pentru transferul cunoștințelor  din cercetare spre business în sectoarele Blue Economy (ex. acvacultura IMTA - Integrated multitrophic aquaculture - în sistem circular; diversificarea resurselor alimentare din surse marine sau agricole prin utilizarea biotehnologiilor, etc.)</w:t>
      </w:r>
    </w:p>
    <w:p w14:paraId="2FFBE5C9" w14:textId="77777777" w:rsidR="008C6A37" w:rsidRPr="008C6A37" w:rsidRDefault="008C6A37" w:rsidP="00BC11DC">
      <w:pPr>
        <w:ind w:firstLine="567"/>
        <w:rPr>
          <w:lang w:val="ro-RO"/>
        </w:rPr>
      </w:pPr>
      <w:r w:rsidRPr="008C6A37">
        <w:rPr>
          <w:lang w:val="ro-RO"/>
        </w:rPr>
        <w:t>Implementarea acestei acțiuni presupune:</w:t>
      </w:r>
    </w:p>
    <w:p w14:paraId="6DAB12A1" w14:textId="77777777" w:rsidR="008C6A37" w:rsidRPr="008C6A37" w:rsidRDefault="008C6A37" w:rsidP="00BC11DC">
      <w:pPr>
        <w:ind w:firstLine="567"/>
        <w:rPr>
          <w:lang w:val="ro-RO"/>
        </w:rPr>
      </w:pPr>
      <w:r w:rsidRPr="008C6A37">
        <w:rPr>
          <w:lang w:val="ro-RO"/>
        </w:rPr>
        <w:t>-</w:t>
      </w:r>
      <w:r w:rsidRPr="008C6A37">
        <w:rPr>
          <w:lang w:val="ro-RO"/>
        </w:rPr>
        <w:tab/>
        <w:t>intensificarea finanțării inovării, în special prin implementarea platformelor de parteneriate între autorități locale, mediu de afaceri, universități și institute de cercetare, precum și a unor hub-uri/platforme naṭionale de inovare orientate pe Creșterea Albastră;</w:t>
      </w:r>
    </w:p>
    <w:p w14:paraId="56F696AF" w14:textId="77777777" w:rsidR="008C6A37" w:rsidRPr="008C6A37" w:rsidRDefault="008C6A37" w:rsidP="00BC11DC">
      <w:pPr>
        <w:ind w:firstLine="567"/>
        <w:rPr>
          <w:lang w:val="ro-RO"/>
        </w:rPr>
      </w:pPr>
      <w:r w:rsidRPr="008C6A37">
        <w:rPr>
          <w:lang w:val="ro-RO"/>
        </w:rPr>
        <w:t>-</w:t>
      </w:r>
      <w:r w:rsidRPr="008C6A37">
        <w:rPr>
          <w:lang w:val="ro-RO"/>
        </w:rPr>
        <w:tab/>
        <w:t>dezvoltarea instrumentelor/programelor de finanțare și valorificarea rezultatelor cercetării prin transfer tehnologic.</w:t>
      </w:r>
    </w:p>
    <w:p w14:paraId="4CFF9C81" w14:textId="77777777" w:rsidR="008C6A37" w:rsidRPr="008C6A37" w:rsidRDefault="008C6A37" w:rsidP="00BC11DC">
      <w:pPr>
        <w:ind w:firstLine="567"/>
        <w:rPr>
          <w:lang w:val="ro-RO"/>
        </w:rPr>
      </w:pPr>
      <w:r w:rsidRPr="008C6A37">
        <w:rPr>
          <w:b/>
          <w:i/>
          <w:lang w:val="ro-RO"/>
        </w:rPr>
        <w:t>D.13 Dezvoltarea programelor/proiectelor privind porturile “verzi” de la litoralul românesc al Mării Negre</w:t>
      </w:r>
    </w:p>
    <w:p w14:paraId="0523CE0B" w14:textId="77777777" w:rsidR="008C6A37" w:rsidRPr="008C6A37" w:rsidRDefault="008C6A37" w:rsidP="00A92A31">
      <w:pPr>
        <w:ind w:firstLine="567"/>
        <w:rPr>
          <w:lang w:val="ro-RO"/>
        </w:rPr>
      </w:pPr>
      <w:bookmarkStart w:id="30" w:name="_Hlk150376985"/>
      <w:r w:rsidRPr="008C6A37">
        <w:rPr>
          <w:lang w:val="ro-RO"/>
        </w:rPr>
        <w:t xml:space="preserve">Transportul maritim și activitățile portuare, două sectoare economice foarte importante pentru dezvoltarea zonei costiere, contribuie major la emisiile de poluanți atmosferici și, implicit la poluarea apelor costiere și a solului. Implementarea acestei acțiuni presupune dezvoltarea infrastructurii verzi în porturile maritime (perdele forestiere, instalații portuare ce folosesc energie alternativă, instalații de tratare și reciclare a deșeurilor de la nave sau rezulate din activități portuare, etc.) și este </w:t>
      </w:r>
      <w:r w:rsidR="0081695E">
        <w:rPr>
          <w:lang w:val="ro-RO"/>
        </w:rPr>
        <w:t>î</w:t>
      </w:r>
      <w:r w:rsidRPr="008C6A37">
        <w:rPr>
          <w:lang w:val="ro-RO"/>
        </w:rPr>
        <w:t>n concordanță cu măsurile prevăzute în noul Master Plan al portului Constanța.</w:t>
      </w:r>
      <w:bookmarkEnd w:id="30"/>
    </w:p>
    <w:p w14:paraId="49A432EB" w14:textId="77777777" w:rsidR="008C6A37" w:rsidRPr="008C6A37" w:rsidRDefault="008C6A37" w:rsidP="00920C1F">
      <w:pPr>
        <w:numPr>
          <w:ilvl w:val="0"/>
          <w:numId w:val="3"/>
        </w:numPr>
        <w:ind w:firstLine="567"/>
        <w:rPr>
          <w:b/>
          <w:lang w:val="ro-RO"/>
        </w:rPr>
      </w:pPr>
      <w:bookmarkStart w:id="31" w:name="_heading=h.26in1rg" w:colFirst="0" w:colLast="0"/>
      <w:bookmarkEnd w:id="31"/>
      <w:r w:rsidRPr="008C6A37">
        <w:rPr>
          <w:b/>
          <w:lang w:val="ro-RO"/>
        </w:rPr>
        <w:t>Optimizarea cadrului instituțional și procedural al planificării spațiale în zona costieră</w:t>
      </w:r>
    </w:p>
    <w:p w14:paraId="3B4240AE" w14:textId="77777777" w:rsidR="008C6A37" w:rsidRPr="008C6A37" w:rsidRDefault="008C6A37" w:rsidP="00BC11DC">
      <w:pPr>
        <w:ind w:firstLine="567"/>
        <w:rPr>
          <w:lang w:val="ro-RO"/>
        </w:rPr>
      </w:pPr>
      <w:r w:rsidRPr="008C6A37">
        <w:rPr>
          <w:lang w:val="ro-RO"/>
        </w:rPr>
        <w:t>Această direcție de acțiune urmărește creșterea capacității administrațiilor publice locale de a gestiona procesele de planificare spațială în zona costieră prin implementarea în mod adecvat a prevederilor strategiei și a planului integrat de management al zonei costiere în documentațiile de amenajarea teritoriului și urbanism. Direcția urmărește de asemenea o îmbunătățire a coordonării multi-nivel (nivel internațional, național, județean, local) în procesele de inițiere, elaborare, avizare și aprobare a documentațiilor de planificare spațială. În cadrul acestei direcții de acțiune sunt incluse următoarele acțiuni:</w:t>
      </w:r>
    </w:p>
    <w:p w14:paraId="77B82ED8" w14:textId="77777777" w:rsidR="008C6A37" w:rsidRPr="008C6A37" w:rsidRDefault="008C6A37" w:rsidP="00BC11DC">
      <w:pPr>
        <w:ind w:firstLine="567"/>
        <w:rPr>
          <w:b/>
          <w:i/>
          <w:lang w:val="ro-RO"/>
        </w:rPr>
      </w:pPr>
      <w:r w:rsidRPr="008C6A37">
        <w:rPr>
          <w:b/>
          <w:i/>
          <w:lang w:val="ro-RO"/>
        </w:rPr>
        <w:t>E.1 Crearea unui cadru coerent, integrat și sinergic de planificare spațială specific pentru teritoriul transfrontalier și regional</w:t>
      </w:r>
    </w:p>
    <w:p w14:paraId="6FEA1A4A" w14:textId="77777777" w:rsidR="008C6A37" w:rsidRPr="008C6A37" w:rsidRDefault="008C6A37" w:rsidP="00BC11DC">
      <w:pPr>
        <w:ind w:firstLine="567"/>
        <w:rPr>
          <w:lang w:val="ro-RO"/>
        </w:rPr>
      </w:pPr>
      <w:r w:rsidRPr="008C6A37">
        <w:rPr>
          <w:lang w:val="ro-RO"/>
        </w:rPr>
        <w:t>Implementarea acestei acțiuni presupune:</w:t>
      </w:r>
    </w:p>
    <w:p w14:paraId="02FF729C" w14:textId="77777777" w:rsidR="008C6A37" w:rsidRPr="008C6A37" w:rsidRDefault="008C6A37" w:rsidP="00BC11DC">
      <w:pPr>
        <w:ind w:firstLine="567"/>
        <w:rPr>
          <w:lang w:val="ro-RO"/>
        </w:rPr>
      </w:pPr>
      <w:r w:rsidRPr="008C6A37">
        <w:rPr>
          <w:lang w:val="ro-RO"/>
        </w:rPr>
        <w:t>-  elaborarea/actualizarea metodologiei de elaborare a planurilor de amenajare a teritoriului zonal transfrontalier și interjudețean;</w:t>
      </w:r>
    </w:p>
    <w:p w14:paraId="1CDC898A" w14:textId="77777777" w:rsidR="008C6A37" w:rsidRPr="008C6A37" w:rsidRDefault="008C6A37" w:rsidP="00BC11DC">
      <w:pPr>
        <w:ind w:firstLine="567"/>
        <w:rPr>
          <w:lang w:val="ro-RO"/>
        </w:rPr>
      </w:pPr>
      <w:r w:rsidRPr="008C6A37">
        <w:rPr>
          <w:lang w:val="ro-RO"/>
        </w:rPr>
        <w:lastRenderedPageBreak/>
        <w:t>- elaborarea de strategii și planuri de dezvoltare spațială în zonele transfrontaliere și în zona costieră a Mării Negre.</w:t>
      </w:r>
    </w:p>
    <w:p w14:paraId="539535D2" w14:textId="77777777" w:rsidR="008C6A37" w:rsidRPr="008C6A37" w:rsidRDefault="008C6A37" w:rsidP="00BC11DC">
      <w:pPr>
        <w:ind w:firstLine="567"/>
        <w:rPr>
          <w:b/>
          <w:i/>
          <w:lang w:val="ro-RO"/>
        </w:rPr>
      </w:pPr>
      <w:r w:rsidRPr="008C6A37">
        <w:rPr>
          <w:b/>
          <w:i/>
          <w:lang w:val="ro-RO"/>
        </w:rPr>
        <w:t>E.2 Crearea unui cadru coerent și integrat de planificare strategică și planificare spațială la nivel zonal și local, specific zonei costiere</w:t>
      </w:r>
    </w:p>
    <w:p w14:paraId="1E3E9D19" w14:textId="77777777" w:rsidR="008C6A37" w:rsidRPr="008C6A37" w:rsidRDefault="008C6A37" w:rsidP="00BC11DC">
      <w:pPr>
        <w:ind w:firstLine="567"/>
        <w:rPr>
          <w:lang w:val="ro-RO"/>
        </w:rPr>
      </w:pPr>
      <w:r w:rsidRPr="008C6A37">
        <w:rPr>
          <w:lang w:val="ro-RO"/>
        </w:rPr>
        <w:t>Implementarea acestei acțiuni presupune:</w:t>
      </w:r>
    </w:p>
    <w:p w14:paraId="631D7975" w14:textId="77777777" w:rsidR="008C6A37" w:rsidRPr="008C6A37" w:rsidRDefault="008C6A37" w:rsidP="00BC11DC">
      <w:pPr>
        <w:ind w:firstLine="567"/>
        <w:rPr>
          <w:lang w:val="ro-RO"/>
        </w:rPr>
      </w:pPr>
      <w:r w:rsidRPr="008C6A37">
        <w:rPr>
          <w:lang w:val="ro-RO"/>
        </w:rPr>
        <w:t>- elaborarea / actualizarea metodologiei de elaborare a planurilor de amenajare a teritoriului zonal metropolitan / intercomunitar. Această subacțiune se va realiza în corelare cu prevederile viitorului Cod al Amenajării Teritoriului, Urbanismului și Construcțiilor (CATUC);</w:t>
      </w:r>
    </w:p>
    <w:p w14:paraId="7CC9723D" w14:textId="77777777" w:rsidR="008C6A37" w:rsidRPr="008C6A37" w:rsidRDefault="008C6A37" w:rsidP="00BC11DC">
      <w:pPr>
        <w:ind w:firstLine="567"/>
        <w:rPr>
          <w:i/>
          <w:lang w:val="ro-RO"/>
        </w:rPr>
      </w:pPr>
      <w:r w:rsidRPr="008C6A37">
        <w:rPr>
          <w:lang w:val="ro-RO"/>
        </w:rPr>
        <w:t>- elaborarea unui regulament-cadru de urbanism pentru toată zona costieră. Regulamentul cadru va viza cele 19 unități administrativ-teritoriale de bază din zona costieră, se va corela cu Regulamentul general de urbanism (RGU, aprobat prin HG 525 / 1996), cu Regulamentul cadru de urbanism pentru RBDD (aprobat prin HG 1516 / 2008) și va ține cont de specificitățile zonei costiere. Acest regulament cadru va sta la baza elaborării regulamentelor locale de urbanism (RLU) și va ghida elaborarea acestora</w:t>
      </w:r>
      <w:r w:rsidRPr="008C6A37">
        <w:rPr>
          <w:i/>
          <w:lang w:val="ro-RO"/>
        </w:rPr>
        <w:t>;</w:t>
      </w:r>
    </w:p>
    <w:p w14:paraId="57308E36" w14:textId="77777777" w:rsidR="008C6A37" w:rsidRPr="008C6A37" w:rsidRDefault="008C6A37" w:rsidP="00BC11DC">
      <w:pPr>
        <w:ind w:firstLine="567"/>
        <w:rPr>
          <w:lang w:val="ro-RO"/>
        </w:rPr>
      </w:pPr>
      <w:r w:rsidRPr="008C6A37">
        <w:rPr>
          <w:lang w:val="ro-RO"/>
        </w:rPr>
        <w:t>- elaborarea/modificarea documentațiilor de planificare spațială pentru zonele metropolitane, periurbane și rurale din zona costieră (planuri zonale metropolitane, periurbane, intercomunale, planuri urbanistice generale pentru municipii, orașe și comune);</w:t>
      </w:r>
    </w:p>
    <w:p w14:paraId="7CCC97CA" w14:textId="77777777" w:rsidR="008C6A37" w:rsidRPr="008C6A37" w:rsidRDefault="008C6A37" w:rsidP="00BC11DC">
      <w:pPr>
        <w:ind w:firstLine="567"/>
        <w:rPr>
          <w:i/>
          <w:lang w:val="ro-RO"/>
        </w:rPr>
      </w:pPr>
      <w:r w:rsidRPr="008C6A37">
        <w:rPr>
          <w:lang w:val="ro-RO"/>
        </w:rPr>
        <w:t>- modificarea PUZ existente și elaborarea de noi planuri urbanistice zonale pentru zonele critice / sensibile (zona dintre linia apei și linia țărmului, zone istorice, statiuni, zona lacurilor); aceste documentații vor trebui inițiate de autoritățile locale, cu sprijinul consiliilor județene și al ministerului de resort (după caz), pentru acele zone limitrofe țărmului identificate ca fiind vulnerabile, supuse unor presiuni antropice deosebite sau care cuprind valori de patrimoniu, peisaj etc deosebite</w:t>
      </w:r>
      <w:r w:rsidRPr="008C6A37">
        <w:rPr>
          <w:i/>
          <w:lang w:val="ro-RO"/>
        </w:rPr>
        <w:t>.</w:t>
      </w:r>
    </w:p>
    <w:p w14:paraId="4FE808FB" w14:textId="77777777" w:rsidR="008C6A37" w:rsidRPr="008C6A37" w:rsidRDefault="008C6A37" w:rsidP="00BC11DC">
      <w:pPr>
        <w:ind w:firstLine="567"/>
        <w:rPr>
          <w:b/>
          <w:i/>
          <w:lang w:val="ro-RO"/>
        </w:rPr>
      </w:pPr>
      <w:r w:rsidRPr="008C6A37">
        <w:rPr>
          <w:b/>
          <w:i/>
          <w:lang w:val="ro-RO"/>
        </w:rPr>
        <w:t>E.3 Crearea unui mecanism eficient de implementare, monitorizare și verificare a instrumentelor de planificare spațială în zona costieră</w:t>
      </w:r>
    </w:p>
    <w:p w14:paraId="13AD74E8" w14:textId="77777777" w:rsidR="008C6A37" w:rsidRPr="008C6A37" w:rsidRDefault="008C6A37" w:rsidP="00BC11DC">
      <w:pPr>
        <w:ind w:firstLine="567"/>
        <w:rPr>
          <w:lang w:val="ro-RO"/>
        </w:rPr>
      </w:pPr>
      <w:r w:rsidRPr="008C6A37">
        <w:rPr>
          <w:lang w:val="ro-RO"/>
        </w:rPr>
        <w:t xml:space="preserve"> Implementarea acestei acțiuni presupune:</w:t>
      </w:r>
    </w:p>
    <w:p w14:paraId="006A9518" w14:textId="77777777" w:rsidR="008C6A37" w:rsidRPr="008C6A37" w:rsidRDefault="008C6A37" w:rsidP="00BC11DC">
      <w:pPr>
        <w:ind w:firstLine="567"/>
        <w:rPr>
          <w:lang w:val="ro-RO"/>
        </w:rPr>
      </w:pPr>
      <w:r w:rsidRPr="008C6A37">
        <w:rPr>
          <w:lang w:val="ro-RO"/>
        </w:rPr>
        <w:t>-</w:t>
      </w:r>
      <w:r w:rsidRPr="008C6A37">
        <w:rPr>
          <w:lang w:val="ro-RO"/>
        </w:rPr>
        <w:tab/>
        <w:t>revizuirea procedurilor de avizare / aprobare a documentațiilor de amenajarea teritoriului și urbanism;</w:t>
      </w:r>
    </w:p>
    <w:p w14:paraId="13E65EA9" w14:textId="77777777" w:rsidR="008C6A37" w:rsidRPr="008C6A37" w:rsidRDefault="008C6A37" w:rsidP="00BC11DC">
      <w:pPr>
        <w:ind w:firstLine="567"/>
        <w:rPr>
          <w:lang w:val="ro-RO"/>
        </w:rPr>
      </w:pPr>
      <w:r w:rsidRPr="008C6A37">
        <w:rPr>
          <w:lang w:val="ro-RO"/>
        </w:rPr>
        <w:t>-</w:t>
      </w:r>
      <w:r w:rsidRPr="008C6A37">
        <w:rPr>
          <w:lang w:val="ro-RO"/>
        </w:rPr>
        <w:tab/>
        <w:t>crearea unui sistem de informare și comunicare eficient între administrațiile locale din zona costieră, în domeniul planificării spațiale;</w:t>
      </w:r>
    </w:p>
    <w:p w14:paraId="07CA41EE" w14:textId="77777777" w:rsidR="008C6A37" w:rsidRPr="008C6A37" w:rsidRDefault="008C6A37" w:rsidP="00BC11DC">
      <w:pPr>
        <w:ind w:firstLine="567"/>
        <w:rPr>
          <w:lang w:val="ro-RO"/>
        </w:rPr>
      </w:pPr>
      <w:r w:rsidRPr="008C6A37">
        <w:rPr>
          <w:lang w:val="ro-RO"/>
        </w:rPr>
        <w:t>-</w:t>
      </w:r>
      <w:r w:rsidRPr="008C6A37">
        <w:rPr>
          <w:lang w:val="ro-RO"/>
        </w:rPr>
        <w:tab/>
        <w:t>crearea unei platforme cu acces public, de comunicare și dezbatere privind starea și evoluția zonei costiere, găzduită pe site-ul MMAP și administrată de către Secretariatul Tehnic-Administrativ al zonei costiere.</w:t>
      </w:r>
    </w:p>
    <w:p w14:paraId="754FFFD7" w14:textId="77777777" w:rsidR="008C6A37" w:rsidRPr="008C6A37" w:rsidRDefault="008C6A37" w:rsidP="00920C1F">
      <w:pPr>
        <w:numPr>
          <w:ilvl w:val="0"/>
          <w:numId w:val="3"/>
        </w:numPr>
        <w:ind w:firstLine="567"/>
        <w:rPr>
          <w:b/>
          <w:lang w:val="ro-RO"/>
        </w:rPr>
      </w:pPr>
      <w:r w:rsidRPr="008C6A37">
        <w:rPr>
          <w:b/>
          <w:lang w:val="ro-RO"/>
        </w:rPr>
        <w:t>Consolidarea sistemului de management integrat al zonei costiere</w:t>
      </w:r>
    </w:p>
    <w:p w14:paraId="1916E264" w14:textId="77777777" w:rsidR="008C6A37" w:rsidRPr="008C6A37" w:rsidRDefault="008C6A37" w:rsidP="00BC11DC">
      <w:pPr>
        <w:ind w:firstLine="567"/>
        <w:rPr>
          <w:lang w:val="ro-RO"/>
        </w:rPr>
      </w:pPr>
      <w:r w:rsidRPr="008C6A37">
        <w:rPr>
          <w:lang w:val="ro-RO"/>
        </w:rPr>
        <w:t>Implementarea cu succes a Strategiei Naționale privind managementul integrat al zonei costiere impune implementarea, cu prioritate, a unor acțiuni ce vizează modificarea cadrului instituțional și a celui legislativ care să conducă la consolidarea sistemului de management al zonei costiere. Acțiunile subsecvente acestei direcții de acțiune sunt:</w:t>
      </w:r>
    </w:p>
    <w:p w14:paraId="1DF7DB31" w14:textId="77777777" w:rsidR="008C6A37" w:rsidRPr="008C6A37" w:rsidRDefault="008C6A37" w:rsidP="00BC11DC">
      <w:pPr>
        <w:ind w:firstLine="567"/>
        <w:rPr>
          <w:b/>
          <w:i/>
          <w:lang w:val="ro-RO"/>
        </w:rPr>
      </w:pPr>
      <w:r w:rsidRPr="008C6A37">
        <w:rPr>
          <w:b/>
          <w:i/>
          <w:lang w:val="ro-RO"/>
        </w:rPr>
        <w:lastRenderedPageBreak/>
        <w:t>F.1 Reorganizarea Comitetului Național al Zonei Costiere</w:t>
      </w:r>
    </w:p>
    <w:p w14:paraId="48A09781" w14:textId="77777777" w:rsidR="008C6A37" w:rsidRPr="008C6A37" w:rsidRDefault="008C6A37" w:rsidP="00BC11DC">
      <w:pPr>
        <w:ind w:firstLine="567"/>
        <w:rPr>
          <w:lang w:val="ro-RO"/>
        </w:rPr>
      </w:pPr>
      <w:r w:rsidRPr="008C6A37">
        <w:rPr>
          <w:lang w:val="ro-RO"/>
        </w:rPr>
        <w:t xml:space="preserve">Necesitatea implementării acestei acțiuni este descrisă în secțiunea 3.6 a prezentului document. </w:t>
      </w:r>
    </w:p>
    <w:p w14:paraId="53E10C40" w14:textId="77777777" w:rsidR="008C6A37" w:rsidRPr="008C6A37" w:rsidRDefault="008C6A37" w:rsidP="00BC11DC">
      <w:pPr>
        <w:ind w:firstLine="567"/>
        <w:rPr>
          <w:lang w:val="ro-RO"/>
        </w:rPr>
      </w:pPr>
      <w:r w:rsidRPr="008C6A37">
        <w:rPr>
          <w:lang w:val="ro-RO"/>
        </w:rPr>
        <w:t xml:space="preserve">Implementarea, cu prioritate, a acestei acțiuni presupune o revizuire a OUG 202 / 2002 cu privire la organizarea și componența CNZC, precum și a actelor normative subsecvente pentru funcționarea acestuia, în scopul creșterii autorități CNZC, prin asigurarea conducerii acestui comitet de către Cancelaria Primului ministru, precum și pentru a se asigura o mai bună reprezentativitate (includerea reprezentanților mediului de afaceri) și o consolidare a rolului CNZC în procesul MIZC. </w:t>
      </w:r>
    </w:p>
    <w:p w14:paraId="7B9FCBA9" w14:textId="77777777" w:rsidR="008C6A37" w:rsidRPr="008C6A37" w:rsidRDefault="008C6A37" w:rsidP="00BC11DC">
      <w:pPr>
        <w:ind w:firstLine="567"/>
        <w:rPr>
          <w:lang w:val="ro-RO"/>
        </w:rPr>
      </w:pPr>
      <w:r w:rsidRPr="008C6A37">
        <w:rPr>
          <w:lang w:val="ro-RO"/>
        </w:rPr>
        <w:t>De asemenea, implementarea acestei acțiuni va determina și o reorganizare la nivelul MMAP, instituția responsabilă pentru elaborarea și implementarea procesului MIZC, în sensul constituirii unei departament / compartiment (Secretariatul tehnic administrativ al zonei costiere) ce va sprijini buna funcționare a CNZC.</w:t>
      </w:r>
    </w:p>
    <w:p w14:paraId="3C551F7C" w14:textId="77777777" w:rsidR="008C6A37" w:rsidRPr="008C6A37" w:rsidRDefault="008C6A37" w:rsidP="00BC11DC">
      <w:pPr>
        <w:ind w:firstLine="567"/>
        <w:rPr>
          <w:b/>
          <w:i/>
          <w:lang w:val="ro-RO"/>
        </w:rPr>
      </w:pPr>
      <w:r w:rsidRPr="008C6A37">
        <w:rPr>
          <w:b/>
          <w:i/>
          <w:lang w:val="ro-RO"/>
        </w:rPr>
        <w:t xml:space="preserve">F.2 Înființarea și asigurarea funcționalității Observatorului Zonei Costiere </w:t>
      </w:r>
    </w:p>
    <w:p w14:paraId="28A5B316" w14:textId="77777777" w:rsidR="008C6A37" w:rsidRPr="008C6A37" w:rsidRDefault="008C6A37" w:rsidP="00BC11DC">
      <w:pPr>
        <w:ind w:firstLine="567"/>
        <w:rPr>
          <w:lang w:val="ro-RO"/>
        </w:rPr>
      </w:pPr>
      <w:r w:rsidRPr="008C6A37">
        <w:rPr>
          <w:lang w:val="ro-RO"/>
        </w:rPr>
        <w:t>Implementarea cu prioritate a acestei acțiuni rezidă din faptul că în prezent colectarea datelor și informațiilor este destul de anevoioasă, nu toate organizațiile cu atribuții în managementul integrat al zonei costiere arătându-și disponibilitatea de a furniza date, în special în lipsa unor reglementări clare referitoare la managementul datelor și informațiilor. De altfel, o condiție esențială pentru un management eficient al zonei costiere este asigurarea disponibilității tuturor datelor și informațiilor necesare. Prin implementarea acestei acțiuni, respectiv prin dezvoltarea Observatorului Zonei Costiere, se va asigura creșterea gradului de colectare a datelor și informațiilor, precum și a disponibilității acestora, evident în condiții bine reglementate. Funcționarea optimă a Observatorului Zonei Costiere va fi asigurată de către STA -ZC, ce va funcționa în cadrul MMAP.</w:t>
      </w:r>
    </w:p>
    <w:p w14:paraId="77D42110" w14:textId="77777777" w:rsidR="008C6A37" w:rsidRPr="008C6A37" w:rsidRDefault="008C6A37" w:rsidP="00BC11DC">
      <w:pPr>
        <w:ind w:firstLine="567"/>
        <w:rPr>
          <w:b/>
          <w:i/>
          <w:lang w:val="ro-RO"/>
        </w:rPr>
      </w:pPr>
      <w:r w:rsidRPr="008C6A37">
        <w:rPr>
          <w:b/>
          <w:i/>
          <w:lang w:val="ro-RO"/>
        </w:rPr>
        <w:t xml:space="preserve">F.3 Elaborarea și implementarea Planului de comunicare al Strategiei naționale pentru managementul integrat a zonei costiere </w:t>
      </w:r>
    </w:p>
    <w:p w14:paraId="20056D5B" w14:textId="1C3F897E" w:rsidR="008C6A37" w:rsidRPr="008C6A37" w:rsidRDefault="008C6A37" w:rsidP="00BC11DC">
      <w:pPr>
        <w:ind w:firstLine="567"/>
        <w:rPr>
          <w:lang w:val="ro-RO"/>
        </w:rPr>
      </w:pPr>
      <w:r w:rsidRPr="008C6A37">
        <w:rPr>
          <w:lang w:val="ro-RO"/>
        </w:rPr>
        <w:t xml:space="preserve">Necesitatea elaborării și implementării unui Plan de comunicare al Strategiei </w:t>
      </w:r>
      <w:r w:rsidR="00E937B9">
        <w:rPr>
          <w:lang w:val="ro-RO"/>
        </w:rPr>
        <w:t>N</w:t>
      </w:r>
      <w:r w:rsidRPr="008C6A37">
        <w:rPr>
          <w:lang w:val="ro-RO"/>
        </w:rPr>
        <w:t>aționale privind g</w:t>
      </w:r>
      <w:r w:rsidR="00E937B9">
        <w:rPr>
          <w:lang w:val="ro-RO"/>
        </w:rPr>
        <w:t>ospodărirea</w:t>
      </w:r>
      <w:r w:rsidRPr="008C6A37">
        <w:rPr>
          <w:lang w:val="ro-RO"/>
        </w:rPr>
        <w:t xml:space="preserve"> integrată al zonei costiere derivă din două dintre principiile fundamentale pe care este fundamentată această strategie, și anume:</w:t>
      </w:r>
    </w:p>
    <w:p w14:paraId="0B41105B" w14:textId="77777777" w:rsidR="008C6A37" w:rsidRPr="008C6A37" w:rsidRDefault="008C6A37" w:rsidP="00BC11DC">
      <w:pPr>
        <w:ind w:firstLine="567"/>
        <w:rPr>
          <w:lang w:val="ro-RO"/>
        </w:rPr>
      </w:pPr>
      <w:r w:rsidRPr="008C6A37">
        <w:rPr>
          <w:lang w:val="ro-RO"/>
        </w:rPr>
        <w:t>- principiul participării care se referă la procesele consultative ce implică autorități ale administrației publice centrale și/sau locale, organizații neguvernamentale, parteneri sociali, asociaţii profesionale, reprezentanţi ai sectorului privat;</w:t>
      </w:r>
    </w:p>
    <w:p w14:paraId="5A1D33CC" w14:textId="77777777" w:rsidR="008C6A37" w:rsidRPr="008C6A37" w:rsidRDefault="008C6A37" w:rsidP="00BC11DC">
      <w:pPr>
        <w:ind w:firstLine="567"/>
        <w:rPr>
          <w:lang w:val="ro-RO"/>
        </w:rPr>
      </w:pPr>
      <w:r w:rsidRPr="008C6A37">
        <w:rPr>
          <w:lang w:val="ro-RO"/>
        </w:rPr>
        <w:t>- principiul transparenței.</w:t>
      </w:r>
    </w:p>
    <w:p w14:paraId="2D58F08D" w14:textId="77777777" w:rsidR="008C6A37" w:rsidRPr="008C6A37" w:rsidRDefault="008C6A37" w:rsidP="00BC11DC">
      <w:pPr>
        <w:ind w:firstLine="567"/>
        <w:rPr>
          <w:b/>
          <w:i/>
          <w:lang w:val="ro-RO"/>
        </w:rPr>
      </w:pPr>
      <w:r w:rsidRPr="008C6A37">
        <w:rPr>
          <w:b/>
          <w:i/>
          <w:lang w:val="ro-RO"/>
        </w:rPr>
        <w:t>F.4 Promovarea și implementarea unui instrument de tip citizen-science în vederea implicării directe a cetățenilor, pe bază de voluntariat, în acțiuni de monitorizare a stării și proceselor din zona costieră</w:t>
      </w:r>
    </w:p>
    <w:p w14:paraId="48112A16" w14:textId="77777777" w:rsidR="008C6A37" w:rsidRPr="008C6A37" w:rsidRDefault="008C6A37" w:rsidP="00BC11DC">
      <w:pPr>
        <w:ind w:firstLine="567"/>
        <w:rPr>
          <w:lang w:val="ro-RO"/>
        </w:rPr>
      </w:pPr>
      <w:r w:rsidRPr="008C6A37">
        <w:rPr>
          <w:lang w:val="ro-RO"/>
        </w:rPr>
        <w:t xml:space="preserve">Implementarea acestei acțiuni oferă plus valoare instrumentelor de colectare a datelor de către instituțiile responsabile cu managementul zonei costiere, generând date și informații relevante pentru luarea deciziilor și pentru îmbunătățirea gestionării zonei costiere. În același </w:t>
      </w:r>
      <w:r w:rsidRPr="008C6A37">
        <w:rPr>
          <w:lang w:val="ro-RO"/>
        </w:rPr>
        <w:lastRenderedPageBreak/>
        <w:t>timp, cresc și oportunitățile de a interacționa cu publicul pentru a spori gradul de conștientizare, interes și sprijin în procesul de management costier.</w:t>
      </w:r>
    </w:p>
    <w:p w14:paraId="5588782A" w14:textId="77777777" w:rsidR="008C6A37" w:rsidRPr="008C6A37" w:rsidRDefault="008C6A37" w:rsidP="00BC11DC">
      <w:pPr>
        <w:ind w:firstLine="567"/>
        <w:rPr>
          <w:b/>
          <w:i/>
          <w:lang w:val="ro-RO"/>
        </w:rPr>
      </w:pPr>
      <w:r w:rsidRPr="008C6A37">
        <w:rPr>
          <w:b/>
          <w:i/>
          <w:lang w:val="ro-RO"/>
        </w:rPr>
        <w:t>F.5 Revizuirea delimitării zonei costiere prevăzută în OUG 202/2002, precum și a limitelor de restricție temporară stabilite prin actele normative subsecvente Legea 597/ 31.10. 2001, Hotărârea Guvernului nr. 546/07.04.2004 și Hotărârea Guvernului nr. 749/14.05.2004</w:t>
      </w:r>
    </w:p>
    <w:p w14:paraId="6F76CBDB" w14:textId="77777777" w:rsidR="008C6A37" w:rsidRPr="008C6A37" w:rsidRDefault="008C6A37" w:rsidP="00BC11DC">
      <w:pPr>
        <w:ind w:firstLine="567"/>
        <w:rPr>
          <w:lang w:val="ro-RO"/>
        </w:rPr>
      </w:pPr>
      <w:r w:rsidRPr="008C6A37">
        <w:rPr>
          <w:b/>
          <w:i/>
          <w:lang w:val="ro-RO"/>
        </w:rPr>
        <w:t xml:space="preserve"> </w:t>
      </w:r>
      <w:r w:rsidRPr="008C6A37">
        <w:rPr>
          <w:lang w:val="ro-RO"/>
        </w:rPr>
        <w:t>Având în vedere definirea zonei costiere ca spațiul geografic care cuprinde spațiul maritim în limita a 12 mile marine și teritoriul UAT-urilor limitrofe zonei costiere, inclusiv UAT Techirghiol, se impune revizuirea corespunzătoare a modului de delimitare a zonei costiere din OUG 202/2002. În același timp, pentru protejarea și gestionarea durabilă a zonei costiere astfel delimitată, se impune definirea unor spații/zone costiere critice. Aceste spații sensibile și cu risc potențial ridicat din punctul de vedere al mediul, cât și din punct de vedere economic și social, sunt  apele din zona de coastă, precum și teritoriile adiacente acestora, situate în spațiul geografic al zonei costiere în care orice nouă utilizare a terenurilor sau orice extindere a utilizărilor existente, fac obiectul avizării de către structurile MMAP stabilite prin reglementări legale primare și în conformitate cu metodologia aprobată prin reglementările subsecvente. Delimitarea acestor spații costiere critice este în sarcina UAT-urilor  și se realizează prin documentațiile de urbanism.</w:t>
      </w:r>
    </w:p>
    <w:p w14:paraId="3B778047" w14:textId="77777777" w:rsidR="008C6A37" w:rsidRPr="008C6A37" w:rsidRDefault="008C6A37" w:rsidP="00BC11DC">
      <w:pPr>
        <w:ind w:firstLine="567"/>
        <w:rPr>
          <w:lang w:val="ro-RO"/>
        </w:rPr>
      </w:pPr>
      <w:r w:rsidRPr="008C6A37">
        <w:rPr>
          <w:lang w:val="ro-RO"/>
        </w:rPr>
        <w:t>Implementarea acestei acțiuni presupune:</w:t>
      </w:r>
    </w:p>
    <w:p w14:paraId="7280F709" w14:textId="77777777" w:rsidR="008C6A37" w:rsidRPr="008C6A37" w:rsidRDefault="008C6A37" w:rsidP="00BC11DC">
      <w:pPr>
        <w:ind w:firstLine="567"/>
        <w:rPr>
          <w:lang w:val="ro-RO"/>
        </w:rPr>
      </w:pPr>
      <w:r w:rsidRPr="008C6A37">
        <w:rPr>
          <w:lang w:val="ro-RO"/>
        </w:rPr>
        <w:t>-</w:t>
      </w:r>
      <w:r w:rsidRPr="008C6A37">
        <w:rPr>
          <w:lang w:val="ro-RO"/>
        </w:rPr>
        <w:tab/>
        <w:t>elaborarea unui studiu centralizat pentru toată zona costieră pentru stabilirea spațiilor critice din zona costieră;</w:t>
      </w:r>
    </w:p>
    <w:p w14:paraId="58920CE7" w14:textId="77777777" w:rsidR="008C6A37" w:rsidRPr="008C6A37" w:rsidRDefault="008C6A37" w:rsidP="00BC11DC">
      <w:pPr>
        <w:ind w:firstLine="567"/>
        <w:rPr>
          <w:lang w:val="ro-RO"/>
        </w:rPr>
      </w:pPr>
      <w:r w:rsidRPr="008C6A37">
        <w:rPr>
          <w:lang w:val="ro-RO"/>
        </w:rPr>
        <w:t>-</w:t>
      </w:r>
      <w:r w:rsidRPr="008C6A37">
        <w:rPr>
          <w:lang w:val="ro-RO"/>
        </w:rPr>
        <w:tab/>
        <w:t xml:space="preserve">stabilirea criteriilor de delimitare a spațiilor sensibile / critice / vulnerable din zona costieră (posibile criterii: distanța față de linia țărmului, prezența unor arii naturale protejate, prezența unor elemente de patrimoniu construit de tip A, presiuni antropice deosebite (trafic auto / pietonal intens, densitate ridicată a construcțiilor, presiuni imobiliare etc.), riscuri ridicate, fie naturale (eroziune, inundație etc.), fie antropice (explozii, incendii etc.), valori peisagistice deosebite (identificate prin „planurile de peisaj” sau în cadrul atlasului unităților de peisaj din zona costieră); </w:t>
      </w:r>
    </w:p>
    <w:p w14:paraId="7605E4D6" w14:textId="77777777" w:rsidR="008C6A37" w:rsidRPr="008C6A37" w:rsidRDefault="008C6A37" w:rsidP="00BC11DC">
      <w:pPr>
        <w:ind w:firstLine="567"/>
        <w:rPr>
          <w:lang w:val="ro-RO"/>
        </w:rPr>
      </w:pPr>
      <w:r w:rsidRPr="008C6A37">
        <w:rPr>
          <w:lang w:val="ro-RO"/>
        </w:rPr>
        <w:t>-</w:t>
      </w:r>
      <w:r w:rsidRPr="008C6A37">
        <w:rPr>
          <w:lang w:val="ro-RO"/>
        </w:rPr>
        <w:tab/>
        <w:t>elaborarea și aprobarea proiectelor de revizuire a OUG 202/2002, precum și a actelor normative subsecvente Legea 597/31.10.2001, Hotărârea Guvernului  nr. 546/07.04.2004 și Hotărârea Guvernului nr. 749/14.05.2004.</w:t>
      </w:r>
    </w:p>
    <w:p w14:paraId="5B28EDA9" w14:textId="77777777" w:rsidR="008C6A37" w:rsidRPr="008C6A37" w:rsidRDefault="008C6A37" w:rsidP="00BC11DC">
      <w:pPr>
        <w:ind w:firstLine="567"/>
        <w:rPr>
          <w:b/>
          <w:i/>
          <w:lang w:val="ro-RO"/>
        </w:rPr>
      </w:pPr>
      <w:r w:rsidRPr="008C6A37">
        <w:rPr>
          <w:b/>
          <w:i/>
          <w:lang w:val="ro-RO"/>
        </w:rPr>
        <w:t>F.6 Programe pentru furnizarea de Asistență Tehnică pentru îmbunătățirea / consolidarea capacității administrative  a actorilor instituționali implicați în implementarea managementului integrat al zonei costiere</w:t>
      </w:r>
    </w:p>
    <w:p w14:paraId="4C32596A" w14:textId="77777777" w:rsidR="008C6A37" w:rsidRPr="008C6A37" w:rsidRDefault="008C6A37" w:rsidP="00BC11DC">
      <w:pPr>
        <w:ind w:firstLine="567"/>
        <w:rPr>
          <w:lang w:val="ro-RO"/>
        </w:rPr>
      </w:pPr>
      <w:r w:rsidRPr="008C6A37">
        <w:rPr>
          <w:lang w:val="ro-RO"/>
        </w:rPr>
        <w:t>Implementarea acestei acțiuni contribuie la consolidarea capacității profesionale și creșterea motivației și interesului personalului administrativ al organizațiilor implicate în managementul integrat al zonei costiere.</w:t>
      </w:r>
    </w:p>
    <w:p w14:paraId="429D1C5D" w14:textId="77777777" w:rsidR="008C6A37" w:rsidRPr="008C6A37" w:rsidRDefault="008C6A37" w:rsidP="00BC11DC">
      <w:pPr>
        <w:ind w:firstLine="567"/>
        <w:rPr>
          <w:b/>
          <w:i/>
          <w:lang w:val="ro-RO"/>
        </w:rPr>
      </w:pPr>
      <w:r w:rsidRPr="008C6A37">
        <w:rPr>
          <w:b/>
          <w:i/>
          <w:lang w:val="ro-RO"/>
        </w:rPr>
        <w:t>F.7 Dezvoltarea unui sistem eficient de supraveghere și control a utilizării resurselor zonei costiere</w:t>
      </w:r>
    </w:p>
    <w:p w14:paraId="2055E1FF" w14:textId="77777777" w:rsidR="008C6A37" w:rsidRPr="008C6A37" w:rsidRDefault="008C6A37" w:rsidP="00BC11DC">
      <w:pPr>
        <w:ind w:firstLine="567"/>
        <w:rPr>
          <w:lang w:val="ro-RO"/>
        </w:rPr>
      </w:pPr>
      <w:r w:rsidRPr="008C6A37">
        <w:rPr>
          <w:lang w:val="ro-RO"/>
        </w:rPr>
        <w:t xml:space="preserve">Exploatarea resurselor zonei costiere este relativ bine reglementată, prin diverse acte normative sectoriale, în scopul asigurării sustenabilității. Totuși sunt destul de des semnalate </w:t>
      </w:r>
      <w:r w:rsidRPr="008C6A37">
        <w:rPr>
          <w:lang w:val="ro-RO"/>
        </w:rPr>
        <w:lastRenderedPageBreak/>
        <w:t>situații în care reglementările în vigoare nu sunt respectate datorită, pe de o parte sancțiunilor mult prea mici, iar pe de altă parte capacității (umane și tehnice) reduse a organismelor de control și supraveghere, a unei eficiențe scăzute, dar și a lipsei de interes și motivație a personalului de control din organizațiilor responsabile. Astfel, prin implementarea acestei acțiuni se urmărește creșterea/întărirea capacității de control și supraveghere, și mai ales a eficienței acestor acțiuni în vederea exploatării sustenabile a resurselor zonei costiere.</w:t>
      </w:r>
    </w:p>
    <w:p w14:paraId="19CBAEAF" w14:textId="77777777" w:rsidR="008C6A37" w:rsidRPr="008C6A37" w:rsidRDefault="008C6A37" w:rsidP="00BC11DC">
      <w:pPr>
        <w:ind w:firstLine="567"/>
        <w:rPr>
          <w:lang w:val="ro-RO"/>
        </w:rPr>
      </w:pPr>
    </w:p>
    <w:p w14:paraId="35F92825" w14:textId="34EFC2C8" w:rsidR="008C6A37" w:rsidRPr="008C6A37" w:rsidRDefault="008C6A37" w:rsidP="00BC11DC">
      <w:pPr>
        <w:ind w:firstLine="567"/>
        <w:rPr>
          <w:lang w:val="ro-RO"/>
        </w:rPr>
      </w:pPr>
      <w:r w:rsidRPr="008C6A37">
        <w:rPr>
          <w:lang w:val="ro-RO"/>
        </w:rPr>
        <w:t xml:space="preserve">Planul de acțiune al </w:t>
      </w:r>
      <w:r w:rsidR="00E937B9">
        <w:rPr>
          <w:lang w:val="ro-RO"/>
        </w:rPr>
        <w:t>S</w:t>
      </w:r>
      <w:r w:rsidRPr="008C6A37">
        <w:rPr>
          <w:lang w:val="ro-RO"/>
        </w:rPr>
        <w:t xml:space="preserve">trategiei </w:t>
      </w:r>
      <w:r w:rsidR="00E937B9">
        <w:rPr>
          <w:lang w:val="ro-RO"/>
        </w:rPr>
        <w:t xml:space="preserve">Naționale </w:t>
      </w:r>
      <w:r w:rsidRPr="008C6A37">
        <w:rPr>
          <w:lang w:val="ro-RO"/>
        </w:rPr>
        <w:t xml:space="preserve">privind </w:t>
      </w:r>
      <w:r w:rsidR="00E937B9">
        <w:rPr>
          <w:lang w:val="ro-RO"/>
        </w:rPr>
        <w:t xml:space="preserve">gospodărirea </w:t>
      </w:r>
      <w:r w:rsidRPr="008C6A37">
        <w:rPr>
          <w:lang w:val="ro-RO"/>
        </w:rPr>
        <w:t>integrată a  zonei costiere este prezentat în Anexa 1, defalcat pe acțiuni, instituții responsabile, perioade de implementare, rezultate așteptate și indicatori de monitorizare și etapele evaluării.</w:t>
      </w:r>
    </w:p>
    <w:p w14:paraId="3285F29A" w14:textId="77777777" w:rsidR="008C6A37" w:rsidRDefault="008C6A37" w:rsidP="00BC11DC">
      <w:pPr>
        <w:ind w:firstLine="567"/>
        <w:rPr>
          <w:lang w:val="ro-RO"/>
        </w:rPr>
      </w:pPr>
      <w:r w:rsidRPr="008C6A37">
        <w:rPr>
          <w:lang w:val="ro-RO"/>
        </w:rPr>
        <w:t xml:space="preserve">În Anexa 2 a strategiei sunt prezentate acțiunile enumerate și descrise succint anterior, defalcate pe faze (subactiuni), precum și obiectivele specifice vizate de către fiecare dintre aceste acțiuni.  </w:t>
      </w:r>
    </w:p>
    <w:p w14:paraId="676960A4" w14:textId="77777777" w:rsidR="00A92A31" w:rsidRPr="00A92A31" w:rsidRDefault="00A92A31" w:rsidP="00A92A31">
      <w:pPr>
        <w:spacing w:before="0"/>
        <w:ind w:firstLine="0"/>
        <w:rPr>
          <w:sz w:val="28"/>
          <w:lang w:val="ro-RO"/>
        </w:rPr>
      </w:pPr>
    </w:p>
    <w:p w14:paraId="50AD5C67" w14:textId="3308EDA5" w:rsidR="008C6A37" w:rsidRPr="005D2CE5" w:rsidRDefault="008C6A37" w:rsidP="008B76B1">
      <w:pPr>
        <w:pStyle w:val="Heading2"/>
        <w:numPr>
          <w:ilvl w:val="1"/>
          <w:numId w:val="48"/>
        </w:numPr>
      </w:pPr>
      <w:bookmarkStart w:id="32" w:name="_Toc150247017"/>
      <w:bookmarkStart w:id="33" w:name="_Toc169625104"/>
      <w:r w:rsidRPr="005D2CE5">
        <w:t>Rezultatele așteptate</w:t>
      </w:r>
      <w:bookmarkEnd w:id="32"/>
      <w:bookmarkEnd w:id="33"/>
      <w:r w:rsidRPr="005D2CE5">
        <w:t xml:space="preserve"> </w:t>
      </w:r>
    </w:p>
    <w:p w14:paraId="25BEB9AE" w14:textId="3521C1FC" w:rsidR="008C6A37" w:rsidRPr="008C6A37" w:rsidRDefault="008C6A37" w:rsidP="00BC11DC">
      <w:pPr>
        <w:ind w:firstLine="567"/>
        <w:rPr>
          <w:lang w:val="ro-RO"/>
        </w:rPr>
      </w:pPr>
      <w:r w:rsidRPr="008C6A37">
        <w:rPr>
          <w:lang w:val="ro-RO"/>
        </w:rPr>
        <w:t xml:space="preserve">Implementarea Strategiei Naționale privind </w:t>
      </w:r>
      <w:r w:rsidR="0098106A">
        <w:rPr>
          <w:lang w:val="ro-RO"/>
        </w:rPr>
        <w:t>gospodărirea</w:t>
      </w:r>
      <w:r w:rsidRPr="008C6A37">
        <w:rPr>
          <w:lang w:val="ro-RO"/>
        </w:rPr>
        <w:t xml:space="preserve"> integrată a zonei costiere va conduce la obținerea unor rezultate concrete la nivel economic, social, de mediu și cultural în concordanță cu obiectivele de dezvoltare durabilă a României.  </w:t>
      </w:r>
    </w:p>
    <w:p w14:paraId="20E60F05" w14:textId="77777777" w:rsidR="008C6A37" w:rsidRPr="008C6A37" w:rsidRDefault="008C6A37" w:rsidP="00BC11DC">
      <w:pPr>
        <w:ind w:firstLine="567"/>
        <w:rPr>
          <w:lang w:val="ro-RO"/>
        </w:rPr>
      </w:pPr>
      <w:r w:rsidRPr="008C6A37">
        <w:rPr>
          <w:lang w:val="ro-RO"/>
        </w:rPr>
        <w:t xml:space="preserve">În Anexa 1 a prezentei strategii sunt redate rezultatele așteptate în urma implementării fiecărei acțiuni din Planul de Acțiune. Marea majoritate a rezultatelor așteptate pot fi cuantificate, dar există, totuși, o serie de acțiuni al căror rezultat este necuantificabil / este unitar (de exemplu: </w:t>
      </w:r>
      <w:r w:rsidRPr="008C6A37">
        <w:rPr>
          <w:i/>
          <w:lang w:val="ro-RO"/>
        </w:rPr>
        <w:t>Realizarea unui program național de monitorizare a poluanților emergenți în mediul marin</w:t>
      </w:r>
      <w:r w:rsidRPr="008C6A37">
        <w:rPr>
          <w:lang w:val="ro-RO"/>
        </w:rPr>
        <w:t xml:space="preserve">, </w:t>
      </w:r>
      <w:r w:rsidRPr="008C6A37">
        <w:rPr>
          <w:i/>
          <w:lang w:val="ro-RO"/>
        </w:rPr>
        <w:t>Realizarea Registrului Poluanților Emergenți</w:t>
      </w:r>
      <w:r w:rsidRPr="008C6A37">
        <w:rPr>
          <w:lang w:val="ro-RO"/>
        </w:rPr>
        <w:t xml:space="preserve"> - acțiunea B.5, </w:t>
      </w:r>
      <w:r w:rsidRPr="008C6A37">
        <w:rPr>
          <w:i/>
          <w:lang w:val="ro-RO"/>
        </w:rPr>
        <w:t>Realizarea regulamentului-cadru zona litorală</w:t>
      </w:r>
      <w:r w:rsidRPr="008C6A37">
        <w:rPr>
          <w:lang w:val="ro-RO"/>
        </w:rPr>
        <w:t xml:space="preserve"> - acțiunea E.2, Comitet Național al Zonei Costiere funcțional - acțiunea F.1, </w:t>
      </w:r>
      <w:r w:rsidRPr="008C6A37">
        <w:rPr>
          <w:i/>
          <w:lang w:val="ro-RO"/>
        </w:rPr>
        <w:t>Observatorul Zonei Costiere funcțional</w:t>
      </w:r>
      <w:r w:rsidRPr="008C6A37">
        <w:rPr>
          <w:lang w:val="ro-RO"/>
        </w:rPr>
        <w:t xml:space="preserve"> - acțiunea F.2, </w:t>
      </w:r>
      <w:r w:rsidRPr="008C6A37">
        <w:rPr>
          <w:i/>
          <w:lang w:val="ro-RO"/>
        </w:rPr>
        <w:t>Plan de comunicare al Strategiei naționale pentru managementul integrat a zonei costiere</w:t>
      </w:r>
      <w:r w:rsidRPr="008C6A37">
        <w:rPr>
          <w:lang w:val="ro-RO"/>
        </w:rPr>
        <w:t xml:space="preserve"> - acțiunea F.3).</w:t>
      </w:r>
    </w:p>
    <w:p w14:paraId="507ED1DA" w14:textId="77777777" w:rsidR="00A92A31" w:rsidRPr="00A92A31" w:rsidRDefault="00A92A31" w:rsidP="00A92A31">
      <w:pPr>
        <w:spacing w:before="0"/>
        <w:ind w:firstLine="0"/>
        <w:rPr>
          <w:b/>
          <w:sz w:val="28"/>
          <w:lang w:val="ro-RO"/>
        </w:rPr>
      </w:pPr>
    </w:p>
    <w:p w14:paraId="2C457A5A" w14:textId="54B8A3CC" w:rsidR="008C6A37" w:rsidRPr="005D2CE5" w:rsidRDefault="008C6A37" w:rsidP="008B76B1">
      <w:pPr>
        <w:pStyle w:val="Heading2"/>
        <w:numPr>
          <w:ilvl w:val="1"/>
          <w:numId w:val="48"/>
        </w:numPr>
      </w:pPr>
      <w:bookmarkStart w:id="34" w:name="_Toc150247018"/>
      <w:bookmarkStart w:id="35" w:name="_Toc169625105"/>
      <w:r w:rsidRPr="005D2CE5">
        <w:t>Indicatori</w:t>
      </w:r>
      <w:bookmarkEnd w:id="34"/>
      <w:bookmarkEnd w:id="35"/>
    </w:p>
    <w:p w14:paraId="0073A697" w14:textId="0456FC38" w:rsidR="008C6A37" w:rsidRPr="008C6A37" w:rsidRDefault="008C6A37" w:rsidP="00BC11DC">
      <w:pPr>
        <w:ind w:firstLine="567"/>
        <w:rPr>
          <w:lang w:val="ro-RO"/>
        </w:rPr>
      </w:pPr>
      <w:r w:rsidRPr="008C6A37">
        <w:rPr>
          <w:lang w:val="ro-RO"/>
        </w:rPr>
        <w:t xml:space="preserve">În vederea monitorizării implementării Strategiei Naționale privind </w:t>
      </w:r>
      <w:r w:rsidR="00E937B9">
        <w:rPr>
          <w:lang w:val="ro-RO"/>
        </w:rPr>
        <w:t>gospodărirea</w:t>
      </w:r>
      <w:r w:rsidRPr="008C6A37">
        <w:rPr>
          <w:lang w:val="ro-RO"/>
        </w:rPr>
        <w:t xml:space="preserve"> integrată a zonei costiere au fost stabiliți o serie de </w:t>
      </w:r>
      <w:r w:rsidRPr="008C6A37">
        <w:rPr>
          <w:b/>
          <w:lang w:val="ro-RO"/>
        </w:rPr>
        <w:t>indicatori de monitorizare</w:t>
      </w:r>
      <w:r w:rsidRPr="008C6A37">
        <w:rPr>
          <w:lang w:val="ro-RO"/>
        </w:rPr>
        <w:t xml:space="preserve"> pentru fiecare dintre obiectivele generale ale strategiei (Anexa 3). Corespunzător fiecărui indicator, au fost stabiliți unul sau mai mulți parametrii de monitorizare, prin agregarea cărora se determină cantitativ indicatorul respectiv. </w:t>
      </w:r>
    </w:p>
    <w:p w14:paraId="6FCAA4CD" w14:textId="77777777" w:rsidR="008C6A37" w:rsidRPr="008C6A37" w:rsidRDefault="008C6A37" w:rsidP="00BC11DC">
      <w:pPr>
        <w:ind w:firstLine="567"/>
        <w:rPr>
          <w:lang w:val="ro-RO"/>
        </w:rPr>
      </w:pPr>
      <w:r w:rsidRPr="008C6A37">
        <w:rPr>
          <w:lang w:val="ro-RO"/>
        </w:rPr>
        <w:t xml:space="preserve">Indicatorii și parametrii propuși în prezenta strategie pentru monitorizarea procesului de management integrat a zonei costiere sunt, în mare parte, cei existenți și raportați în prezent, dezvoltați de către Grupul de Experți ICZM ai UE (EU ICZM Expert Group), în diverse </w:t>
      </w:r>
      <w:r w:rsidRPr="008C6A37">
        <w:rPr>
          <w:lang w:val="ro-RO"/>
        </w:rPr>
        <w:lastRenderedPageBreak/>
        <w:t>proiecte europene, precum DEDUCE, PEGASO, etc.). Acestora li s-au adăugat și unii indicatori stabiliți în concordanță cu obiectivele și acțiunile prezentei strategii. În total, vor fi monitorizați 33 de indicatori și 97 de parametrii.</w:t>
      </w:r>
    </w:p>
    <w:p w14:paraId="4C214449" w14:textId="77777777" w:rsidR="008C6A37" w:rsidRPr="008C6A37" w:rsidRDefault="008C6A37" w:rsidP="00BC11DC">
      <w:pPr>
        <w:ind w:firstLine="567"/>
        <w:rPr>
          <w:lang w:val="ro-RO"/>
        </w:rPr>
      </w:pPr>
      <w:r w:rsidRPr="008C6A37">
        <w:rPr>
          <w:lang w:val="ro-RO"/>
        </w:rPr>
        <w:t>Referitor la metodologia de calculare și raportare a indicatorilor, proiectul european DEDUCE a propus un cadru metodologic comun, la nivel european, de calculare și raportare a indicatorilor, instrument care se va aplica și în cazul prezentei strategii.</w:t>
      </w:r>
    </w:p>
    <w:p w14:paraId="3345749E" w14:textId="77777777" w:rsidR="008C6A37" w:rsidRPr="008C6A37" w:rsidRDefault="008C6A37" w:rsidP="00BC11DC">
      <w:pPr>
        <w:ind w:firstLine="567"/>
        <w:rPr>
          <w:lang w:val="ro-RO"/>
        </w:rPr>
      </w:pPr>
      <w:r w:rsidRPr="008C6A37">
        <w:rPr>
          <w:lang w:val="ro-RO"/>
        </w:rPr>
        <w:t>Acest cadru metodologic constă din următoarele trei componente / formate:</w:t>
      </w:r>
    </w:p>
    <w:p w14:paraId="0A97B1E9" w14:textId="77777777" w:rsidR="008C6A37" w:rsidRPr="008C6A37" w:rsidRDefault="008C6A37" w:rsidP="00BC11DC">
      <w:pPr>
        <w:ind w:firstLine="567"/>
        <w:rPr>
          <w:lang w:val="ro-RO"/>
        </w:rPr>
      </w:pPr>
      <w:r w:rsidRPr="008C6A37">
        <w:rPr>
          <w:lang w:val="ro-RO"/>
        </w:rPr>
        <w:t>-</w:t>
      </w:r>
      <w:r w:rsidRPr="008C6A37">
        <w:rPr>
          <w:lang w:val="ro-RO"/>
        </w:rPr>
        <w:tab/>
        <w:t>Formatul standard al indicatorului (SIF) – definește și descrie metodologia de calcul a fiecărui indicator. SIF este conceput pentru a obține o înțelegere comună a scopului și definițiilor parametrilor asociați fiecărui indicator monitorizat. Acesta stabilește o metodologie comună pentru calcularea și prezentarea datelor și pentru analiza ulterioară a tendințelor.</w:t>
      </w:r>
    </w:p>
    <w:p w14:paraId="7890E952" w14:textId="77777777" w:rsidR="008C6A37" w:rsidRPr="008C6A37" w:rsidRDefault="008C6A37" w:rsidP="00BC11DC">
      <w:pPr>
        <w:ind w:firstLine="567"/>
        <w:rPr>
          <w:lang w:val="ro-RO"/>
        </w:rPr>
      </w:pPr>
      <w:r w:rsidRPr="008C6A37">
        <w:rPr>
          <w:lang w:val="ro-RO"/>
        </w:rPr>
        <w:t>-</w:t>
      </w:r>
      <w:r w:rsidRPr="008C6A37">
        <w:rPr>
          <w:lang w:val="ro-RO"/>
        </w:rPr>
        <w:tab/>
        <w:t>Fișa de raportare (RS) – prezintă rezultatul calculului indicatorului respectiv (fie ca date sau produse de date – grafice, hărți, etc) și evaluarea valorilor obținute și a procesului de producere a datelor;</w:t>
      </w:r>
    </w:p>
    <w:p w14:paraId="6A53D909" w14:textId="77777777" w:rsidR="008C6A37" w:rsidRPr="008C6A37" w:rsidRDefault="008C6A37" w:rsidP="00BC11DC">
      <w:pPr>
        <w:ind w:firstLine="567"/>
        <w:rPr>
          <w:lang w:val="ro-RO"/>
        </w:rPr>
      </w:pPr>
      <w:r w:rsidRPr="008C6A37">
        <w:rPr>
          <w:lang w:val="ro-RO"/>
        </w:rPr>
        <w:t>-</w:t>
      </w:r>
      <w:r w:rsidRPr="008C6A37">
        <w:rPr>
          <w:lang w:val="ro-RO"/>
        </w:rPr>
        <w:tab/>
        <w:t>Fișa indicatorului (IFS) ce sumarizează și diseminează principalele informații obținute pentru fiecare indicator. Componentele sale principale sunt graficele, hărțile și analizele comparative. Conține însă și o evaluare a valorilor obținute și a procesului de producere a datelor. IFS prezintă o analiză a rezultatelor agregării parametrilor măsurați în cadrul fiecărui indicator. Această componentă reprezintă, de asemenea, un pas către integrarea informațiilor la diferite niveluri și scări și obținerea coerenței în înțelegerea proceselor variate care au loc la nivel local.</w:t>
      </w:r>
    </w:p>
    <w:p w14:paraId="2DBA1DFD" w14:textId="77777777" w:rsidR="008C6A37" w:rsidRPr="008C6A37" w:rsidRDefault="008C6A37" w:rsidP="00BC11DC">
      <w:pPr>
        <w:ind w:firstLine="567"/>
        <w:rPr>
          <w:lang w:val="ro-RO"/>
        </w:rPr>
      </w:pPr>
      <w:r w:rsidRPr="008C6A37">
        <w:rPr>
          <w:lang w:val="ro-RO"/>
        </w:rPr>
        <w:t>Implementarea fiecărei acțiuni cuprinse în Planul de acțiune al Strategiei, respectiv atingerea rezultatului / rezultatelor așteptat/e, este monitorizată prin măsurarea unuia sau mai multor indicatori, după caz, așa cum este redat în Anexa 1.</w:t>
      </w:r>
    </w:p>
    <w:p w14:paraId="76165EEE" w14:textId="77777777" w:rsidR="00A92A31" w:rsidRPr="00A92A31" w:rsidRDefault="00A92A31" w:rsidP="00A92A31">
      <w:pPr>
        <w:spacing w:before="0"/>
        <w:ind w:firstLine="0"/>
        <w:rPr>
          <w:b/>
          <w:sz w:val="28"/>
          <w:lang w:val="ro-RO"/>
        </w:rPr>
      </w:pPr>
    </w:p>
    <w:p w14:paraId="5344BF5B" w14:textId="2DB74F41" w:rsidR="008C6A37" w:rsidRPr="005D2CE5" w:rsidRDefault="008C6A37" w:rsidP="008B76B1">
      <w:pPr>
        <w:pStyle w:val="Heading2"/>
        <w:numPr>
          <w:ilvl w:val="1"/>
          <w:numId w:val="48"/>
        </w:numPr>
      </w:pPr>
      <w:bookmarkStart w:id="36" w:name="_Toc150247019"/>
      <w:bookmarkStart w:id="37" w:name="_Toc169625106"/>
      <w:r w:rsidRPr="005D2CE5">
        <w:t>Procedurile de monitorizare și evaluare</w:t>
      </w:r>
      <w:bookmarkEnd w:id="36"/>
      <w:bookmarkEnd w:id="37"/>
    </w:p>
    <w:p w14:paraId="0F6DD94F" w14:textId="3FC69641" w:rsidR="008C6A37" w:rsidRPr="008C6A37" w:rsidRDefault="008C6A37" w:rsidP="00BC11DC">
      <w:pPr>
        <w:ind w:firstLine="567"/>
        <w:rPr>
          <w:lang w:val="ro-RO"/>
        </w:rPr>
      </w:pPr>
      <w:r w:rsidRPr="008C6A37">
        <w:rPr>
          <w:lang w:val="ro-RO"/>
        </w:rPr>
        <w:t xml:space="preserve">Monitorizarea și evaluarea implementării strategiei naționale privind </w:t>
      </w:r>
      <w:r w:rsidR="00E937B9">
        <w:rPr>
          <w:lang w:val="ro-RO"/>
        </w:rPr>
        <w:t xml:space="preserve">gospodărirea </w:t>
      </w:r>
      <w:r w:rsidRPr="008C6A37">
        <w:rPr>
          <w:lang w:val="ro-RO"/>
        </w:rPr>
        <w:t>integrată a zonei costiere se realizează în conformitate cu prevederile H.G 379 / 2022.</w:t>
      </w:r>
    </w:p>
    <w:p w14:paraId="0436579C" w14:textId="6291932E" w:rsidR="008C6A37" w:rsidRPr="008C6A37" w:rsidRDefault="008C6A37" w:rsidP="00BC11DC">
      <w:pPr>
        <w:ind w:firstLine="567"/>
        <w:rPr>
          <w:lang w:val="ro-RO"/>
        </w:rPr>
      </w:pPr>
      <w:r w:rsidRPr="008C6A37">
        <w:rPr>
          <w:lang w:val="ro-RO"/>
        </w:rPr>
        <w:t>În procesul de implementare a strategiei naționale privind g</w:t>
      </w:r>
      <w:r w:rsidR="00E937B9">
        <w:rPr>
          <w:lang w:val="ro-RO"/>
        </w:rPr>
        <w:t>ospodărirea</w:t>
      </w:r>
      <w:r w:rsidRPr="008C6A37">
        <w:rPr>
          <w:lang w:val="ro-RO"/>
        </w:rPr>
        <w:t xml:space="preserve"> integrată a zonei costiere au loc schimbări, fie planificate / așteptate, fie neprevăzute, care sunt înregistrate printr-o monitorizare eficientă. Succesul în implementarea strategiei este astfel măsurat din două motive:</w:t>
      </w:r>
    </w:p>
    <w:p w14:paraId="33CBC015" w14:textId="77777777" w:rsidR="008C6A37" w:rsidRPr="008C6A37" w:rsidRDefault="008C6A37" w:rsidP="00BC11DC">
      <w:pPr>
        <w:ind w:firstLine="567"/>
        <w:rPr>
          <w:lang w:val="ro-RO"/>
        </w:rPr>
      </w:pPr>
      <w:r w:rsidRPr="008C6A37">
        <w:rPr>
          <w:lang w:val="ro-RO"/>
        </w:rPr>
        <w:t>-</w:t>
      </w:r>
      <w:r w:rsidRPr="008C6A37">
        <w:rPr>
          <w:lang w:val="ro-RO"/>
        </w:rPr>
        <w:tab/>
        <w:t>pentru a evalua progresul în implementarea acțiunilor stabilite și în atingerea obiectivelor;</w:t>
      </w:r>
    </w:p>
    <w:p w14:paraId="2A94B940" w14:textId="77777777" w:rsidR="008C6A37" w:rsidRPr="008C6A37" w:rsidRDefault="008C6A37" w:rsidP="00BC11DC">
      <w:pPr>
        <w:ind w:firstLine="567"/>
        <w:rPr>
          <w:lang w:val="ro-RO"/>
        </w:rPr>
      </w:pPr>
      <w:r w:rsidRPr="008C6A37">
        <w:rPr>
          <w:lang w:val="ro-RO"/>
        </w:rPr>
        <w:t>-</w:t>
      </w:r>
      <w:r w:rsidRPr="008C6A37">
        <w:rPr>
          <w:lang w:val="ro-RO"/>
        </w:rPr>
        <w:tab/>
        <w:t xml:space="preserve">pentru a permite comparabilitatea stării și a tendințelor, atât în context național, cât și internațional. </w:t>
      </w:r>
    </w:p>
    <w:p w14:paraId="26939B00" w14:textId="77777777" w:rsidR="008C6A37" w:rsidRPr="008C6A37" w:rsidRDefault="008C6A37" w:rsidP="00BC11DC">
      <w:pPr>
        <w:ind w:firstLine="567"/>
        <w:rPr>
          <w:lang w:val="ro-RO"/>
        </w:rPr>
      </w:pPr>
      <w:r w:rsidRPr="008C6A37">
        <w:rPr>
          <w:lang w:val="ro-RO"/>
        </w:rPr>
        <w:lastRenderedPageBreak/>
        <w:t>Pe baza evaluării progresului realizat este posibil să se efectueze ajustări periodice ale obiectivelor, măsurilor și acțiunilor, în concordanță cu caracterul adaptiv al procesului  de management a zonei costiere.</w:t>
      </w:r>
    </w:p>
    <w:p w14:paraId="07AE252C" w14:textId="77777777" w:rsidR="008C6A37" w:rsidRPr="008C6A37" w:rsidRDefault="008C6A37" w:rsidP="00BC11DC">
      <w:pPr>
        <w:ind w:firstLine="567"/>
        <w:rPr>
          <w:lang w:val="ro-RO"/>
        </w:rPr>
      </w:pPr>
      <w:r w:rsidRPr="008C6A37">
        <w:rPr>
          <w:lang w:val="ro-RO"/>
        </w:rPr>
        <w:t>Monitorizarea este privită ca un proces de colectare și analiză sistematică și continuă a informațiilor privind implementarea acțiunilor stabilite în Planul de acțiune, precum și atingerea obiectivelor identificate și a rezultatelor așteptate. Procesul de monitorizare presupune următoarele etape: identificarea indicatorilor utilizaţi; verificarea respectării termenelor; verificarea respectării costurilor implementării; descrierea / evaluarea gradului de îndeplinire a acțiunilor cuprinse în planul de acţiune; elaborarea unor concluzii cu privire la stadiul de implementare (raport de monitorizare); recomandări, acțiuni corective și furnizarea unor justificări (motivaţii).</w:t>
      </w:r>
    </w:p>
    <w:p w14:paraId="3ED4B81D" w14:textId="77777777" w:rsidR="008C6A37" w:rsidRPr="008C6A37" w:rsidRDefault="008C6A37" w:rsidP="00BC11DC">
      <w:pPr>
        <w:ind w:firstLine="567"/>
        <w:rPr>
          <w:lang w:val="ro-RO"/>
        </w:rPr>
      </w:pPr>
      <w:r w:rsidRPr="008C6A37">
        <w:rPr>
          <w:lang w:val="ro-RO"/>
        </w:rPr>
        <w:t>În prezent, în România nu există o bază de date integrată sau un inventar național integrat privind zona costieră, iar raportările pe care România, ca stat membru al UE și ca parte a Convenției Mării Negre împotriva Poluării, are obligația să le transmită Comisiei Europene (Agenției Europene de Mediu), respectiv Comisiei Mării Negre, sunt realizate prin intermediul punctelor focale naționale din cadrul Comisiei Mării Negre (respectiv biodiversitate, monitoringul și evaluarea poluării, poluare din surse provenite de pe uscat și managementul integrat al zonei costiere). Acestea, împreună cu reprezentanții autorității publice centrale în domeniul mediului care au asemenea responsabilități, raportează o serie de indicatori cheie referitori la zona românească de coastă (INCDM, 2022).</w:t>
      </w:r>
    </w:p>
    <w:p w14:paraId="01A8140B" w14:textId="77777777" w:rsidR="008C6A37" w:rsidRPr="008C6A37" w:rsidRDefault="008C6A37" w:rsidP="00BC11DC">
      <w:pPr>
        <w:ind w:firstLine="567"/>
        <w:rPr>
          <w:lang w:val="ro-RO"/>
        </w:rPr>
      </w:pPr>
      <w:r w:rsidRPr="008C6A37">
        <w:rPr>
          <w:lang w:val="ro-RO"/>
        </w:rPr>
        <w:t xml:space="preserve">În scopul acoperirii acestui neajuns, a fost propusă ca acțiune prioritară (acțiunea F.2), înființarea unui Observator al Zonei Costiere, în cadrul Ministerului Mediului, Apelor și Pădurilor. Acesta va funcționa ca o bază de date integrată, administrată de către STA-ZC, unde vor fi disponibile toate datele și informațiile colectate de către organizațiile responsabile cu monitorizarea stării și proceselor din zona costieră. Aceste date și informații vor fi utilizate atât în elaborarea de studii tehnice ce fundamentează deciziile CNZC, cât și pentru procesul de monitorizare, evaluare și raportare. </w:t>
      </w:r>
    </w:p>
    <w:p w14:paraId="2815A5DE" w14:textId="77777777" w:rsidR="008C6A37" w:rsidRPr="008C6A37" w:rsidRDefault="008C6A37" w:rsidP="00BC11DC">
      <w:pPr>
        <w:ind w:firstLine="567"/>
        <w:rPr>
          <w:lang w:val="ro-RO"/>
        </w:rPr>
      </w:pPr>
      <w:r w:rsidRPr="008C6A37">
        <w:rPr>
          <w:lang w:val="ro-RO"/>
        </w:rPr>
        <w:t>Datele și informațiile colectate de către entitățile responsabile, în cadrul propriilor programe de monitoring, vor fi submise către Observatorul Zonei Costiere. Indicatorii de monitorizare sunt calculații folosind aceste date / informații colectate de către organizațiile responsabile, iar pe baza lor Grupul de Lucru pentru monitorizare, evaluare și raportare, din cadrul CNZC, va evalua gradul de realizare al acțiunilor cuprinse în planul de acţiune. Progresul realizat în atingerea rezultatelor așteptate prin implementarea fiecărei acțiuni este evaluat, fie anual, fie la diferite intervale de timp stabilite în funcție de specificul acțiunii și de perioada de implementare a programelor de finanțare, pe baza indicatorilor definiți anterior (Anexa 1). Pe baza acestor evaluări individuale ale acțiunilor este evaluat anual progresul realizat în atingerea obiectivelor strategiei, iar concluziile sunt  prezentate în Raportul anual de monitorizare și evaluare, elaborat de către Grupul de Lucru pentru monitorizare, evaluare și raportare, ce cuprinde informații cu privire la stadiul de implementare al strategiei și, eventual, justificări ale neatingerii rezultatelor așteptate și / sau progresului insuficient în atingerea obiectivelor și recomandări pentru acțiuni corective.</w:t>
      </w:r>
    </w:p>
    <w:p w14:paraId="6188EE25" w14:textId="77777777" w:rsidR="008C6A37" w:rsidRDefault="008C6A37" w:rsidP="00BC11DC">
      <w:pPr>
        <w:ind w:firstLine="567"/>
        <w:rPr>
          <w:lang w:val="ro-RO"/>
        </w:rPr>
      </w:pPr>
      <w:r w:rsidRPr="008C6A37">
        <w:rPr>
          <w:lang w:val="ro-RO"/>
        </w:rPr>
        <w:lastRenderedPageBreak/>
        <w:t>Procesul de monitorizare și evaluare trebuie să fie simplu și fluid, pentru a fundamenta îmbunătățirile și eventualele actualizări ale Strategiei și/sau ale Planului de acțiune.</w:t>
      </w:r>
    </w:p>
    <w:p w14:paraId="6B7729DB" w14:textId="77777777" w:rsidR="00A92A31" w:rsidRPr="00A92A31" w:rsidRDefault="00A92A31" w:rsidP="00940876">
      <w:pPr>
        <w:spacing w:before="0"/>
        <w:ind w:firstLine="0"/>
        <w:rPr>
          <w:sz w:val="28"/>
          <w:lang w:val="ro-RO"/>
        </w:rPr>
      </w:pPr>
    </w:p>
    <w:p w14:paraId="558DB4F6" w14:textId="0EA06145" w:rsidR="008C6A37" w:rsidRPr="00940876" w:rsidRDefault="0006143D" w:rsidP="008B76B1">
      <w:pPr>
        <w:pStyle w:val="Heading2"/>
        <w:numPr>
          <w:ilvl w:val="1"/>
          <w:numId w:val="48"/>
        </w:numPr>
        <w:rPr>
          <w:sz w:val="28"/>
        </w:rPr>
      </w:pPr>
      <w:r w:rsidRPr="005D2CE5">
        <w:t xml:space="preserve"> </w:t>
      </w:r>
      <w:bookmarkStart w:id="38" w:name="_Toc150247020"/>
      <w:bookmarkStart w:id="39" w:name="_Toc169625107"/>
      <w:r w:rsidR="008C6A37" w:rsidRPr="005D2CE5">
        <w:t>Instituțiile responsabile</w:t>
      </w:r>
      <w:bookmarkEnd w:id="38"/>
      <w:bookmarkEnd w:id="39"/>
      <w:r w:rsidR="008C6A37" w:rsidRPr="005D2CE5">
        <w:t xml:space="preserve"> </w:t>
      </w:r>
    </w:p>
    <w:p w14:paraId="38642BB1" w14:textId="53118BB6" w:rsidR="008C6A37" w:rsidRPr="008C6A37" w:rsidRDefault="008C6A37" w:rsidP="00BC11DC">
      <w:pPr>
        <w:ind w:firstLine="567"/>
        <w:rPr>
          <w:lang w:val="ro-RO"/>
        </w:rPr>
      </w:pPr>
      <w:r w:rsidRPr="008C6A37">
        <w:rPr>
          <w:b/>
          <w:i/>
          <w:lang w:val="ro-RO"/>
        </w:rPr>
        <w:t>Ministerul Mediului, Apelor și Pădurilor (MMAP)</w:t>
      </w:r>
      <w:r w:rsidRPr="008C6A37">
        <w:rPr>
          <w:lang w:val="ro-RO"/>
        </w:rPr>
        <w:t xml:space="preserve"> este principala autoritate responsabilă pentru implementarea Strategiei Naționale privind g</w:t>
      </w:r>
      <w:r w:rsidR="00E937B9">
        <w:rPr>
          <w:lang w:val="ro-RO"/>
        </w:rPr>
        <w:t>ospodărire</w:t>
      </w:r>
      <w:r w:rsidRPr="008C6A37">
        <w:rPr>
          <w:lang w:val="ro-RO"/>
        </w:rPr>
        <w:t>a integrată a zonei costiere în România. Conform Anexei la Ordin 573 / 23.02.2023 privind aprobarea Regulamentului de Organizare și Funcționare al Ministerului Mediului, Apelor și Pădurilor, MMAP exercită și funcția de strategie și planificare. Conform art.16, alin. 2, al acestei Anexe, în exercitarea acestei funcții, MMAP elaborează, actualizează și coordonează aplicarea Strategiei de management integrat a zonei costiere.</w:t>
      </w:r>
    </w:p>
    <w:p w14:paraId="75ECF579" w14:textId="77777777" w:rsidR="008C6A37" w:rsidRPr="008C6A37" w:rsidRDefault="008C6A37" w:rsidP="00BC11DC">
      <w:pPr>
        <w:ind w:firstLine="567"/>
        <w:rPr>
          <w:lang w:val="ro-RO"/>
        </w:rPr>
      </w:pPr>
      <w:r w:rsidRPr="008C6A37">
        <w:rPr>
          <w:b/>
          <w:i/>
          <w:lang w:val="ro-RO"/>
        </w:rPr>
        <w:t>Agențiile Județene de Protecție a Mediului Constanța și Tulcea</w:t>
      </w:r>
      <w:r w:rsidRPr="008C6A37">
        <w:rPr>
          <w:lang w:val="ro-RO"/>
        </w:rPr>
        <w:t>, instituții subordonate MMAP ce asigură implementarea politicilor, strategiilor și legislației în domeniul protecției mediului la nivel județean, emit acte de reglementare în domeniul protecției mediului, în conformitate cu competențele atribuite de către Agenția Națională pentru Protecția Mediului.</w:t>
      </w:r>
    </w:p>
    <w:p w14:paraId="1E920A6F" w14:textId="77777777" w:rsidR="008C6A37" w:rsidRPr="008C6A37" w:rsidRDefault="008C6A37" w:rsidP="00BC11DC">
      <w:pPr>
        <w:ind w:firstLine="567"/>
        <w:rPr>
          <w:lang w:val="ro-RO"/>
        </w:rPr>
      </w:pPr>
      <w:r w:rsidRPr="008C6A37">
        <w:rPr>
          <w:b/>
          <w:i/>
          <w:lang w:val="ro-RO"/>
        </w:rPr>
        <w:t>Administraţia Bazinală de apă Dobrogea Litoral</w:t>
      </w:r>
      <w:r w:rsidRPr="008C6A37">
        <w:rPr>
          <w:lang w:val="ro-RO"/>
        </w:rPr>
        <w:t xml:space="preserve"> </w:t>
      </w:r>
      <w:r w:rsidRPr="008C6A37">
        <w:rPr>
          <w:b/>
          <w:i/>
          <w:lang w:val="ro-RO"/>
        </w:rPr>
        <w:t>(ABADL)</w:t>
      </w:r>
      <w:r w:rsidRPr="008C6A37">
        <w:rPr>
          <w:lang w:val="ro-RO"/>
        </w:rPr>
        <w:t>, instituție ce funcționează în în subordinea Administrației Naționale ”Apele Române” – ANAR (ANAR fiind în coordonarea MMAP), este responsabilă pentru gospodărirea apelor și a infrastructurii Sistemului de Gospodărirea Apelor din porțiunea aferentă spațiului hidrografic Dobrogea-Litoral, inclusiv ape costiere și tranzitorii.</w:t>
      </w:r>
    </w:p>
    <w:p w14:paraId="63A71851" w14:textId="77777777" w:rsidR="008C6A37" w:rsidRPr="008C6A37" w:rsidRDefault="008C6A37" w:rsidP="00BC11DC">
      <w:pPr>
        <w:ind w:firstLine="567"/>
        <w:rPr>
          <w:lang w:val="ro-RO"/>
        </w:rPr>
      </w:pPr>
      <w:r w:rsidRPr="008C6A37">
        <w:rPr>
          <w:b/>
          <w:i/>
          <w:lang w:val="ro-RO"/>
        </w:rPr>
        <w:t>Administrația Rezervației Biosferei Delta Dunării (ARBDD)</w:t>
      </w:r>
      <w:r w:rsidRPr="008C6A37">
        <w:rPr>
          <w:lang w:val="ro-RO"/>
        </w:rPr>
        <w:t xml:space="preserve"> este o instituție publică, cu personalitate juridică, aflată în subordinea MMAP ce asigură administrarea patrimoniul natural și cultural al rezervației și gestionarea adecvată a resurselor RBDD. </w:t>
      </w:r>
    </w:p>
    <w:p w14:paraId="1C5CCD05" w14:textId="77777777" w:rsidR="008C6A37" w:rsidRPr="008C6A37" w:rsidRDefault="008C6A37" w:rsidP="00BC11DC">
      <w:pPr>
        <w:ind w:firstLine="567"/>
        <w:rPr>
          <w:lang w:val="ro-RO"/>
        </w:rPr>
      </w:pPr>
      <w:r w:rsidRPr="008C6A37">
        <w:rPr>
          <w:b/>
          <w:i/>
          <w:lang w:val="ro-RO"/>
        </w:rPr>
        <w:t xml:space="preserve">Agenția Națională pentru Arii Naturale Protejate (ANANP), </w:t>
      </w:r>
      <w:r w:rsidRPr="008C6A37">
        <w:rPr>
          <w:lang w:val="ro-RO"/>
        </w:rPr>
        <w:t>instituție aflată în subordinea MMAP,  asigură suportul tehnic necesar pentru fundamentarea actelor normative, a strategiilor și politicilor privind ariile naturale protejate, la nivel național, european și internațional. Rol esențial în dezvoltarea și promovarea soluțiilor bazate pe natură (NbS) și a serviciilor ecosistemice în celelalte politici și strategii sectoriale, esențiale în combaterea și adaptarea societății și a naturii în ansamblul său la efectele schimbărilor climatice.</w:t>
      </w:r>
    </w:p>
    <w:p w14:paraId="2F31FA61" w14:textId="77777777" w:rsidR="008C6A37" w:rsidRPr="008C6A37" w:rsidRDefault="008C6A37" w:rsidP="00BC11DC">
      <w:pPr>
        <w:ind w:firstLine="567"/>
        <w:rPr>
          <w:lang w:val="ro-RO"/>
        </w:rPr>
      </w:pPr>
      <w:r w:rsidRPr="008C6A37">
        <w:rPr>
          <w:b/>
          <w:i/>
          <w:lang w:val="ro-RO"/>
        </w:rPr>
        <w:t>Ministerul Dezvoltării, Lucrărilor Publice și Administrației</w:t>
      </w:r>
      <w:r w:rsidRPr="008C6A37">
        <w:rPr>
          <w:lang w:val="ro-RO"/>
        </w:rPr>
        <w:t xml:space="preserve"> </w:t>
      </w:r>
      <w:r w:rsidRPr="008C6A37">
        <w:rPr>
          <w:b/>
          <w:i/>
          <w:lang w:val="ro-RO"/>
        </w:rPr>
        <w:t>(MDLPA)</w:t>
      </w:r>
      <w:r w:rsidRPr="008C6A37">
        <w:rPr>
          <w:lang w:val="ro-RO"/>
        </w:rPr>
        <w:t xml:space="preserve"> este autoritatea pentru: lucrări publice, construcții, disciplina în construcții, amenajarea teritoriului, urbanism, arhitectură, amenajarea spațiului maritim, mobilitate urbană, locuire, locuințe, clădiri de locuit, dezvoltare regională, coeziune și dezvoltare teritorială, cooperare transfrontalieră, transnațională și interregională, descentralizare, reformă și reorganizare administrativ-teritorială, reformă în administrația publică, funcție publică, fiscalitate locală, proceduri fiscale locale, finanțe publice locale, atestarea domeniului public al unităților administrativ-teritoriale, dezvoltarea serviciilor comunitare de utilități publice, ajutor de stat aprobat de autoritățile administrației publice locale, parcuri industriale, programarea, coordonarea, monitorizarea și controlul utilizării asistenței financiare nerambursabile acordate României de către Uniunea </w:t>
      </w:r>
      <w:r w:rsidRPr="008C6A37">
        <w:rPr>
          <w:lang w:val="ro-RO"/>
        </w:rPr>
        <w:lastRenderedPageBreak/>
        <w:t>Europeană (UE) pentru programele din domeniile sale de activitate, precum și formarea și perfecționarea profesională a personalului din administrația publică.</w:t>
      </w:r>
    </w:p>
    <w:p w14:paraId="2B5F329B" w14:textId="77777777" w:rsidR="008C6A37" w:rsidRPr="008C6A37" w:rsidRDefault="008C6A37" w:rsidP="00BC11DC">
      <w:pPr>
        <w:ind w:firstLine="567"/>
        <w:rPr>
          <w:lang w:val="ro-RO"/>
        </w:rPr>
      </w:pPr>
      <w:r w:rsidRPr="008C6A37">
        <w:rPr>
          <w:b/>
          <w:i/>
          <w:lang w:val="ro-RO"/>
        </w:rPr>
        <w:t>Ministerul Agriculturii şi Dezvoltării Rurale (MADR)</w:t>
      </w:r>
      <w:r w:rsidRPr="008C6A37">
        <w:rPr>
          <w:lang w:val="ro-RO"/>
        </w:rPr>
        <w:t xml:space="preserve"> este autoritatea responsabilă de coordonarea procesului de implementare a Politicii Agricole Comune și a Politicii Comune în domeniul Pescuitului. De asemenea, MADR responsabilă pentru problemele de adaptare şi atenuare a schimbărilor climatice în domeniile agriculturii şi dezvoltării rurale. </w:t>
      </w:r>
    </w:p>
    <w:p w14:paraId="7E253634" w14:textId="77777777" w:rsidR="008C6A37" w:rsidRPr="008C6A37" w:rsidRDefault="008C6A37" w:rsidP="00BC11DC">
      <w:pPr>
        <w:ind w:firstLine="567"/>
        <w:rPr>
          <w:lang w:val="ro-RO"/>
        </w:rPr>
      </w:pPr>
      <w:r w:rsidRPr="008C6A37">
        <w:rPr>
          <w:b/>
          <w:i/>
          <w:lang w:val="ro-RO"/>
        </w:rPr>
        <w:t xml:space="preserve">Agenția Națională pentru Pescuit și Acvacultură (ANPA) </w:t>
      </w:r>
      <w:r w:rsidRPr="008C6A37">
        <w:rPr>
          <w:lang w:val="ro-RO"/>
        </w:rPr>
        <w:t>este structura care funcționează în subordinea MADR, responsabilă pentru definirea şi implementarea politicii referitoare la conservarea şi administrarea resurselor acvatice vii existente în apele maritime şi continentale, acvacultură, procesarea şi organizarea pieţei produselor pescăreşti, structurile de pescuit şi acvacultură.</w:t>
      </w:r>
    </w:p>
    <w:p w14:paraId="749D572F" w14:textId="77777777" w:rsidR="008C6A37" w:rsidRPr="008C6A37" w:rsidRDefault="008C6A37" w:rsidP="00BC11DC">
      <w:pPr>
        <w:ind w:firstLine="567"/>
        <w:rPr>
          <w:lang w:val="ro-RO"/>
        </w:rPr>
      </w:pPr>
      <w:r w:rsidRPr="008C6A37">
        <w:rPr>
          <w:b/>
          <w:i/>
          <w:lang w:val="ro-RO"/>
        </w:rPr>
        <w:t>Ministerul Transporturilor (MT)</w:t>
      </w:r>
      <w:r w:rsidRPr="008C6A37">
        <w:rPr>
          <w:lang w:val="ro-RO"/>
        </w:rPr>
        <w:t xml:space="preserve"> este responsabil pentru toate sectoarele de transport maritim, rutier, feroviar, precum şi pentru infrastructura asociată, respectiv drumuri naționale, căi ferate și navigaţie. MT gestionează strategia, politicile și programele de investiții în transport și infrastructură, în legătură cu funcționarea coridoarelor transnaționale care conectează sistemele de transport la nivel național.</w:t>
      </w:r>
    </w:p>
    <w:p w14:paraId="53268E4C" w14:textId="77777777" w:rsidR="008C6A37" w:rsidRPr="008C6A37" w:rsidRDefault="008C6A37" w:rsidP="00BC11DC">
      <w:pPr>
        <w:ind w:firstLine="567"/>
        <w:rPr>
          <w:lang w:val="ro-RO"/>
        </w:rPr>
      </w:pPr>
      <w:r w:rsidRPr="008C6A37">
        <w:rPr>
          <w:b/>
          <w:i/>
          <w:lang w:val="ro-RO"/>
        </w:rPr>
        <w:t xml:space="preserve">Autoritatea Navală Română (ANR) </w:t>
      </w:r>
      <w:r w:rsidRPr="008C6A37">
        <w:rPr>
          <w:lang w:val="ro-RO"/>
        </w:rPr>
        <w:t>este autoritatea centrală de specialitate din subordinea MT, în domeniul siguranței navigației și al securității navelor. ANR este responsabilă pentru efectuarea de controale pentru prevenirea poluărilor de la nave, monitorizarea debalastărilor, a bunkerărilor și a predării deșeurilor, precum și investigarea incidentelor de poluare de la nave.</w:t>
      </w:r>
    </w:p>
    <w:p w14:paraId="092DECED" w14:textId="77777777" w:rsidR="008C6A37" w:rsidRPr="008C6A37" w:rsidRDefault="008C6A37" w:rsidP="00BC11DC">
      <w:pPr>
        <w:ind w:firstLine="567"/>
        <w:rPr>
          <w:lang w:val="ro-RO"/>
        </w:rPr>
      </w:pPr>
      <w:r w:rsidRPr="008C6A37">
        <w:rPr>
          <w:b/>
          <w:i/>
          <w:lang w:val="ro-RO"/>
        </w:rPr>
        <w:t xml:space="preserve">Compania Națională Administrația Porturilor Maritime SA Constanța (CN APM) </w:t>
      </w:r>
      <w:r w:rsidRPr="008C6A37">
        <w:rPr>
          <w:lang w:val="ro-RO"/>
        </w:rPr>
        <w:t>este o societate comercială pe acțiuni, desemnată de MT să desfășoare activități de interes public național, în calitate de administrație portuară. CN APM are ca responsabilități aplicarea politicilor portuare elaborate de MT, întocmirea planurilor de dezvoltare a porturilor maritime, în acord cu politica și programele de dezvoltare elaborate de MT și cu Regulamentul de exploatare a porturilor maritime, coordonarea activităților care se desfășoară în porturile maritime și implementarea programelor de dezvoltare a infrastructurilor porturilor maritime.</w:t>
      </w:r>
    </w:p>
    <w:p w14:paraId="41E7087B" w14:textId="77777777" w:rsidR="008C6A37" w:rsidRPr="008C6A37" w:rsidRDefault="008C6A37" w:rsidP="00BC11DC">
      <w:pPr>
        <w:ind w:firstLine="567"/>
        <w:rPr>
          <w:lang w:val="ro-RO"/>
        </w:rPr>
      </w:pPr>
      <w:r w:rsidRPr="008C6A37">
        <w:rPr>
          <w:b/>
          <w:i/>
          <w:lang w:val="ro-RO"/>
        </w:rPr>
        <w:t>Administrația Fluvială a Dunării de Jos (AFDJ) Galați</w:t>
      </w:r>
      <w:r w:rsidRPr="008C6A37">
        <w:rPr>
          <w:lang w:val="ro-RO"/>
        </w:rPr>
        <w:t xml:space="preserve"> funcționează ca regie autonomă sub autoritatea Ministerului Transporturilor, îndeplinind funcția de autoritate de căi navigabile pe sectorul românesc al Dunării.</w:t>
      </w:r>
    </w:p>
    <w:p w14:paraId="573D1BFE" w14:textId="77777777" w:rsidR="008C6A37" w:rsidRPr="008C6A37" w:rsidRDefault="008C6A37" w:rsidP="00BC11DC">
      <w:pPr>
        <w:ind w:firstLine="567"/>
        <w:rPr>
          <w:lang w:val="ro-RO"/>
        </w:rPr>
      </w:pPr>
      <w:r w:rsidRPr="008C6A37">
        <w:rPr>
          <w:b/>
          <w:i/>
          <w:lang w:val="ro-RO"/>
        </w:rPr>
        <w:t>Ministerul Economiei, Antreprenoriatului și Turismului</w:t>
      </w:r>
      <w:r w:rsidRPr="008C6A37">
        <w:rPr>
          <w:lang w:val="ro-RO"/>
        </w:rPr>
        <w:t xml:space="preserve"> </w:t>
      </w:r>
      <w:r w:rsidRPr="008C6A37">
        <w:rPr>
          <w:b/>
          <w:i/>
          <w:lang w:val="ro-RO"/>
        </w:rPr>
        <w:t>(MEAT)</w:t>
      </w:r>
      <w:r w:rsidRPr="008C6A37">
        <w:rPr>
          <w:lang w:val="ro-RO"/>
        </w:rPr>
        <w:t xml:space="preserve"> este responsabil pentru politicile industriale şi economice.</w:t>
      </w:r>
    </w:p>
    <w:p w14:paraId="5E67B9C9" w14:textId="77777777" w:rsidR="008C6A37" w:rsidRPr="008C6A37" w:rsidRDefault="008C6A37" w:rsidP="00BC11DC">
      <w:pPr>
        <w:ind w:firstLine="567"/>
        <w:rPr>
          <w:lang w:val="ro-RO"/>
        </w:rPr>
      </w:pPr>
      <w:r w:rsidRPr="008C6A37">
        <w:rPr>
          <w:b/>
          <w:i/>
          <w:lang w:val="ro-RO"/>
        </w:rPr>
        <w:t>Camerele de Comerț, Industrie, Navigație și Agricultură Constanța și Tulcea</w:t>
      </w:r>
      <w:r w:rsidRPr="008C6A37">
        <w:rPr>
          <w:lang w:val="ro-RO"/>
        </w:rPr>
        <w:t xml:space="preserve"> sunt actori importanți în facilitarea și îmbunătățirea activităților economice din zona costieră.</w:t>
      </w:r>
    </w:p>
    <w:p w14:paraId="4C4F3E0B" w14:textId="77777777" w:rsidR="008C6A37" w:rsidRPr="008C6A37" w:rsidRDefault="008C6A37" w:rsidP="00BC11DC">
      <w:pPr>
        <w:ind w:firstLine="567"/>
        <w:rPr>
          <w:lang w:val="ro-RO"/>
        </w:rPr>
      </w:pPr>
      <w:r w:rsidRPr="008C6A37">
        <w:rPr>
          <w:b/>
          <w:i/>
          <w:lang w:val="ro-RO"/>
        </w:rPr>
        <w:t>Ministerul Cercetării, Inovării și Digitalizării (MCID)</w:t>
      </w:r>
      <w:r w:rsidRPr="008C6A37">
        <w:rPr>
          <w:lang w:val="ro-RO"/>
        </w:rPr>
        <w:t xml:space="preserve"> este autoritatea centrală care, prin Strategia Națională de Cercetare, Inovare și Specializare Inteligentă 2021-2027, oferă oportunități pentru fundamentarea științifică a acțiunilor necesare i) conservării biodiversității și resurselor din zona costieră, ii) dezvoltării sectoarelor emergente ale Economiei Albastre, iii) </w:t>
      </w:r>
      <w:r w:rsidRPr="008C6A37">
        <w:rPr>
          <w:lang w:val="ro-RO"/>
        </w:rPr>
        <w:lastRenderedPageBreak/>
        <w:t>diminuării impactului hazardelor naturale și antropice și iv) atingerii neutralității și rezilienței climatice.</w:t>
      </w:r>
    </w:p>
    <w:p w14:paraId="170C06AA" w14:textId="77777777" w:rsidR="008C6A37" w:rsidRPr="008C6A37" w:rsidRDefault="008C6A37" w:rsidP="00BC11DC">
      <w:pPr>
        <w:ind w:firstLine="567"/>
        <w:rPr>
          <w:lang w:val="ro-RO"/>
        </w:rPr>
      </w:pPr>
      <w:r w:rsidRPr="008C6A37">
        <w:rPr>
          <w:b/>
          <w:i/>
          <w:lang w:val="ro-RO"/>
        </w:rPr>
        <w:t>Academia Română</w:t>
      </w:r>
      <w:r w:rsidRPr="008C6A37">
        <w:rPr>
          <w:lang w:val="ro-RO"/>
        </w:rPr>
        <w:t xml:space="preserve"> susține, prin strategie, programe și institute de cercetare, cercetarea aspectelor critice ale zonei costiere. Academia Română asigură calitatea produselor și condițiilor de cercetare pentru a sprijini luarea deciziilor în domeniile și problemele de interes pe baza fundamentării științifice.</w:t>
      </w:r>
    </w:p>
    <w:p w14:paraId="436852FE" w14:textId="77777777" w:rsidR="008C6A37" w:rsidRPr="008C6A37" w:rsidRDefault="008C6A37" w:rsidP="00BC11DC">
      <w:pPr>
        <w:ind w:firstLine="567"/>
        <w:rPr>
          <w:lang w:val="ro-RO"/>
        </w:rPr>
      </w:pPr>
      <w:r w:rsidRPr="008C6A37">
        <w:rPr>
          <w:b/>
          <w:i/>
          <w:lang w:val="ro-RO"/>
        </w:rPr>
        <w:t>Institute de cercetare (INCD GeoEcoMar, INCDM Grigore Antipa și INCD Delta Dunării) și universități (Universitatea Ovidius Constanța, Universitatea din București)</w:t>
      </w:r>
      <w:r w:rsidRPr="008C6A37">
        <w:rPr>
          <w:lang w:val="ro-RO"/>
        </w:rPr>
        <w:t xml:space="preserve"> au rol în implementarea acțiunilor legate de monitorizare, cercetare-dezvoltare, inovare, educație și formare profesională prevăzute în Planul de Acțiune al Strategiei. </w:t>
      </w:r>
    </w:p>
    <w:p w14:paraId="1444ACB3" w14:textId="77777777" w:rsidR="008C6A37" w:rsidRPr="008C6A37" w:rsidRDefault="008C6A37" w:rsidP="00BC11DC">
      <w:pPr>
        <w:ind w:firstLine="567"/>
        <w:rPr>
          <w:lang w:val="ro-RO"/>
        </w:rPr>
      </w:pPr>
      <w:r w:rsidRPr="008C6A37">
        <w:rPr>
          <w:b/>
          <w:i/>
          <w:lang w:val="ro-RO"/>
        </w:rPr>
        <w:t>Ministerul Culturii (MC)</w:t>
      </w:r>
      <w:r w:rsidRPr="008C6A37">
        <w:rPr>
          <w:lang w:val="ro-RO"/>
        </w:rPr>
        <w:t xml:space="preserve"> este responsabil pentru protejarea patrimoniului cultural și a celui imaterial prin promovarea unui cadru legislativ specific în vederea promovării eficiente și proactive a patrimoniului național, precum și prin programe și măsuri specifice privind evaluarea, restaurarea și conservarea, respectiv punerea lor în valoare și reinserția în viața comunității prin dezvoltarea de proiecte integrate și rețele de cooperare. </w:t>
      </w:r>
    </w:p>
    <w:p w14:paraId="29A1FB03" w14:textId="77777777" w:rsidR="008C6A37" w:rsidRPr="008C6A37" w:rsidRDefault="008C6A37" w:rsidP="00BC11DC">
      <w:pPr>
        <w:ind w:firstLine="567"/>
        <w:rPr>
          <w:lang w:val="ro-RO"/>
        </w:rPr>
      </w:pPr>
      <w:r w:rsidRPr="008C6A37">
        <w:rPr>
          <w:b/>
          <w:i/>
          <w:lang w:val="ro-RO"/>
        </w:rPr>
        <w:t>Ministerul Sănătății (MS)</w:t>
      </w:r>
      <w:r w:rsidRPr="008C6A37">
        <w:rPr>
          <w:lang w:val="ro-RO"/>
        </w:rPr>
        <w:t xml:space="preserve"> este responsabil pentru promovarea sănătăţii, prevenirea îmbolnăvirilor, protejarea populației împotriva riscurilor din mediu şi îmbunătăţirea calităţii vieţii. În implementarea managementului integrat al zonei costiere, MS este responsabil cu asigurarea calității apelor de îmbăiere.</w:t>
      </w:r>
    </w:p>
    <w:p w14:paraId="46276D78" w14:textId="77777777" w:rsidR="008C6A37" w:rsidRPr="008C6A37" w:rsidRDefault="008C6A37" w:rsidP="00BC11DC">
      <w:pPr>
        <w:ind w:firstLine="567"/>
        <w:rPr>
          <w:lang w:val="ro-RO"/>
        </w:rPr>
      </w:pPr>
      <w:r w:rsidRPr="008C6A37">
        <w:rPr>
          <w:b/>
          <w:i/>
          <w:lang w:val="ro-RO"/>
        </w:rPr>
        <w:t xml:space="preserve">Ministerul Apărării Naționale (MApN)  </w:t>
      </w:r>
      <w:r w:rsidRPr="008C6A37">
        <w:rPr>
          <w:lang w:val="ro-RO"/>
        </w:rPr>
        <w:t>este organul de specialitate al administraţiei publice centrale, în subordinea Guvernului, prin care este condusă activitatea în domeniul apărării naţionale, potrivit prevederilor legii şi strategiei de securitate naţională, pentru garantarea suveranităţii, independenţei şi unităţii statului, integrităţii teritoriale a ţării şi democraţiei constituţionale</w:t>
      </w:r>
      <w:r w:rsidRPr="008C6A37">
        <w:rPr>
          <w:b/>
          <w:i/>
          <w:lang w:val="ro-RO"/>
        </w:rPr>
        <w:t xml:space="preserve">. </w:t>
      </w:r>
      <w:r w:rsidRPr="008C6A37">
        <w:rPr>
          <w:lang w:val="ro-RO"/>
        </w:rPr>
        <w:t xml:space="preserve">În managementul integrat al zonei costiere, MApN, prin </w:t>
      </w:r>
      <w:r w:rsidRPr="008C6A37">
        <w:rPr>
          <w:b/>
          <w:i/>
          <w:lang w:val="ro-RO"/>
        </w:rPr>
        <w:t>Direcția Hidrografică Maritimă (DHM)</w:t>
      </w:r>
      <w:r w:rsidRPr="008C6A37">
        <w:rPr>
          <w:lang w:val="ro-RO"/>
        </w:rPr>
        <w:t xml:space="preserve"> asigură informaţiile geospaţiale, geografice, hidrografice şi hidrometeorologice din zona maritimă a zonei costiere. </w:t>
      </w:r>
    </w:p>
    <w:p w14:paraId="719F6417" w14:textId="77777777" w:rsidR="008C6A37" w:rsidRPr="008C6A37" w:rsidRDefault="008C6A37" w:rsidP="00BC11DC">
      <w:pPr>
        <w:ind w:firstLine="567"/>
        <w:rPr>
          <w:lang w:val="ro-RO"/>
        </w:rPr>
      </w:pPr>
      <w:r w:rsidRPr="008C6A37">
        <w:rPr>
          <w:b/>
          <w:i/>
          <w:lang w:val="ro-RO"/>
        </w:rPr>
        <w:t xml:space="preserve">Ministerul Afacerilor Interne (MAI), </w:t>
      </w:r>
      <w:r w:rsidRPr="008C6A37">
        <w:rPr>
          <w:lang w:val="ro-RO"/>
        </w:rPr>
        <w:t xml:space="preserve">prin Inspectoratul General pentru Situaţii de Urgenţă (IGSU), este responsabil pentru coordonarea, prevenirea şi managementul situaţiilor de urgenţă. </w:t>
      </w:r>
    </w:p>
    <w:p w14:paraId="0ACFBBD9" w14:textId="2138E6CA" w:rsidR="008C6A37" w:rsidRPr="008C6A37" w:rsidRDefault="008C6A37" w:rsidP="00BC11DC">
      <w:pPr>
        <w:ind w:firstLine="567"/>
        <w:rPr>
          <w:lang w:val="ro-RO"/>
        </w:rPr>
      </w:pPr>
      <w:r w:rsidRPr="008C6A37">
        <w:rPr>
          <w:b/>
          <w:i/>
          <w:lang w:val="ro-RO"/>
        </w:rPr>
        <w:t>Autorități publice locale și județene (Consiliile Județene Constanța și Tulcea)</w:t>
      </w:r>
      <w:r w:rsidRPr="008C6A37">
        <w:rPr>
          <w:lang w:val="ro-RO"/>
        </w:rPr>
        <w:t xml:space="preserve"> contribuie în mod activ la realizarea obiectivelor, programelor și măsurilor din cadrul Strategiei Naționale privind g</w:t>
      </w:r>
      <w:r w:rsidR="0098106A">
        <w:rPr>
          <w:lang w:val="ro-RO"/>
        </w:rPr>
        <w:t>ospodărir</w:t>
      </w:r>
      <w:r w:rsidRPr="008C6A37">
        <w:rPr>
          <w:lang w:val="ro-RO"/>
        </w:rPr>
        <w:t>ea integrată a zonei costiere. Autoritățile publice locale sunt responsabile pentru pregătirea și respectarea planurilor de amenajare teritorială și dezvoltare urbană, precum și a autorizației de construcție în cooperare cu alte instituții publice relevante din diferite domenii de interes public. Autoritățile locale reprezintă factorii interesați cei mai implicați în procesul de dezvoltare locală a acestei zone.</w:t>
      </w:r>
    </w:p>
    <w:p w14:paraId="5E66201D" w14:textId="77777777" w:rsidR="008C6A37" w:rsidRPr="008C6A37" w:rsidRDefault="008C6A37" w:rsidP="00BC11DC">
      <w:pPr>
        <w:ind w:firstLine="567"/>
        <w:rPr>
          <w:lang w:val="ro-RO"/>
        </w:rPr>
      </w:pPr>
      <w:r w:rsidRPr="008C6A37">
        <w:rPr>
          <w:b/>
          <w:i/>
          <w:lang w:val="ro-RO"/>
        </w:rPr>
        <w:t>Organizații non-guvernamentale</w:t>
      </w:r>
      <w:r w:rsidRPr="008C6A37">
        <w:rPr>
          <w:lang w:val="ro-RO"/>
        </w:rPr>
        <w:t xml:space="preserve"> sunt responsabile pentru includerea în managementul integrat al zonei costiere a problemelor referitoare la protecția zonelor naturale, biodiversității, patrimoniului cultural, peisajului și a comunităților locale.</w:t>
      </w:r>
    </w:p>
    <w:p w14:paraId="0EEADFCA" w14:textId="77777777" w:rsidR="008C6A37" w:rsidRPr="008C6A37" w:rsidRDefault="008C6A37" w:rsidP="00BC11DC">
      <w:pPr>
        <w:ind w:firstLine="567"/>
        <w:rPr>
          <w:lang w:val="ro-RO"/>
        </w:rPr>
      </w:pPr>
      <w:r w:rsidRPr="008C6A37">
        <w:rPr>
          <w:lang w:val="ro-RO"/>
        </w:rPr>
        <w:lastRenderedPageBreak/>
        <w:t xml:space="preserve">Toate aceste instituții implicate în implementarea strategiei sunt reprezentate în </w:t>
      </w:r>
      <w:r w:rsidRPr="008C6A37">
        <w:rPr>
          <w:b/>
          <w:i/>
          <w:lang w:val="ro-RO"/>
        </w:rPr>
        <w:t>Comitetul Național al Zonei Costiere</w:t>
      </w:r>
      <w:r w:rsidRPr="008C6A37">
        <w:rPr>
          <w:lang w:val="ro-RO"/>
        </w:rPr>
        <w:t xml:space="preserve">. </w:t>
      </w:r>
    </w:p>
    <w:p w14:paraId="63980765" w14:textId="77777777" w:rsidR="008C6A37" w:rsidRPr="008C6A37" w:rsidRDefault="008C6A37" w:rsidP="00BC11DC">
      <w:pPr>
        <w:ind w:firstLine="567"/>
        <w:rPr>
          <w:lang w:val="ro-RO"/>
        </w:rPr>
      </w:pPr>
      <w:r w:rsidRPr="008C6A37">
        <w:rPr>
          <w:lang w:val="ro-RO"/>
        </w:rPr>
        <w:t>Pe lângă instituțiile prezentate mai sus mai sunt implicate în implementarea Strategiei Naționale privind gospodărirea integrată a zonei costiere și următoarele:</w:t>
      </w:r>
    </w:p>
    <w:p w14:paraId="5A60A4AD" w14:textId="77777777" w:rsidR="008C6A37" w:rsidRPr="008C6A37" w:rsidRDefault="008C6A37" w:rsidP="00BC11DC">
      <w:pPr>
        <w:ind w:firstLine="567"/>
        <w:rPr>
          <w:lang w:val="ro-RO"/>
        </w:rPr>
      </w:pPr>
      <w:r w:rsidRPr="008C6A37">
        <w:rPr>
          <w:b/>
          <w:i/>
          <w:lang w:val="ro-RO"/>
        </w:rPr>
        <w:t xml:space="preserve">Ministerul Energiei </w:t>
      </w:r>
      <w:r w:rsidRPr="008C6A37">
        <w:rPr>
          <w:lang w:val="ro-RO"/>
        </w:rPr>
        <w:t>este organismul responsabil pentru problemele legate de energie.</w:t>
      </w:r>
    </w:p>
    <w:p w14:paraId="489A6BC5" w14:textId="77777777" w:rsidR="008C6A37" w:rsidRPr="008C6A37" w:rsidRDefault="008C6A37" w:rsidP="00BC11DC">
      <w:pPr>
        <w:ind w:firstLine="567"/>
        <w:rPr>
          <w:lang w:val="ro-RO"/>
        </w:rPr>
      </w:pPr>
      <w:r w:rsidRPr="008C6A37">
        <w:rPr>
          <w:b/>
          <w:i/>
          <w:lang w:val="ro-RO"/>
        </w:rPr>
        <w:t xml:space="preserve">Administrația Națională de Meteorologie (ANM) </w:t>
      </w:r>
      <w:r w:rsidRPr="008C6A37">
        <w:rPr>
          <w:lang w:val="ro-RO"/>
        </w:rPr>
        <w:t>organism de drept public, responsabil cu monitorizarea evenimentelor extreme în România şi cu cercetarea meteorologică (inclusiv a schimbărilor climatice).</w:t>
      </w:r>
    </w:p>
    <w:p w14:paraId="6725461F" w14:textId="77777777" w:rsidR="008C6A37" w:rsidRPr="008C6A37" w:rsidRDefault="008C6A37" w:rsidP="00BC11DC">
      <w:pPr>
        <w:ind w:firstLine="567"/>
        <w:rPr>
          <w:lang w:val="ro-RO"/>
        </w:rPr>
      </w:pPr>
      <w:r w:rsidRPr="008C6A37">
        <w:rPr>
          <w:b/>
          <w:i/>
          <w:lang w:val="ro-RO"/>
        </w:rPr>
        <w:t>Agenția Națională pentru resurse Minerale (ANRM)</w:t>
      </w:r>
      <w:r w:rsidRPr="008C6A37">
        <w:rPr>
          <w:lang w:val="ro-RO"/>
        </w:rPr>
        <w:t xml:space="preserve"> este autoritatea competentă abilitată să aplice dispoziţiile Legii minelor nr. 85/2003, cu modificările şi completările ulterioare. </w:t>
      </w:r>
    </w:p>
    <w:p w14:paraId="1C000023" w14:textId="77777777" w:rsidR="008C6A37" w:rsidRPr="008C6A37" w:rsidRDefault="008C6A37" w:rsidP="00BC11DC">
      <w:pPr>
        <w:ind w:firstLine="567"/>
        <w:rPr>
          <w:lang w:val="ro-RO"/>
        </w:rPr>
      </w:pPr>
      <w:r w:rsidRPr="008C6A37">
        <w:rPr>
          <w:b/>
          <w:i/>
          <w:lang w:val="ro-RO"/>
        </w:rPr>
        <w:t xml:space="preserve">Garda Națională de Mediu (GNM) </w:t>
      </w:r>
      <w:r w:rsidRPr="008C6A37">
        <w:rPr>
          <w:lang w:val="ro-RO"/>
        </w:rPr>
        <w:t>este o agenție guvernamentală aflată în subordinea MMAP. GNM controlează activitățile cu impact asupra mediului înconjurător, și aplică sancțiuni contravenționale prevăzute de legislația în domeniul protecției mediului.</w:t>
      </w:r>
    </w:p>
    <w:p w14:paraId="4711EF45" w14:textId="77777777" w:rsidR="008C6A37" w:rsidRDefault="008C6A37" w:rsidP="00BC11DC">
      <w:pPr>
        <w:ind w:firstLine="567"/>
        <w:rPr>
          <w:lang w:val="ro-RO"/>
        </w:rPr>
      </w:pPr>
      <w:r w:rsidRPr="008C6A37">
        <w:rPr>
          <w:b/>
          <w:i/>
          <w:lang w:val="ro-RO"/>
        </w:rPr>
        <w:t xml:space="preserve">Organizațiile de Management al Destinațiilor </w:t>
      </w:r>
      <w:r w:rsidRPr="008C6A37">
        <w:rPr>
          <w:lang w:val="ro-RO"/>
        </w:rPr>
        <w:t>pot avea un rol deosebit de important în elaborarea și punerea în aplicare a strategiilor de dezvoltare și promovare a destinațiilor turistice la nivel local, județean și regional.</w:t>
      </w:r>
    </w:p>
    <w:p w14:paraId="3D8EC09C" w14:textId="77777777" w:rsidR="00A92A31" w:rsidRPr="00A92A31" w:rsidRDefault="00A92A31" w:rsidP="00940876">
      <w:pPr>
        <w:spacing w:before="0"/>
        <w:ind w:firstLine="0"/>
        <w:rPr>
          <w:sz w:val="28"/>
          <w:lang w:val="ro-RO"/>
        </w:rPr>
      </w:pPr>
    </w:p>
    <w:p w14:paraId="288006A7" w14:textId="5EB239A5" w:rsidR="008C6A37" w:rsidRPr="00940876" w:rsidRDefault="005D2CE5" w:rsidP="005D2CE5">
      <w:pPr>
        <w:pStyle w:val="Heading2"/>
      </w:pPr>
      <w:bookmarkStart w:id="40" w:name="_Toc150247021"/>
      <w:bookmarkStart w:id="41" w:name="_Toc169625108"/>
      <w:r>
        <w:t xml:space="preserve">1.11 </w:t>
      </w:r>
      <w:r w:rsidR="008C6A37" w:rsidRPr="005D2CE5">
        <w:t>Implicațiile</w:t>
      </w:r>
      <w:r w:rsidR="008C6A37" w:rsidRPr="00940876">
        <w:t xml:space="preserve"> bugetare și sursele de finanțare</w:t>
      </w:r>
      <w:bookmarkEnd w:id="40"/>
      <w:bookmarkEnd w:id="41"/>
      <w:r w:rsidR="008C6A37" w:rsidRPr="00940876">
        <w:t xml:space="preserve"> </w:t>
      </w:r>
    </w:p>
    <w:p w14:paraId="528BF04F" w14:textId="78829886" w:rsidR="008C6A37" w:rsidRPr="008C6A37" w:rsidRDefault="008C6A37" w:rsidP="00BC11DC">
      <w:pPr>
        <w:ind w:firstLine="567"/>
        <w:rPr>
          <w:lang w:val="ro-RO"/>
        </w:rPr>
      </w:pPr>
      <w:r w:rsidRPr="008C6A37">
        <w:rPr>
          <w:lang w:val="ro-RO"/>
        </w:rPr>
        <w:t xml:space="preserve">Având în vedere perioada lungă acoperită de Strategia Națională privind </w:t>
      </w:r>
      <w:r w:rsidR="0098106A">
        <w:rPr>
          <w:lang w:val="ro-RO"/>
        </w:rPr>
        <w:t>gospodărirea</w:t>
      </w:r>
      <w:r w:rsidRPr="008C6A37">
        <w:rPr>
          <w:lang w:val="ro-RO"/>
        </w:rPr>
        <w:t xml:space="preserve"> integrată a zonei costiere, respectiv până în 2040, precum și lipsa informațiilor cu privire la configurația programelor și a axelor prioritare pentru 2028-2034, este dificil de identificat sursele de finanțare a acțiunilor propuse pentru implementarea ei, mai ales că până în 2027 pot apărea modificări în ceea ce privește contextul socio-economic general și nevoile specifice identificate la nivelul zonei costiere.</w:t>
      </w:r>
    </w:p>
    <w:p w14:paraId="5D8EF704" w14:textId="77777777" w:rsidR="008C6A37" w:rsidRPr="008C6A37" w:rsidRDefault="008C6A37" w:rsidP="00BC11DC">
      <w:pPr>
        <w:ind w:firstLine="567"/>
        <w:rPr>
          <w:lang w:val="ro-RO"/>
        </w:rPr>
      </w:pPr>
      <w:r w:rsidRPr="008C6A37">
        <w:rPr>
          <w:lang w:val="ro-RO"/>
        </w:rPr>
        <w:t>La finalul perioadei de programare 2021-2027, mai exact în 2030 (programele sunt eligibile până la 31.12.2029), va fi realizată o revizuire a acestei strategii pentru a se asigura corelarea cu prioritățile și sursele de finanțare viitoare, având în vedere faptul că acestea vor continua să fie principalul vector pentru realizarea de investiții la nivelul zonei costiere.</w:t>
      </w:r>
    </w:p>
    <w:p w14:paraId="50A73902" w14:textId="77777777" w:rsidR="008C6A37" w:rsidRPr="008C6A37" w:rsidRDefault="008C6A37" w:rsidP="00BC11DC">
      <w:pPr>
        <w:ind w:firstLine="567"/>
        <w:rPr>
          <w:lang w:val="ro-RO"/>
        </w:rPr>
      </w:pPr>
      <w:r w:rsidRPr="008C6A37">
        <w:rPr>
          <w:lang w:val="ro-RO"/>
        </w:rPr>
        <w:t>În procesul de revizuire a strategiei se va ține cont, în primul rând, de acțiunile și proiectele propuse a se implementa în actuala perioadă de programare, având în vedere următoarele aspecte:</w:t>
      </w:r>
    </w:p>
    <w:p w14:paraId="3A42D26D" w14:textId="77777777" w:rsidR="008C6A37" w:rsidRPr="008C6A37" w:rsidRDefault="008C6A37" w:rsidP="00BC11DC">
      <w:pPr>
        <w:ind w:firstLine="567"/>
        <w:rPr>
          <w:lang w:val="ro-RO"/>
        </w:rPr>
      </w:pPr>
      <w:r w:rsidRPr="008C6A37">
        <w:rPr>
          <w:lang w:val="ro-RO"/>
        </w:rPr>
        <w:t>- acțiunile și proiectele care au fost propuse și nu au fost realizate în actuala perioadă de programare vor fi prioritare pentru următoarea perioadă dacă, în urma evaluării strategiei la finalul perioadei, realizate în vederea revizuirii, se constată că nevoile adresate de acestea mai sunt de actualitate și obiectivele și prioritățile la nivelul zonei costiere nu se modifică;</w:t>
      </w:r>
    </w:p>
    <w:p w14:paraId="308F6B20" w14:textId="77777777" w:rsidR="008C6A37" w:rsidRPr="008C6A37" w:rsidRDefault="008C6A37" w:rsidP="00BC11DC">
      <w:pPr>
        <w:ind w:firstLine="567"/>
        <w:rPr>
          <w:lang w:val="ro-RO"/>
        </w:rPr>
      </w:pPr>
      <w:r w:rsidRPr="008C6A37">
        <w:rPr>
          <w:lang w:val="ro-RO"/>
        </w:rPr>
        <w:lastRenderedPageBreak/>
        <w:t>- proiectele începute odată cu implementarea strategiei și nefinalizate până la 31.12.2029 vor fi avute în vedere cu prioritate în perioada următoare de programare în vederea finalizării lor;</w:t>
      </w:r>
    </w:p>
    <w:p w14:paraId="090D8810" w14:textId="77777777" w:rsidR="008C6A37" w:rsidRPr="008C6A37" w:rsidRDefault="008C6A37" w:rsidP="00BC11DC">
      <w:pPr>
        <w:ind w:firstLine="567"/>
        <w:rPr>
          <w:lang w:val="ro-RO"/>
        </w:rPr>
      </w:pPr>
      <w:r w:rsidRPr="008C6A37">
        <w:rPr>
          <w:lang w:val="ro-RO"/>
        </w:rPr>
        <w:t>- continuarea unor acțiuni / proiecte, care au fost începute în această perioadă de programare și se implementează în anumite unități administrativ-teritoriale, iar în perioada următoare în restul unităților administrativ-teritoriale (intervențiile în rețea – care sunt menite să rezolve o anumită problemă la nivelul întregii zone – ex. infrastructuri de mediu / de utilități, etc.);</w:t>
      </w:r>
    </w:p>
    <w:p w14:paraId="672994B1" w14:textId="77777777" w:rsidR="008C6A37" w:rsidRPr="008C6A37" w:rsidRDefault="008C6A37" w:rsidP="00BC11DC">
      <w:pPr>
        <w:ind w:firstLine="567"/>
        <w:rPr>
          <w:lang w:val="ro-RO"/>
        </w:rPr>
      </w:pPr>
      <w:r w:rsidRPr="008C6A37">
        <w:rPr>
          <w:lang w:val="ro-RO"/>
        </w:rPr>
        <w:t>- identificarea unor proiecte corelate cu / complementare celor realizate până la 31.12.2029.</w:t>
      </w:r>
    </w:p>
    <w:p w14:paraId="413A440F" w14:textId="77777777" w:rsidR="008C6A37" w:rsidRPr="008C6A37" w:rsidRDefault="008C6A37" w:rsidP="00BC11DC">
      <w:pPr>
        <w:ind w:firstLine="567"/>
        <w:rPr>
          <w:lang w:val="ro-RO"/>
        </w:rPr>
      </w:pPr>
      <w:r w:rsidRPr="008C6A37">
        <w:rPr>
          <w:lang w:val="ro-RO"/>
        </w:rPr>
        <w:t>În cadrul acestei secțiuni sunt oferite informații cu privire la sursele de finanțare pe termen scurt și mediu care ar putea fi utilizate pentru a susține implementarea acțiunilor prioritare ale strategiei.</w:t>
      </w:r>
    </w:p>
    <w:p w14:paraId="7351D3A8" w14:textId="77777777" w:rsidR="008C6A37" w:rsidRPr="008C6A37" w:rsidRDefault="008C6A37" w:rsidP="00BC11DC">
      <w:pPr>
        <w:ind w:firstLine="567"/>
        <w:rPr>
          <w:b/>
          <w:i/>
          <w:lang w:val="ro-RO"/>
        </w:rPr>
      </w:pPr>
      <w:r w:rsidRPr="008C6A37">
        <w:rPr>
          <w:b/>
          <w:i/>
          <w:lang w:val="ro-RO"/>
        </w:rPr>
        <w:t>Finanțarea națională</w:t>
      </w:r>
    </w:p>
    <w:p w14:paraId="2531B690" w14:textId="6DD80967" w:rsidR="008C6A37" w:rsidRPr="008C6A37" w:rsidRDefault="008C6A37" w:rsidP="00BC11DC">
      <w:pPr>
        <w:ind w:firstLine="567"/>
        <w:rPr>
          <w:lang w:val="ro-RO"/>
        </w:rPr>
      </w:pPr>
      <w:r w:rsidRPr="008C6A37">
        <w:rPr>
          <w:lang w:val="ro-RO"/>
        </w:rPr>
        <w:t>Schemele naționale de finanțare sunt proiectate și aprobate la nivel național în strânsă corelare cu strategiile naționale și sunt finanțate exclusiv din fonduri naționale. Scopul acestor programe este implementarea diverselor politici și priorități naționale. Implementarea și gestionarea proiectelor are loc exclusiv în România, sub responsabilitatea ministerelor/agențiilor desemnate în acest scop. Programele relevante ce pot susține financiar implementarea strategiei naționale privind g</w:t>
      </w:r>
      <w:r w:rsidR="0098106A">
        <w:rPr>
          <w:lang w:val="ro-RO"/>
        </w:rPr>
        <w:t>ospodărire</w:t>
      </w:r>
      <w:r w:rsidRPr="008C6A37">
        <w:rPr>
          <w:lang w:val="ro-RO"/>
        </w:rPr>
        <w:t>a integrată a zonei costiere sunt:</w:t>
      </w:r>
    </w:p>
    <w:p w14:paraId="7F3586C1" w14:textId="77777777" w:rsidR="008C6A37" w:rsidRPr="008C6A37" w:rsidRDefault="008C6A37" w:rsidP="00920C1F">
      <w:pPr>
        <w:numPr>
          <w:ilvl w:val="0"/>
          <w:numId w:val="10"/>
        </w:numPr>
        <w:ind w:firstLine="567"/>
        <w:rPr>
          <w:i/>
          <w:lang w:val="ro-RO"/>
        </w:rPr>
      </w:pPr>
      <w:r w:rsidRPr="008C6A37">
        <w:rPr>
          <w:i/>
          <w:lang w:val="ro-RO"/>
        </w:rPr>
        <w:t xml:space="preserve">Program vizând educaţia şi conştientizarea publicului privind protecţia mediului </w:t>
      </w:r>
      <w:r w:rsidRPr="008C6A37">
        <w:rPr>
          <w:lang w:val="ro-RO"/>
        </w:rPr>
        <w:t xml:space="preserve">este un program finanțat de către AFM, având ca principal obiectiv educaţia şi conştientizarea publicului privind protecţia mediului. O parte dintre acțiunile propuse în direcțiile de acțiune </w:t>
      </w:r>
      <w:r w:rsidRPr="008C6A37">
        <w:rPr>
          <w:i/>
          <w:lang w:val="ro-RO"/>
        </w:rPr>
        <w:t>A. Conservarea și valorificarea durabilă a patrimoniului natural și cultural</w:t>
      </w:r>
      <w:r w:rsidRPr="008C6A37">
        <w:rPr>
          <w:lang w:val="ro-RO"/>
        </w:rPr>
        <w:t xml:space="preserve">, </w:t>
      </w:r>
      <w:r w:rsidRPr="008C6A37">
        <w:rPr>
          <w:i/>
          <w:lang w:val="ro-RO"/>
        </w:rPr>
        <w:t xml:space="preserve">B. Prevenirea și limitarea/stoparea poluării </w:t>
      </w:r>
      <w:r w:rsidRPr="008C6A37">
        <w:rPr>
          <w:lang w:val="ro-RO"/>
        </w:rPr>
        <w:t xml:space="preserve">și </w:t>
      </w:r>
      <w:r w:rsidRPr="008C6A37">
        <w:rPr>
          <w:i/>
          <w:lang w:val="ro-RO"/>
        </w:rPr>
        <w:t xml:space="preserve">D. Dezvoltarea economică sustenabilă a zonei costiere </w:t>
      </w:r>
      <w:r w:rsidRPr="008C6A37">
        <w:rPr>
          <w:lang w:val="ro-RO"/>
        </w:rPr>
        <w:t>sunt eligibile pentru a fi finanțate prin acest program.</w:t>
      </w:r>
    </w:p>
    <w:p w14:paraId="437F8F27" w14:textId="77777777" w:rsidR="008C6A37" w:rsidRPr="008C6A37" w:rsidRDefault="008C6A37" w:rsidP="00920C1F">
      <w:pPr>
        <w:numPr>
          <w:ilvl w:val="0"/>
          <w:numId w:val="10"/>
        </w:numPr>
        <w:ind w:firstLine="567"/>
        <w:rPr>
          <w:lang w:val="ro-RO"/>
        </w:rPr>
      </w:pPr>
      <w:r w:rsidRPr="008C6A37">
        <w:rPr>
          <w:i/>
          <w:lang w:val="ro-RO"/>
        </w:rPr>
        <w:t>Programul Național de Cadastru și Carte Funciară</w:t>
      </w:r>
      <w:r w:rsidRPr="008C6A37">
        <w:rPr>
          <w:lang w:val="ro-RO"/>
        </w:rPr>
        <w:t xml:space="preserve"> are un buget total de 4.050.885.000 lei – venituri proprii ANCPI, la care se adugă 1.439.393.000 lei – finanțare nerambursabilă prin proiectul major „Creşterea gradului de acoperire şi incluziune a sistemului de înregistrare a proprietăţilor în zonele rurale din România”, finanțat din axa prioritară 11 din Programul Operaţional Regional 2014-2020. Instituțiile finanțatoare sunt ANCPI (coordonatoarea programului), MDLPA și CE, iar obiectivul principal al programului este înregistrarea gratuită a tuturor proprietăților din România în sistemul integrat de cadastru şi carte funciară, realizarea planului cadastral și deschiderea cărților funciare la nivelul tuturor unităților administrative teritoriale. Prin acest program pot fi finanțate unele acțiuni incluse în direcțiile de acțiune </w:t>
      </w:r>
      <w:r w:rsidRPr="008C6A37">
        <w:rPr>
          <w:i/>
          <w:lang w:val="ro-RO"/>
        </w:rPr>
        <w:t xml:space="preserve">A.  Conservarea și valorificarea durabilă a patrimoniului natural și cultural </w:t>
      </w:r>
      <w:r w:rsidRPr="008C6A37">
        <w:rPr>
          <w:lang w:val="ro-RO"/>
        </w:rPr>
        <w:t xml:space="preserve">și </w:t>
      </w:r>
      <w:r w:rsidRPr="008C6A37">
        <w:rPr>
          <w:i/>
          <w:lang w:val="ro-RO"/>
        </w:rPr>
        <w:t>E. Optimizarea cadrului instituțional și procedural al planificării spațiale în zona costieră</w:t>
      </w:r>
      <w:r w:rsidRPr="008C6A37">
        <w:rPr>
          <w:lang w:val="ro-RO"/>
        </w:rPr>
        <w:t>.</w:t>
      </w:r>
    </w:p>
    <w:p w14:paraId="0FA39A85" w14:textId="706CBE6C" w:rsidR="008C6A37" w:rsidRPr="008C6A37" w:rsidRDefault="008C6A37" w:rsidP="00920C1F">
      <w:pPr>
        <w:numPr>
          <w:ilvl w:val="0"/>
          <w:numId w:val="10"/>
        </w:numPr>
        <w:ind w:firstLine="567"/>
        <w:rPr>
          <w:i/>
          <w:lang w:val="ro-RO"/>
        </w:rPr>
      </w:pPr>
      <w:r w:rsidRPr="008C6A37">
        <w:rPr>
          <w:i/>
          <w:lang w:val="ro-RO"/>
        </w:rPr>
        <w:t xml:space="preserve">Planul Național de Cercetare Dezvoltare și Inovare 2022-2027 (PNCDI IV), </w:t>
      </w:r>
      <w:r w:rsidRPr="008C6A37">
        <w:rPr>
          <w:lang w:val="ro-RO"/>
        </w:rPr>
        <w:t>aprobat în data de 29.09.2022 Planul Național de Cercetare, Dezvoltare și Inovare 2022-</w:t>
      </w:r>
      <w:r w:rsidRPr="008C6A37">
        <w:rPr>
          <w:lang w:val="ro-RO"/>
        </w:rPr>
        <w:lastRenderedPageBreak/>
        <w:t>2027 (PNCDI IV), elaborat și administrat de către Ministerul Cercetării, Inovării și Digitalizării (MCID), principalul instrument de implementare a Strategiei Națională de Cercetare, Inovare și Specializare Inteligentă 2022-2027 (SNCISI). PNCDI IV</w:t>
      </w:r>
      <w:r w:rsidR="00F61760">
        <w:rPr>
          <w:lang w:val="ro-RO"/>
        </w:rPr>
        <w:t xml:space="preserve"> </w:t>
      </w:r>
      <w:r w:rsidRPr="008C6A37">
        <w:rPr>
          <w:lang w:val="ro-RO"/>
        </w:rPr>
        <w:t>urmărește crearea premiselor pentru asigurarea cadrului pentru investiții în CDI, încurajarea parteneriatelor între actorii publici și cei privați în vederea transferării rezultatelor cercetării către piață, stimularea performanței instituționale și colaborările internaționale. PNCDI IV este structurat pe 10 programe de cercetare-dezvoltare-inovare și mai multe subprograme. În vederea atingerii obiectivelor programelor și subprogramelor se pot lansa competiții de proiecte, de tip „de jos în sus” (bottom-up) sau „de sus în jos” (top-down). Prin acest plan, respectiv Programul 6 Provocări, Programul 7 Parteneriate pentru Inovare și Programul 9 Cercetare în domenii de interes strategic, pot fi finanțate acțiuni în care componenta de cercetare-dezvoltare-inovare deține o pondere importantă.</w:t>
      </w:r>
    </w:p>
    <w:p w14:paraId="126BA182" w14:textId="77777777" w:rsidR="008C6A37" w:rsidRPr="008C6A37" w:rsidRDefault="008C6A37" w:rsidP="00920C1F">
      <w:pPr>
        <w:numPr>
          <w:ilvl w:val="0"/>
          <w:numId w:val="10"/>
        </w:numPr>
        <w:ind w:firstLine="567"/>
        <w:rPr>
          <w:i/>
          <w:lang w:val="ro-RO"/>
        </w:rPr>
      </w:pPr>
      <w:r w:rsidRPr="008C6A37">
        <w:rPr>
          <w:i/>
          <w:lang w:val="ro-RO"/>
        </w:rPr>
        <w:t xml:space="preserve">Programul Național de Restaurare a Monumentelor </w:t>
      </w:r>
      <w:r w:rsidRPr="008C6A37">
        <w:rPr>
          <w:lang w:val="ro-RO"/>
        </w:rPr>
        <w:t xml:space="preserve">are ca sursă de finanțare sumele alocate de la bugetul de stat prin bugetul Ministerului Culturii și Identității Naționale. Acțiunile ce pot fi finanțate prin acest program sunt </w:t>
      </w:r>
      <w:r w:rsidRPr="008C6A37">
        <w:rPr>
          <w:i/>
          <w:lang w:val="ro-RO"/>
        </w:rPr>
        <w:t>A.1 Alcătuirea cadastrului monumentelor și siturilor arheologice, A.2 Inițierea și implementarea programelor de dezvoltare de proiecte pentru protecția, conservarea și restaurarea patrimoniului cultural existent de interes național (monumente istorice, situri, imobile sau amenajări cu valoare arhitectural urbanistică, precum și peisajele din zona costieră)</w:t>
      </w:r>
      <w:r w:rsidRPr="008C6A37">
        <w:rPr>
          <w:lang w:val="ro-RO"/>
        </w:rPr>
        <w:t xml:space="preserve"> și</w:t>
      </w:r>
      <w:r w:rsidRPr="008C6A37">
        <w:rPr>
          <w:i/>
          <w:lang w:val="ro-RO"/>
        </w:rPr>
        <w:t xml:space="preserve"> A.3 Alcătuirea cadastrului monumentelor și siturilor arheologice.</w:t>
      </w:r>
    </w:p>
    <w:p w14:paraId="461FACC0" w14:textId="77777777" w:rsidR="008C6A37" w:rsidRPr="008C6A37" w:rsidRDefault="008C6A37" w:rsidP="00920C1F">
      <w:pPr>
        <w:numPr>
          <w:ilvl w:val="0"/>
          <w:numId w:val="10"/>
        </w:numPr>
        <w:ind w:firstLine="567"/>
        <w:rPr>
          <w:i/>
          <w:lang w:val="ro-RO"/>
        </w:rPr>
      </w:pPr>
      <w:r w:rsidRPr="008C6A37">
        <w:rPr>
          <w:i/>
          <w:lang w:val="ro-RO"/>
        </w:rPr>
        <w:t xml:space="preserve">Programul Național de Investiții „Anghel Saligny” </w:t>
      </w:r>
      <w:r w:rsidRPr="008C6A37">
        <w:rPr>
          <w:lang w:val="ro-RO"/>
        </w:rPr>
        <w:t xml:space="preserve">are ca obiectiv modernizarea comunităților locale prin realizarea de investiții în infrastructura locală, drumuri județene și locale, infrastructura de apă și canalizare, stații de epurare a apei, extinderea rețelei de distribuție a gazelor naturale. Programul se desfășoară în perioada 2021-2028 având o valoare de 50 de miliarde de lei. În județele Constanța și Tulcea se finanțează cu precădere construirea, extinderea și modernizarea infrastructurii de uilități de apă, canal și drumuri </w:t>
      </w:r>
      <w:r w:rsidRPr="008C6A37">
        <w:rPr>
          <w:i/>
          <w:lang w:val="ro-RO"/>
        </w:rPr>
        <w:t>(</w:t>
      </w:r>
      <w:hyperlink r:id="rId20">
        <w:r w:rsidRPr="00BA1C09">
          <w:rPr>
            <w:rStyle w:val="Hyperlink"/>
            <w:i/>
            <w:color w:val="auto"/>
            <w:lang w:val="ro-RO"/>
          </w:rPr>
          <w:t>https://www.mdlpa.ro/pages/anghelsaligny</w:t>
        </w:r>
      </w:hyperlink>
      <w:r w:rsidRPr="00BA1C09">
        <w:rPr>
          <w:i/>
          <w:lang w:val="ro-RO"/>
        </w:rPr>
        <w:t>)</w:t>
      </w:r>
      <w:r w:rsidRPr="00BA1C09">
        <w:rPr>
          <w:lang w:val="ro-RO"/>
        </w:rPr>
        <w:t>.</w:t>
      </w:r>
      <w:r w:rsidRPr="008C6A37">
        <w:rPr>
          <w:lang w:val="ro-RO"/>
        </w:rPr>
        <w:t xml:space="preserve"> Astfel, prin acest program pot fi finanțate acțiuni din cadrul direcției de acțiune </w:t>
      </w:r>
      <w:r w:rsidRPr="008C6A37">
        <w:rPr>
          <w:i/>
          <w:lang w:val="ro-RO"/>
        </w:rPr>
        <w:t>B. Prevenirea și limitarea/stoparea poluării</w:t>
      </w:r>
      <w:r w:rsidRPr="008C6A37">
        <w:rPr>
          <w:lang w:val="ro-RO"/>
        </w:rPr>
        <w:t xml:space="preserve">. </w:t>
      </w:r>
    </w:p>
    <w:p w14:paraId="48332840" w14:textId="77777777" w:rsidR="008C6A37" w:rsidRPr="008C6A37" w:rsidRDefault="008C6A37" w:rsidP="00BC11DC">
      <w:pPr>
        <w:ind w:firstLine="567"/>
        <w:rPr>
          <w:b/>
          <w:i/>
          <w:lang w:val="ro-RO"/>
        </w:rPr>
      </w:pPr>
      <w:r w:rsidRPr="008C6A37">
        <w:rPr>
          <w:b/>
          <w:i/>
          <w:lang w:val="ro-RO"/>
        </w:rPr>
        <w:t>Finanțarea UE</w:t>
      </w:r>
    </w:p>
    <w:p w14:paraId="6D9C0BAB" w14:textId="6F3488DD" w:rsidR="008C6A37" w:rsidRPr="008C6A37" w:rsidRDefault="008C6A37" w:rsidP="00BC11DC">
      <w:pPr>
        <w:ind w:firstLine="567"/>
        <w:rPr>
          <w:lang w:val="ro-RO"/>
        </w:rPr>
      </w:pPr>
      <w:r w:rsidRPr="008C6A37">
        <w:rPr>
          <w:lang w:val="ro-RO"/>
        </w:rPr>
        <w:t>Finanțarea UE constituie o altă sursă importantă de sprijin pentru implementarea Strategie naționale privind g</w:t>
      </w:r>
      <w:r w:rsidR="0098106A">
        <w:rPr>
          <w:lang w:val="ro-RO"/>
        </w:rPr>
        <w:t>ospodărirea</w:t>
      </w:r>
      <w:r w:rsidRPr="008C6A37">
        <w:rPr>
          <w:lang w:val="ro-RO"/>
        </w:rPr>
        <w:t xml:space="preserve"> integrată a zonei costiere. Fondurile europene pot fi accesate fie prin intermediul diferitelor scheme și programe naționale aflate în gestiune partajată cu Comisia Europeană, fie prin aplicarea directă la apelurile lansate de CE. </w:t>
      </w:r>
    </w:p>
    <w:p w14:paraId="167898F5" w14:textId="77777777" w:rsidR="008C6A37" w:rsidRPr="008C6A37" w:rsidRDefault="008C6A37" w:rsidP="00BC11DC">
      <w:pPr>
        <w:ind w:firstLine="567"/>
        <w:rPr>
          <w:lang w:val="ro-RO"/>
        </w:rPr>
      </w:pPr>
      <w:r w:rsidRPr="008C6A37">
        <w:rPr>
          <w:lang w:val="ro-RO"/>
        </w:rPr>
        <w:t>În cadrul</w:t>
      </w:r>
      <w:r w:rsidRPr="008C6A37">
        <w:rPr>
          <w:b/>
          <w:i/>
          <w:lang w:val="ro-RO"/>
        </w:rPr>
        <w:t xml:space="preserve"> programelor implementate în gestiune partajată</w:t>
      </w:r>
      <w:r w:rsidRPr="008C6A37">
        <w:rPr>
          <w:lang w:val="ro-RO"/>
        </w:rPr>
        <w:t>, România a pregătit, pentru cadrul financiar 2021-2027, 16 programe, din care 8 naționale și 8 regionale, care au fost aprobate de Comisia Europeană. Dintre programele care pot contribui la implementarea strategiei naționale privind managementul integrat al zonei costiere, cele mai relevante sunt:</w:t>
      </w:r>
    </w:p>
    <w:p w14:paraId="2B90AFF8" w14:textId="7E0AC7F3" w:rsidR="008C6A37" w:rsidRPr="008C6A37" w:rsidRDefault="008C6A37" w:rsidP="00920C1F">
      <w:pPr>
        <w:numPr>
          <w:ilvl w:val="0"/>
          <w:numId w:val="10"/>
        </w:numPr>
        <w:ind w:firstLine="567"/>
        <w:rPr>
          <w:lang w:val="ro-RO"/>
        </w:rPr>
      </w:pPr>
      <w:r w:rsidRPr="008C6A37">
        <w:rPr>
          <w:i/>
          <w:lang w:val="ro-RO"/>
        </w:rPr>
        <w:t>Programul Regional Sud-Est</w:t>
      </w:r>
      <w:r w:rsidR="00001E02">
        <w:rPr>
          <w:lang w:val="ro-RO"/>
        </w:rPr>
        <w:t xml:space="preserve"> </w:t>
      </w:r>
      <w:r w:rsidRPr="008C6A37">
        <w:rPr>
          <w:lang w:val="ro-RO"/>
        </w:rPr>
        <w:t xml:space="preserve">are ca obiectiv general creșterea competitivității economice și îmbunătăţirea condițiilor de viață ale comunităților locale și regionale prin </w:t>
      </w:r>
      <w:r w:rsidRPr="008C6A37">
        <w:rPr>
          <w:lang w:val="ro-RO"/>
        </w:rPr>
        <w:lastRenderedPageBreak/>
        <w:t>sprijinirea dezvoltării mediului de afaceri, a condițiilor infrastructurale și a serviciilor, care să asigure o dezvoltare sustenabilă a regiunii, capabilă să gestioneze în mod eficient resursele, să valorifice potențialul ei de inovare și de asimilare a progresului tehnologic. Prin accesarea fondurilor acestui program pot fi finanțate o serie de acțiuni propuse în prezenta strategie referitoare la i) dezvoltarea și creșterea  capacităților de cercetare și inovare și adoptarea tehnologiilor avansate (Prioritatea 1 a programului), ii) dezvoltarea infrastructurii verzi (Prioritatea 2), iii) promovarea adaptării la schimbările climatice, a prevenirii riscurilor de dezastre și a rezilienței (Prioritatea 2) și iv) promovarea dezvoltării locale integrate și incluzive în domeniul social, economic și al mediului, în domeniul culturii, a patrimoniului natural, a turismului durabil și a securității în zone urbane și alte zone decât cele urbane (Prioritatea 6 a programului);</w:t>
      </w:r>
    </w:p>
    <w:p w14:paraId="68BB8313" w14:textId="333EE351" w:rsidR="008C6A37" w:rsidRPr="008C6A37" w:rsidRDefault="008C6A37" w:rsidP="00920C1F">
      <w:pPr>
        <w:numPr>
          <w:ilvl w:val="0"/>
          <w:numId w:val="10"/>
        </w:numPr>
        <w:ind w:firstLine="567"/>
        <w:rPr>
          <w:lang w:val="ro-RO"/>
        </w:rPr>
      </w:pPr>
      <w:r w:rsidRPr="008C6A37">
        <w:rPr>
          <w:i/>
          <w:lang w:val="ro-RO"/>
        </w:rPr>
        <w:t>Programul de Dezvoltare Durabilă</w:t>
      </w:r>
      <w:r w:rsidR="00001E02">
        <w:rPr>
          <w:lang w:val="ro-RO"/>
        </w:rPr>
        <w:t xml:space="preserve"> </w:t>
      </w:r>
      <w:r w:rsidRPr="008C6A37">
        <w:rPr>
          <w:lang w:val="ro-RO"/>
        </w:rPr>
        <w:t xml:space="preserve">are ca obiective generale: i) transformarea economiei UE într-o economie modernă, competitivă și eficientă, disociată de utilizarea resurselor, conform obiectivelor Pactului Verde European (PVE) și Planului de acțiune UE privind reducerea la zero a poluării, ca parte integrantă a PVE și ii) adaptarea la schimbările climatice prin creșterea eficienței energetice și dezvoltarea sistemelor inteligente de energie, a soluțiilor de stocare și a sistemului energetic, dar și la îmbunătățirea infrastructurii de apă și apă uzată; economia circulară; conservarea biodiversităţii; calitatea aerului; decontaminarea siturilor poluate. Prin acest program pot fi finanțate acțiuni incluse în direcțiile de acțiune </w:t>
      </w:r>
      <w:r w:rsidRPr="008C6A37">
        <w:rPr>
          <w:i/>
          <w:lang w:val="ro-RO"/>
        </w:rPr>
        <w:t>A. Conservarea și valorificarea durabilă a patrimoniului natural și cultural</w:t>
      </w:r>
      <w:r w:rsidRPr="008C6A37">
        <w:rPr>
          <w:lang w:val="ro-RO"/>
        </w:rPr>
        <w:t xml:space="preserve"> și  B</w:t>
      </w:r>
      <w:r w:rsidRPr="008C6A37">
        <w:rPr>
          <w:i/>
          <w:lang w:val="ro-RO"/>
        </w:rPr>
        <w:t xml:space="preserve">. Prevenirea și limitarea/stoparea poluării </w:t>
      </w:r>
      <w:r w:rsidRPr="008C6A37">
        <w:rPr>
          <w:lang w:val="ro-RO"/>
        </w:rPr>
        <w:t xml:space="preserve">din prezenta strategie. </w:t>
      </w:r>
    </w:p>
    <w:p w14:paraId="7CA062C4" w14:textId="2BC213A4" w:rsidR="008C6A37" w:rsidRPr="008C6A37" w:rsidRDefault="008C6A37" w:rsidP="00920C1F">
      <w:pPr>
        <w:numPr>
          <w:ilvl w:val="0"/>
          <w:numId w:val="10"/>
        </w:numPr>
        <w:ind w:firstLine="567"/>
        <w:rPr>
          <w:lang w:val="ro-RO"/>
        </w:rPr>
      </w:pPr>
      <w:r w:rsidRPr="008C6A37">
        <w:rPr>
          <w:i/>
          <w:lang w:val="ro-RO"/>
        </w:rPr>
        <w:t>Programul Educație și Ocupare</w:t>
      </w:r>
      <w:r w:rsidR="00001E02">
        <w:rPr>
          <w:i/>
          <w:lang w:val="ro-RO"/>
        </w:rPr>
        <w:t xml:space="preserve"> </w:t>
      </w:r>
      <w:r w:rsidRPr="008C6A37">
        <w:rPr>
          <w:lang w:val="ro-RO"/>
        </w:rPr>
        <w:t xml:space="preserve">are ca obiective generale: i) optimizarea sistemelor de educație și formare pentru a răspunde cerințelor pieței muncii, concomitent cu promovarea accesului egal la educație și stimularea învățării pe tot parcursul vieții și ii) consolidarea funcționării eficiente a pieței muncii și facilitarea accesului și a participării incluzive și egale la ocupare de calitate și durabilă pentru resursa de forță de muncă. Acțiunile propuse în prezenta strategie ce pot fi finanțate prin acest program sunt cele referitoare la consolidarea capacității antreprenoriale (direcția de acțiune </w:t>
      </w:r>
      <w:r w:rsidRPr="008C6A37">
        <w:rPr>
          <w:i/>
          <w:lang w:val="ro-RO"/>
        </w:rPr>
        <w:t>D. Dezvoltarea economică sustenabilă a zonei costiere</w:t>
      </w:r>
      <w:r w:rsidRPr="008C6A37">
        <w:rPr>
          <w:lang w:val="ro-RO"/>
        </w:rPr>
        <w:t>).</w:t>
      </w:r>
    </w:p>
    <w:p w14:paraId="2FF9E480" w14:textId="4F784488" w:rsidR="008C6A37" w:rsidRPr="008C6A37" w:rsidRDefault="008C6A37" w:rsidP="00920C1F">
      <w:pPr>
        <w:numPr>
          <w:ilvl w:val="0"/>
          <w:numId w:val="10"/>
        </w:numPr>
        <w:ind w:firstLine="567"/>
        <w:rPr>
          <w:lang w:val="ro-RO"/>
        </w:rPr>
      </w:pPr>
      <w:r w:rsidRPr="008C6A37">
        <w:rPr>
          <w:i/>
          <w:lang w:val="ro-RO"/>
        </w:rPr>
        <w:t>Programul Asistență Tehnică (PAT) 2021-2027</w:t>
      </w:r>
      <w:r w:rsidRPr="008C6A37">
        <w:rPr>
          <w:lang w:val="ro-RO"/>
        </w:rPr>
        <w:t xml:space="preserve"> are drept scop asigurarea sprijinului pentru un proces de implementare eficientă și eficace a fondurilor în România. Strategia PAT are în vedere recomandările specifice de țară (RST) 2019 privind îmbunătățirea calității și predictibilității procesului decizional, simplificarea procedurilor administrative, achizițiile publice, precum și cele prevăzute în RST 2020 cu privire la îmbunătățirea eficacității și calității administrației publice. În vederea atingerii unei economii neutre din punct de vedere climatic cel târziu până în 2050, PAT are în vedere susținerea intervențiilor pentru creșterea conștientizării și a capacității administrative a structurilor implicate în gestionarea programelor asistate, în vederea abordării aspectelor legate de schimbările climatice în ciclul de viață al proiectelor finanțate. Printre obiectivele strategice ale Programului se numără: întărirea capacității administrative 2021-2027 și finanțarea a 4 ITI (Investiții teritoriale integrate), printre </w:t>
      </w:r>
      <w:r w:rsidRPr="008C6A37">
        <w:rPr>
          <w:lang w:val="ro-RO"/>
        </w:rPr>
        <w:lastRenderedPageBreak/>
        <w:t xml:space="preserve">care ITI Delta Dunării. Astfel, finanțarea oferită prin PAT poate contribui la realizarea unor acțiuni incluse în direcția de acțiune </w:t>
      </w:r>
      <w:r w:rsidRPr="008C6A37">
        <w:rPr>
          <w:i/>
          <w:lang w:val="ro-RO"/>
        </w:rPr>
        <w:t>Optimizarea cadrului instituțional și procedural al planificării spațiale în zona costieră</w:t>
      </w:r>
      <w:r w:rsidRPr="008C6A37">
        <w:rPr>
          <w:lang w:val="ro-RO"/>
        </w:rPr>
        <w:t>.</w:t>
      </w:r>
    </w:p>
    <w:p w14:paraId="20BFE08A" w14:textId="3935ECD4" w:rsidR="008C6A37" w:rsidRPr="008C6A37" w:rsidRDefault="008C6A37" w:rsidP="00920C1F">
      <w:pPr>
        <w:numPr>
          <w:ilvl w:val="0"/>
          <w:numId w:val="10"/>
        </w:numPr>
        <w:ind w:firstLine="567"/>
        <w:rPr>
          <w:lang w:val="ro-RO"/>
        </w:rPr>
      </w:pPr>
      <w:r w:rsidRPr="008C6A37">
        <w:rPr>
          <w:i/>
          <w:lang w:val="ro-RO"/>
        </w:rPr>
        <w:t>Programul Creștere Inteligentă, Digitalizare și Instrumente Financiare</w:t>
      </w:r>
      <w:r w:rsidR="00001E02">
        <w:rPr>
          <w:i/>
          <w:lang w:val="ro-RO"/>
        </w:rPr>
        <w:t xml:space="preserve"> </w:t>
      </w:r>
      <w:r w:rsidRPr="008C6A37">
        <w:rPr>
          <w:lang w:val="ro-RO"/>
        </w:rPr>
        <w:t>are ca obiectiv general dezvoltarea unui ecosistem Cercetare-Dezvoltare-Inovare durabil, predictibil și stabil care să conducă la creșterea/menținerea locurilor de muncă pentru cercetare, crearea unui mediu motivant/atractiv pentru tinerii cercetători, creșterea abilităților acestora pentru transferul de cunoștințe dobândite către piață și, totodată, transferul tehnologic, precum și sprijinirea IMM-urilor în vederea introducerii inovării de produs/proces/serviciu în activitatea proprie, precum și formarea personalului din cadrul acestora și din organizațiile de cercetare în domeniile specializare inteligentă, antreprenoriat și tranziție industrial</w:t>
      </w:r>
      <w:r w:rsidRPr="008C6A37">
        <w:rPr>
          <w:i/>
          <w:lang w:val="ro-RO"/>
        </w:rPr>
        <w:t xml:space="preserve">. </w:t>
      </w:r>
      <w:r w:rsidRPr="008C6A37">
        <w:rPr>
          <w:lang w:val="ro-RO"/>
        </w:rPr>
        <w:t>Prin acest program pot fi finanțate acțiunile propuse în prezenta strategie vizând componenta de cercetare, inovare și digitalizare (Prioritățile 2 și 3 ale Programului).</w:t>
      </w:r>
    </w:p>
    <w:p w14:paraId="7C15C008" w14:textId="1136D695" w:rsidR="008C6A37" w:rsidRPr="008C6A37" w:rsidRDefault="008C6A37" w:rsidP="00920C1F">
      <w:pPr>
        <w:numPr>
          <w:ilvl w:val="0"/>
          <w:numId w:val="10"/>
        </w:numPr>
        <w:ind w:firstLine="567"/>
        <w:rPr>
          <w:lang w:val="ro-RO"/>
        </w:rPr>
      </w:pPr>
      <w:r w:rsidRPr="008C6A37">
        <w:rPr>
          <w:i/>
          <w:lang w:val="ro-RO"/>
        </w:rPr>
        <w:t>Programul pentru Acvacultură și Pescuit</w:t>
      </w:r>
      <w:r w:rsidR="00001E02">
        <w:rPr>
          <w:lang w:val="ro-RO"/>
        </w:rPr>
        <w:t xml:space="preserve"> </w:t>
      </w:r>
      <w:r w:rsidRPr="008C6A37">
        <w:rPr>
          <w:lang w:val="ro-RO"/>
        </w:rPr>
        <w:t xml:space="preserve">are ca obiectiv principal acoperirea disfuncționalităților pieței pescărești, nevoilor de investiții pentru dezvoltarea acesteia care pot fi sprijinite prin Fondul european pentru afaceri maritime, pescuit și acvacultură (FEAMPA) și complementaritatea programului cu alte forme de sprijin. Prin acest program pot fi finanțate acțiunile din cadrul direcției de acțiune </w:t>
      </w:r>
      <w:r w:rsidRPr="008C6A37">
        <w:rPr>
          <w:i/>
          <w:lang w:val="ro-RO"/>
        </w:rPr>
        <w:t>D. Dezvoltarea economică sustenabilă a zonei costiere</w:t>
      </w:r>
      <w:r w:rsidRPr="008C6A37">
        <w:rPr>
          <w:lang w:val="ro-RO"/>
        </w:rPr>
        <w:t>, referitoare la sectorul pescuitului și acvaculturii.</w:t>
      </w:r>
    </w:p>
    <w:p w14:paraId="6974F20F" w14:textId="36AC2445" w:rsidR="008C6A37" w:rsidRPr="008C6A37" w:rsidRDefault="008C6A37" w:rsidP="00BC11DC">
      <w:pPr>
        <w:ind w:firstLine="567"/>
        <w:rPr>
          <w:lang w:val="ro-RO"/>
        </w:rPr>
      </w:pPr>
      <w:r w:rsidRPr="008C6A37">
        <w:rPr>
          <w:b/>
          <w:i/>
          <w:lang w:val="ro-RO"/>
        </w:rPr>
        <w:t>Programele gestionate direct de către Comisia Europeană</w:t>
      </w:r>
      <w:r w:rsidRPr="008C6A37">
        <w:rPr>
          <w:lang w:val="ro-RO"/>
        </w:rPr>
        <w:t xml:space="preserve">, programe transnaționale, au ca scop punerea în aplicare a politicilor UE. Cele mai relevante dintre aceste programe pentru implementarea Strategiei naționale privind </w:t>
      </w:r>
      <w:r w:rsidR="0098106A">
        <w:rPr>
          <w:lang w:val="ro-RO"/>
        </w:rPr>
        <w:t>gospodărirea</w:t>
      </w:r>
      <w:r w:rsidRPr="008C6A37">
        <w:rPr>
          <w:lang w:val="ro-RO"/>
        </w:rPr>
        <w:t xml:space="preserve"> integrată a zonei costiere sunt:</w:t>
      </w:r>
    </w:p>
    <w:p w14:paraId="46770CBB" w14:textId="77777777" w:rsidR="008C6A37" w:rsidRPr="008C6A37" w:rsidRDefault="008C6A37" w:rsidP="00920C1F">
      <w:pPr>
        <w:numPr>
          <w:ilvl w:val="0"/>
          <w:numId w:val="10"/>
        </w:numPr>
        <w:ind w:firstLine="567"/>
        <w:rPr>
          <w:lang w:val="ro-RO"/>
        </w:rPr>
      </w:pPr>
      <w:r w:rsidRPr="008C6A37">
        <w:rPr>
          <w:i/>
          <w:lang w:val="ro-RO"/>
        </w:rPr>
        <w:t>Programul Horizon Europe</w:t>
      </w:r>
      <w:r w:rsidRPr="008C6A37">
        <w:rPr>
          <w:lang w:val="ro-RO"/>
        </w:rPr>
        <w:t xml:space="preserve"> are ca scop consolidarea bazei științifice și tehnologice a UE, inclusiv prin dezvoltarea de soluții pentru abordarea unor priorități în materie de politici precum tranziția verde și cea digitală. Programul contribuie, de asemenea, la realizarea obiectivelor de dezvoltare durabilă și stimulează competitivitatea și creșterea economică. Bugetul total al programului este de 95,5 mld. euro, din care 5,4 mld. euro provin din instrumentul Next Generation EU și de completează finanțarea națională și regională a cercetării și inovării în baza a trei priorități:</w:t>
      </w:r>
    </w:p>
    <w:p w14:paraId="60302F42" w14:textId="77777777" w:rsidR="008C6A37" w:rsidRPr="008C6A37" w:rsidRDefault="008C6A37" w:rsidP="00920C1F">
      <w:pPr>
        <w:numPr>
          <w:ilvl w:val="0"/>
          <w:numId w:val="6"/>
        </w:numPr>
        <w:ind w:firstLine="567"/>
        <w:rPr>
          <w:lang w:val="ro-RO"/>
        </w:rPr>
      </w:pPr>
      <w:r w:rsidRPr="008C6A37">
        <w:rPr>
          <w:lang w:val="ro-RO"/>
        </w:rPr>
        <w:t>Excelență în știință - sprijină proiecte de cercetare de frontieră concepute și conduse de cercetători prin Consiliul European pentru Cercetare;</w:t>
      </w:r>
    </w:p>
    <w:p w14:paraId="3391E233" w14:textId="77777777" w:rsidR="008C6A37" w:rsidRPr="008C6A37" w:rsidRDefault="008C6A37" w:rsidP="00920C1F">
      <w:pPr>
        <w:numPr>
          <w:ilvl w:val="0"/>
          <w:numId w:val="6"/>
        </w:numPr>
        <w:ind w:firstLine="567"/>
        <w:rPr>
          <w:lang w:val="ro-RO"/>
        </w:rPr>
      </w:pPr>
      <w:r w:rsidRPr="008C6A37">
        <w:rPr>
          <w:lang w:val="ro-RO"/>
        </w:rPr>
        <w:t xml:space="preserve">Provocări Globale și Competitivitate Industrială Europeană - sprijină cercetarea provocărilor societale, consolidează capacitățile tehnologice și industriale și stabilește misiuni la nivelul UE cu obiective ambițioase care abordează unele dintre cele mai mari probleme ale noastre: sănătate, schimbări climatice, energie curată, mobilitate, securitate, digital, materiale, etc.; </w:t>
      </w:r>
    </w:p>
    <w:p w14:paraId="7E9F9597" w14:textId="77777777" w:rsidR="008C6A37" w:rsidRPr="008C6A37" w:rsidRDefault="008C6A37" w:rsidP="00920C1F">
      <w:pPr>
        <w:numPr>
          <w:ilvl w:val="0"/>
          <w:numId w:val="6"/>
        </w:numPr>
        <w:ind w:firstLine="567"/>
        <w:rPr>
          <w:lang w:val="ro-RO"/>
        </w:rPr>
      </w:pPr>
      <w:r w:rsidRPr="008C6A37">
        <w:rPr>
          <w:lang w:val="ro-RO"/>
        </w:rPr>
        <w:t xml:space="preserve"> Europa Inovatoare - urmărește să facă din Europa un lider în ceea ce privește inovarea care creează piață și creșterea IMM-urilor prin intermediul Consiliului </w:t>
      </w:r>
      <w:r w:rsidRPr="008C6A37">
        <w:rPr>
          <w:lang w:val="ro-RO"/>
        </w:rPr>
        <w:lastRenderedPageBreak/>
        <w:t>European pentru Inovare, contribuind astfel la dezvoltarea peisajului european general al inovației.</w:t>
      </w:r>
    </w:p>
    <w:p w14:paraId="4B3AC49B" w14:textId="77777777" w:rsidR="008C6A37" w:rsidRPr="008C6A37" w:rsidRDefault="008C6A37" w:rsidP="00BC11DC">
      <w:pPr>
        <w:ind w:firstLine="567"/>
        <w:rPr>
          <w:lang w:val="ro-RO"/>
        </w:rPr>
      </w:pPr>
      <w:r w:rsidRPr="008C6A37">
        <w:rPr>
          <w:lang w:val="ro-RO"/>
        </w:rPr>
        <w:t xml:space="preserve">În cadrul programului, misiunea Adaptarea la Schimbările climatice, alături de misiunea Refacerea oceanului și a apelor noastre până în anul 2030 oferă cele mai multe oportunități de finanțare. Pentru cea din urmă misiune menționată, proiectele propuse vor trebui să contribuie la atingerea obiectivelor misiunii, respectiv i) Protejarea și refacerea ecosistemelor marine și dulcicole, în concordanță cu EU Biodiversity Strategy 2030; ii) Prevenirea și stoparea poluării oceanelor, mărilor și apelor interioare; și iii) Economia albastră – carbon neutră, circulară. Astfel prin această misiune pot fi finanțate acțiuni pe termen scurt și mediu referitoare la conservarea patrimoniului natural și cultural, prevenirea și limitarea/stoparea poluării și dezvoltarea sustenabilă a zonei costiere.  </w:t>
      </w:r>
    </w:p>
    <w:p w14:paraId="289546CD" w14:textId="7FD2C022" w:rsidR="008C6A37" w:rsidRPr="008C6A37" w:rsidRDefault="008C6A37" w:rsidP="00920C1F">
      <w:pPr>
        <w:numPr>
          <w:ilvl w:val="0"/>
          <w:numId w:val="10"/>
        </w:numPr>
        <w:ind w:firstLine="567"/>
        <w:rPr>
          <w:lang w:val="ro-RO"/>
        </w:rPr>
      </w:pPr>
      <w:r w:rsidRPr="008C6A37">
        <w:rPr>
          <w:i/>
          <w:lang w:val="ro-RO"/>
        </w:rPr>
        <w:t>Programul LIFE</w:t>
      </w:r>
      <w:r w:rsidRPr="008C6A37">
        <w:rPr>
          <w:lang w:val="ro-RO"/>
        </w:rPr>
        <w:t xml:space="preserve"> este singurul program la nivel UE dedicat exclusiv mediului și schimbărilor climatice, iar etapa ce se desfășoară în intervalul 2021 - 2027 este cea mai ambițioasă de până acum. Programul face parte din Pactul Verde propus de Comisia Europeană. Proiectele care sunt cofinanțate prin EU LIFE sunt prioritare dacă încorporează soluții care se bazează pe natură și urmăresc să utilizeze și să îmbunătățească mediul natural. Proiectele sunt, de asemenea, prioritizate dacă instrumentele pe care le folosesc susțin și contribuie la politici, reducerea riscurilor, recuperarea după dezastre și reziliența pe termen lung. De aceea, fondurile UE LIFE pot fi utilizate pentru a sprijini diferite tipuri de acțiuni pentru conservarea biodiversității și de management al riscului la secetă și inundații, inclusiv activități de prevenire și activități care protejează și atenuează efectele secetei și inundațiilor.</w:t>
      </w:r>
    </w:p>
    <w:p w14:paraId="01C9EDCF" w14:textId="5C31FF32" w:rsidR="008C6A37" w:rsidRPr="008C6A37" w:rsidRDefault="008C6A37" w:rsidP="00920C1F">
      <w:pPr>
        <w:numPr>
          <w:ilvl w:val="0"/>
          <w:numId w:val="10"/>
        </w:numPr>
        <w:ind w:firstLine="567"/>
        <w:rPr>
          <w:lang w:val="ro-RO"/>
        </w:rPr>
      </w:pPr>
      <w:r w:rsidRPr="008C6A37">
        <w:rPr>
          <w:i/>
          <w:lang w:val="ro-RO"/>
        </w:rPr>
        <w:t>Programul Piață Unică</w:t>
      </w:r>
      <w:r w:rsidR="00001E02">
        <w:rPr>
          <w:lang w:val="ro-RO"/>
        </w:rPr>
        <w:t xml:space="preserve"> </w:t>
      </w:r>
      <w:r w:rsidRPr="008C6A37">
        <w:rPr>
          <w:lang w:val="ro-RO"/>
        </w:rPr>
        <w:t xml:space="preserve">are ca obiectiv principal îmbunătățirea funcționării pieței interne și, mai ales, să protejeze și să capaciteze cetățenii, consumatorii și mediul de afaceri prin asigurarea respectării dreptului Uniunii, prin facilitarea accesului la piețe, prin stabilirea de standarde și prin promovarea sănătății umane, a animalelor și a plantelor, precum și a bunăstării animalelor, cu respectarea totodată a principiilor dezvoltării durabile. Prin acest program pot fi finanțate acțiuni incluse în direcția de acțiune </w:t>
      </w:r>
      <w:r w:rsidRPr="008C6A37">
        <w:rPr>
          <w:i/>
          <w:lang w:val="ro-RO"/>
        </w:rPr>
        <w:t>D. Dezvoltarea economică sustenabilă a zonei costiere</w:t>
      </w:r>
      <w:r w:rsidRPr="008C6A37">
        <w:rPr>
          <w:lang w:val="ro-RO"/>
        </w:rPr>
        <w:t xml:space="preserve"> a prezentei strategii.</w:t>
      </w:r>
    </w:p>
    <w:p w14:paraId="3AB4CEAE" w14:textId="76ED173C" w:rsidR="008C6A37" w:rsidRPr="008C6A37" w:rsidRDefault="008C6A37" w:rsidP="00920C1F">
      <w:pPr>
        <w:numPr>
          <w:ilvl w:val="0"/>
          <w:numId w:val="10"/>
        </w:numPr>
        <w:ind w:firstLine="567"/>
        <w:rPr>
          <w:lang w:val="ro-RO"/>
        </w:rPr>
      </w:pPr>
      <w:r w:rsidRPr="008C6A37">
        <w:rPr>
          <w:i/>
          <w:lang w:val="ro-RO"/>
        </w:rPr>
        <w:t>Programul InvestEU</w:t>
      </w:r>
      <w:r w:rsidRPr="008C6A37">
        <w:rPr>
          <w:lang w:val="ro-RO"/>
        </w:rPr>
        <w:t xml:space="preserve"> integrează instrumentele financiare din cadrul tuturor programelor gestionate la nivel central în UE și sprijină prin complementaritate obiectivele noilor programe. În plus, fiecare dintre celelalte programe UE stabilite pentru perioada 2021-2027 prevăd posibilitatea utilizării programului InvestEU în implementare. Anexa II la propunerea Comisiei privind Regulamentul de Instituire a programului InvestEU prezintă domeniile eligibile pentru operațiuni de finanțare și investiții acoperite de program. Acestea includ în mod specific mediul și resursele și în special: i) resursele de apă, inclusiv aprovizionarea și canalizarea, precum și infrastructura de coastă și alte infrastructuri ecologice cu privire la apă; ii) îmbunătățirea și restaurarea ecosistemelor și a serviciilor acestora; iii) dezvoltare durabilă urbană, rurală și de coastă; și iv) acțiuni privind schimbările climatice, inclusiv reducerea riscului de dezastru natural.</w:t>
      </w:r>
    </w:p>
    <w:p w14:paraId="4569B0B2" w14:textId="0333507B" w:rsidR="008C6A37" w:rsidRPr="008C6A37" w:rsidRDefault="008C6A37" w:rsidP="00920C1F">
      <w:pPr>
        <w:numPr>
          <w:ilvl w:val="0"/>
          <w:numId w:val="10"/>
        </w:numPr>
        <w:ind w:firstLine="567"/>
        <w:rPr>
          <w:i/>
          <w:lang w:val="ro-RO"/>
        </w:rPr>
      </w:pPr>
      <w:r w:rsidRPr="008C6A37">
        <w:rPr>
          <w:i/>
          <w:lang w:val="ro-RO"/>
        </w:rPr>
        <w:lastRenderedPageBreak/>
        <w:t>Programul pentru Promovarea Produselor Agricole (AGRIP)</w:t>
      </w:r>
      <w:r w:rsidRPr="008C6A37">
        <w:rPr>
          <w:lang w:val="ro-RO"/>
        </w:rPr>
        <w:t xml:space="preserve"> are ca unul dintre obiectivele principale creșterea gradului de conștientizare cu privire la calitățile produselor agricole ale UE și standardele înalte impuse metodelor de producție în Uniune. Astfel, prin acest program poate fi finanțată una dintre acțiunile propuse în cadrul direcției de acțiune </w:t>
      </w:r>
      <w:r w:rsidRPr="008C6A37">
        <w:rPr>
          <w:i/>
          <w:lang w:val="ro-RO"/>
        </w:rPr>
        <w:t xml:space="preserve">D. Dezvoltarea economică sustenabilă a zonei costiere, </w:t>
      </w:r>
      <w:r w:rsidRPr="008C6A37">
        <w:rPr>
          <w:lang w:val="ro-RO"/>
        </w:rPr>
        <w:t xml:space="preserve">respectiv acțiunea </w:t>
      </w:r>
      <w:r w:rsidRPr="008C6A37">
        <w:rPr>
          <w:i/>
          <w:lang w:val="ro-RO"/>
        </w:rPr>
        <w:t>D.8 Implementarea de programe de conștientizare și susținere a producătorilor agricoli privind beneficiile aplicării în  practică a noilor politici agricole.</w:t>
      </w:r>
    </w:p>
    <w:p w14:paraId="02AC7216" w14:textId="77777777" w:rsidR="008C6A37" w:rsidRPr="008C6A37" w:rsidRDefault="00000000" w:rsidP="00BC11DC">
      <w:pPr>
        <w:ind w:firstLine="567"/>
        <w:rPr>
          <w:lang w:val="ro-RO"/>
        </w:rPr>
      </w:pPr>
      <w:hyperlink r:id="rId21">
        <w:r w:rsidR="008C6A37" w:rsidRPr="00BA1C09">
          <w:rPr>
            <w:rStyle w:val="Hyperlink"/>
            <w:b/>
            <w:i/>
            <w:color w:val="auto"/>
            <w:u w:val="none"/>
            <w:lang w:val="ro-RO"/>
          </w:rPr>
          <w:t>Planul Național de Redresare și Reziliență</w:t>
        </w:r>
      </w:hyperlink>
      <w:r w:rsidR="008C6A37" w:rsidRPr="008C6A37">
        <w:rPr>
          <w:b/>
          <w:i/>
          <w:lang w:val="ro-RO"/>
        </w:rPr>
        <w:t xml:space="preserve"> </w:t>
      </w:r>
      <w:r w:rsidR="008C6A37" w:rsidRPr="008C6A37">
        <w:rPr>
          <w:lang w:val="ro-RO"/>
        </w:rPr>
        <w:t>este instrumentul principal al inițiativei NextGenerationEU 800 de miliarde EUR (în prețuri curente) pentru a sprijini investițiile și reformele în întreaga UE.</w:t>
      </w:r>
      <w:r w:rsidR="008C6A37" w:rsidRPr="008C6A37">
        <w:rPr>
          <w:b/>
          <w:i/>
          <w:lang w:val="ro-RO"/>
        </w:rPr>
        <w:t xml:space="preserve"> </w:t>
      </w:r>
      <w:r w:rsidR="008C6A37" w:rsidRPr="008C6A37">
        <w:rPr>
          <w:lang w:val="ro-RO"/>
        </w:rPr>
        <w:t>Partea a II a acestui program cuprinde 15 componente, dintre care relevante pentru implementarea strategiei sunt;</w:t>
      </w:r>
    </w:p>
    <w:p w14:paraId="2CA16C2B" w14:textId="62A32BA4" w:rsidR="008C6A37" w:rsidRPr="008C6A37" w:rsidRDefault="008C6A37" w:rsidP="00920C1F">
      <w:pPr>
        <w:numPr>
          <w:ilvl w:val="0"/>
          <w:numId w:val="10"/>
        </w:numPr>
        <w:ind w:firstLine="567"/>
        <w:rPr>
          <w:lang w:val="ro-RO"/>
        </w:rPr>
      </w:pPr>
      <w:r w:rsidRPr="008C6A37">
        <w:rPr>
          <w:lang w:val="ro-RO"/>
        </w:rPr>
        <w:t xml:space="preserve"> Componenta 1 – Managementul apei, are ca obiectiv asigurarea sustenabilă a apei pentru un viitor sigur al populației, mediului și economiei. Prin această componentă pot fi finanțate acțiuni aparținând direcției de acțiune </w:t>
      </w:r>
      <w:r w:rsidRPr="008C6A37">
        <w:rPr>
          <w:i/>
          <w:lang w:val="ro-RO"/>
        </w:rPr>
        <w:t>B. Prevenirea și limitarea/stoparea poluării</w:t>
      </w:r>
      <w:r w:rsidRPr="008C6A37">
        <w:rPr>
          <w:lang w:val="ro-RO"/>
        </w:rPr>
        <w:t xml:space="preserve"> (acțiuni referitoare la îmbunătățirea sistemului de colectare și epurare a apelor uzate);</w:t>
      </w:r>
    </w:p>
    <w:p w14:paraId="47BF6D9D" w14:textId="28CE0BD2" w:rsidR="008C6A37" w:rsidRPr="008C6A37" w:rsidRDefault="008C6A37" w:rsidP="00920C1F">
      <w:pPr>
        <w:numPr>
          <w:ilvl w:val="0"/>
          <w:numId w:val="10"/>
        </w:numPr>
        <w:ind w:firstLine="567"/>
        <w:rPr>
          <w:lang w:val="ro-RO"/>
        </w:rPr>
      </w:pPr>
      <w:r w:rsidRPr="008C6A37">
        <w:rPr>
          <w:lang w:val="ro-RO"/>
        </w:rPr>
        <w:t xml:space="preserve">Componenta 2- Păduri și protecția biodiversității, are ca scop principal armonizarea practicilor de management forestier cu cele privind conservarea biodiversității și protejarea mediului în contextul generat de Pactul Verde European și asigurarea tranziției către o Europă neutră din punct de vedere climatic prin crearea de noi suprafețe acoperite cu păduri și refacerea habitatelor degradate. Prin această componentă pot fi finanțate acțiuni aparținând direcției de acțiune </w:t>
      </w:r>
      <w:r w:rsidRPr="008C6A37">
        <w:rPr>
          <w:i/>
          <w:lang w:val="ro-RO"/>
        </w:rPr>
        <w:t>A. Conservarea și valorificarea durabilă a patrimoniului natural și cultural</w:t>
      </w:r>
      <w:r w:rsidRPr="008C6A37">
        <w:rPr>
          <w:lang w:val="ro-RO"/>
        </w:rPr>
        <w:t>;</w:t>
      </w:r>
    </w:p>
    <w:p w14:paraId="15DCEF2A" w14:textId="00268C81" w:rsidR="008C6A37" w:rsidRPr="008C6A37" w:rsidRDefault="008C6A37" w:rsidP="00920C1F">
      <w:pPr>
        <w:numPr>
          <w:ilvl w:val="0"/>
          <w:numId w:val="10"/>
        </w:numPr>
        <w:ind w:firstLine="567"/>
        <w:rPr>
          <w:lang w:val="ro-RO"/>
        </w:rPr>
      </w:pPr>
      <w:r w:rsidRPr="008C6A37">
        <w:rPr>
          <w:lang w:val="ro-RO"/>
        </w:rPr>
        <w:t>Componenta 3 – Managementul deșeurilor</w:t>
      </w:r>
      <w:r w:rsidR="00001E02">
        <w:rPr>
          <w:lang w:val="ro-RO"/>
        </w:rPr>
        <w:t xml:space="preserve"> </w:t>
      </w:r>
      <w:r w:rsidRPr="008C6A37">
        <w:rPr>
          <w:lang w:val="ro-RO"/>
        </w:rPr>
        <w:t xml:space="preserve">are ca obiectiv accelerarea procesului de extindere și modernizare a sistemelor de gestionare a deșeurilor în România cu accent pe colectarea separată, măsuri de prevenție, reducere, reutilizare și valorificare în vederea conformării cu directivele aplicabile și tranziției la economia circulară. Prin această componentă pot fi finanțate acțiuni aparținând direcției de acțiune </w:t>
      </w:r>
      <w:r w:rsidRPr="008C6A37">
        <w:rPr>
          <w:i/>
          <w:lang w:val="ro-RO"/>
        </w:rPr>
        <w:t>B. Prevenirea și limitarea/stoparea poluării</w:t>
      </w:r>
      <w:r w:rsidRPr="008C6A37">
        <w:rPr>
          <w:lang w:val="ro-RO"/>
        </w:rPr>
        <w:t>;</w:t>
      </w:r>
    </w:p>
    <w:p w14:paraId="57CFCA8A" w14:textId="75FCC08F" w:rsidR="008C6A37" w:rsidRPr="008C6A37" w:rsidRDefault="008C6A37" w:rsidP="00920C1F">
      <w:pPr>
        <w:numPr>
          <w:ilvl w:val="0"/>
          <w:numId w:val="10"/>
        </w:numPr>
        <w:ind w:firstLine="567"/>
        <w:rPr>
          <w:lang w:val="ro-RO"/>
        </w:rPr>
      </w:pPr>
      <w:r w:rsidRPr="008C6A37">
        <w:rPr>
          <w:lang w:val="ro-RO"/>
        </w:rPr>
        <w:t>Componenta 4 – Transport sustenabil;</w:t>
      </w:r>
    </w:p>
    <w:p w14:paraId="5999F762" w14:textId="272B4E8C" w:rsidR="008C6A37" w:rsidRPr="008C6A37" w:rsidRDefault="008C6A37" w:rsidP="00920C1F">
      <w:pPr>
        <w:numPr>
          <w:ilvl w:val="0"/>
          <w:numId w:val="10"/>
        </w:numPr>
        <w:ind w:firstLine="567"/>
        <w:rPr>
          <w:lang w:val="ro-RO"/>
        </w:rPr>
      </w:pPr>
      <w:r w:rsidRPr="008C6A37">
        <w:rPr>
          <w:lang w:val="ro-RO"/>
        </w:rPr>
        <w:t>Componenta 6 – Energie;</w:t>
      </w:r>
    </w:p>
    <w:p w14:paraId="02B44FFC" w14:textId="77777777" w:rsidR="008C6A37" w:rsidRPr="008C6A37" w:rsidRDefault="008C6A37" w:rsidP="00920C1F">
      <w:pPr>
        <w:numPr>
          <w:ilvl w:val="0"/>
          <w:numId w:val="10"/>
        </w:numPr>
        <w:ind w:firstLine="567"/>
        <w:rPr>
          <w:lang w:val="ro-RO"/>
        </w:rPr>
      </w:pPr>
      <w:r w:rsidRPr="008C6A37">
        <w:rPr>
          <w:lang w:val="ro-RO"/>
        </w:rPr>
        <w:t>Componenta 10 – Fondul Local (buget 2.100 mil. euro);</w:t>
      </w:r>
    </w:p>
    <w:p w14:paraId="5A6D20CE" w14:textId="3F533A37" w:rsidR="008C6A37" w:rsidRPr="008C6A37" w:rsidRDefault="008C6A37" w:rsidP="00920C1F">
      <w:pPr>
        <w:numPr>
          <w:ilvl w:val="0"/>
          <w:numId w:val="10"/>
        </w:numPr>
        <w:ind w:firstLine="567"/>
        <w:rPr>
          <w:lang w:val="ro-RO"/>
        </w:rPr>
      </w:pPr>
      <w:r w:rsidRPr="008C6A37">
        <w:rPr>
          <w:lang w:val="ro-RO"/>
        </w:rPr>
        <w:t xml:space="preserve">Componenta 11 – Turism și Cultură. </w:t>
      </w:r>
    </w:p>
    <w:p w14:paraId="279069C3" w14:textId="77777777" w:rsidR="008C6A37" w:rsidRPr="008C6A37" w:rsidRDefault="008C6A37" w:rsidP="00BC11DC">
      <w:pPr>
        <w:ind w:firstLine="567"/>
        <w:rPr>
          <w:b/>
          <w:i/>
          <w:lang w:val="ro-RO"/>
        </w:rPr>
      </w:pPr>
      <w:r w:rsidRPr="008C6A37">
        <w:rPr>
          <w:b/>
          <w:i/>
          <w:lang w:val="ro-RO"/>
        </w:rPr>
        <w:t>Programe de Cooperare teritorială</w:t>
      </w:r>
    </w:p>
    <w:p w14:paraId="6A363009" w14:textId="00A14F0A" w:rsidR="008C6A37" w:rsidRPr="008C6A37" w:rsidRDefault="008C6A37" w:rsidP="00920C1F">
      <w:pPr>
        <w:numPr>
          <w:ilvl w:val="0"/>
          <w:numId w:val="10"/>
        </w:numPr>
        <w:ind w:firstLine="567"/>
        <w:rPr>
          <w:lang w:val="ro-RO"/>
        </w:rPr>
      </w:pPr>
      <w:r w:rsidRPr="008C6A37">
        <w:rPr>
          <w:i/>
          <w:lang w:val="ro-RO"/>
        </w:rPr>
        <w:t xml:space="preserve">Programul de cooperare ESPON 2030, Rețeaua europeană de observare a dezvoltării și coeziunii teritoriale, </w:t>
      </w:r>
      <w:r w:rsidRPr="008C6A37">
        <w:rPr>
          <w:lang w:val="ro-RO"/>
        </w:rPr>
        <w:t xml:space="preserve">a fost aprobat de către Comisia Europeană la începutul lunii iulie 2022. ESPON este un program finanțat din fonduri europene care oferă expertiză de calitate autorităților publice responsabile cu elaborarea politicilor </w:t>
      </w:r>
      <w:r w:rsidRPr="008C6A37">
        <w:rPr>
          <w:lang w:val="ro-RO"/>
        </w:rPr>
        <w:lastRenderedPageBreak/>
        <w:t>teritoriale, deci poate fi o sursă de finanțare pentru direcția de acțiune</w:t>
      </w:r>
      <w:r w:rsidRPr="008C6A37">
        <w:rPr>
          <w:i/>
          <w:lang w:val="ro-RO"/>
        </w:rPr>
        <w:t xml:space="preserve"> Optimizarea cadrului instituțional și procedural al planificării spațiale în zona costieră.</w:t>
      </w:r>
    </w:p>
    <w:p w14:paraId="3BDDAD13" w14:textId="67C32CE0" w:rsidR="008C6A37" w:rsidRPr="008C6A37" w:rsidRDefault="008C6A37" w:rsidP="00920C1F">
      <w:pPr>
        <w:numPr>
          <w:ilvl w:val="0"/>
          <w:numId w:val="10"/>
        </w:numPr>
        <w:ind w:firstLine="567"/>
        <w:rPr>
          <w:i/>
          <w:lang w:val="ro-RO"/>
        </w:rPr>
      </w:pPr>
      <w:r w:rsidRPr="008C6A37">
        <w:rPr>
          <w:i/>
          <w:lang w:val="ro-RO"/>
        </w:rPr>
        <w:t xml:space="preserve">Program Interreg Interact IV 2021-2027 </w:t>
      </w:r>
      <w:r w:rsidRPr="008C6A37">
        <w:rPr>
          <w:lang w:val="ro-RO"/>
        </w:rPr>
        <w:t>este un program pentru întreaga UE și țările asociate</w:t>
      </w:r>
      <w:r w:rsidR="00001E02">
        <w:rPr>
          <w:lang w:val="ro-RO"/>
        </w:rPr>
        <w:t xml:space="preserve">. </w:t>
      </w:r>
      <w:r w:rsidRPr="008C6A37">
        <w:rPr>
          <w:lang w:val="ro-RO"/>
        </w:rPr>
        <w:t>Având printre obiective i)  Întărirea capacității de a lucra în programe și context de cooperare și ii) Consolidarea capacității de a integra și comunica rezultatele programelor și proiectelor și de a crește vizibilitatea, prin acest program poate fi finanțată acțiunea</w:t>
      </w:r>
      <w:r w:rsidRPr="008C6A37">
        <w:rPr>
          <w:i/>
          <w:lang w:val="ro-RO"/>
        </w:rPr>
        <w:t xml:space="preserve"> E.1 Crearea unui cadru coerent, integrat și sinergic de planificare spațială specific pentru teritoriul transfrontalier și regional.</w:t>
      </w:r>
    </w:p>
    <w:p w14:paraId="424589A5" w14:textId="459D803D" w:rsidR="008C6A37" w:rsidRPr="008C6A37" w:rsidRDefault="008C6A37" w:rsidP="00920C1F">
      <w:pPr>
        <w:numPr>
          <w:ilvl w:val="0"/>
          <w:numId w:val="10"/>
        </w:numPr>
        <w:ind w:firstLine="567"/>
        <w:rPr>
          <w:lang w:val="ro-RO"/>
        </w:rPr>
      </w:pPr>
      <w:bookmarkStart w:id="42" w:name="_Hlk150377331"/>
      <w:r w:rsidRPr="008C6A37">
        <w:rPr>
          <w:i/>
          <w:lang w:val="ro-RO"/>
        </w:rPr>
        <w:t xml:space="preserve">Programul INTERREG EUROPE 2021-2027 </w:t>
      </w:r>
      <w:bookmarkEnd w:id="42"/>
      <w:r w:rsidRPr="008C6A37">
        <w:rPr>
          <w:lang w:val="ro-RO"/>
        </w:rPr>
        <w:t>sprijină o bună guvernare a cooperării prin: Îmbunătățirea implementării politicilor de dezvoltare regionale și a Investițiilor pentru ocuparea forței de muncă și creștere economică, promovarea schimbului de experiență, abordărilor inovatoare și consolidarea capacităților în legătură cu identificarea, diseminarea și transferul de bune practici în rândul actorilor din politica regională. Fondul European de Dezvoltare Regională (FEDR) alături de fonduri specifice norvegiene și elvețiene finanțează instituții publice și organisme de drept public (85%) și organisme private non-profit (75%). Programul are 6 priorități majore, cu arii specifice de finanțare: SMART (capacitatea de inovare și cercetare, digitalizare, creșterea competitivității IMM-urilor, S3 – industrie și antreprenoriat, conectivitate digitală), GREEN (VERDE) (eficiență energetică, energie regenerabilă, sisteme energetice inteligente, schimbări climatice, managementul apei, economia circulară, natură și biodiversitate, mobilitate urbană carbon neutră), CONECTIVITATE (TEN-T sustenabil, mobilitate sustenabilă), SOCIAL (forța de muncă, educație, incluziune socială, sănătate, cultură și turism sustenabile), CETĂȚENI (dezvoltare urbană și non-urbană integrate), GUVERNANȚĂ (politici de guvernare). Adresându-se unui spectru larg de tematici și problematici, programul poate fi accesat atât de autorități, cât și de mediul privat (SME-uri), public, ONG-uri pentru sprijinirea implementării majorității acțiunilor prezentei strategii.</w:t>
      </w:r>
    </w:p>
    <w:p w14:paraId="00BE4D52" w14:textId="1A95B0D9" w:rsidR="008C6A37" w:rsidRPr="008C6A37" w:rsidRDefault="008C6A37" w:rsidP="00920C1F">
      <w:pPr>
        <w:numPr>
          <w:ilvl w:val="0"/>
          <w:numId w:val="10"/>
        </w:numPr>
        <w:ind w:firstLine="567"/>
        <w:rPr>
          <w:lang w:val="ro-RO"/>
        </w:rPr>
      </w:pPr>
      <w:r w:rsidRPr="008C6A37">
        <w:rPr>
          <w:i/>
          <w:lang w:val="ro-RO"/>
        </w:rPr>
        <w:t>Programul Interreg URBACT IV 2021 – 2027</w:t>
      </w:r>
      <w:r w:rsidR="00001E02">
        <w:rPr>
          <w:lang w:val="ro-RO"/>
        </w:rPr>
        <w:t xml:space="preserve"> </w:t>
      </w:r>
      <w:r w:rsidRPr="008C6A37">
        <w:rPr>
          <w:lang w:val="ro-RO"/>
        </w:rPr>
        <w:t xml:space="preserve">are ca obiectiv o mai bună guvernanță a cooperării referitor la planurile de investiții Inovatoare Urbane (UIA), vizibilitatea lor si implementarea în politicile urbane locale, regionale, naționale și europene (în cadrul Inițiativei Urbane Europene și Agendei Urbane pentru UE). Poate fi accesat de către autorități în vederea implementării acțiunilor strategiei incluse în direcția de </w:t>
      </w:r>
      <w:r w:rsidRPr="008C6A37">
        <w:rPr>
          <w:i/>
          <w:lang w:val="ro-RO"/>
        </w:rPr>
        <w:t>acțiune Consolidarea sistemului de management integrat al zonei costiere</w:t>
      </w:r>
      <w:r w:rsidRPr="008C6A37">
        <w:rPr>
          <w:lang w:val="ro-RO"/>
        </w:rPr>
        <w:t>.</w:t>
      </w:r>
    </w:p>
    <w:p w14:paraId="1FA8F61E" w14:textId="296B2533" w:rsidR="008C6A37" w:rsidRPr="00001E02" w:rsidRDefault="008C6A37" w:rsidP="00001E02">
      <w:pPr>
        <w:numPr>
          <w:ilvl w:val="0"/>
          <w:numId w:val="10"/>
        </w:numPr>
        <w:ind w:firstLine="567"/>
        <w:rPr>
          <w:i/>
          <w:lang w:val="ro-RO"/>
        </w:rPr>
      </w:pPr>
      <w:bookmarkStart w:id="43" w:name="_Hlk150379349"/>
      <w:r w:rsidRPr="008C6A37">
        <w:rPr>
          <w:i/>
          <w:lang w:val="ro-RO"/>
        </w:rPr>
        <w:t>Programul (Interreg VI-B) NEXT Bazinul Mării Negre</w:t>
      </w:r>
      <w:bookmarkEnd w:id="43"/>
      <w:r w:rsidR="00001E02">
        <w:rPr>
          <w:i/>
          <w:lang w:val="ro-RO"/>
        </w:rPr>
        <w:t xml:space="preserve"> </w:t>
      </w:r>
      <w:r w:rsidRPr="00001E02">
        <w:rPr>
          <w:lang w:val="ro-RO"/>
        </w:rPr>
        <w:t xml:space="preserve">își propune să rămână o platformă în care legăturile dintre țările participante sunt consolidate și sunt create altele noi și unde actorii regionali se reunesc și contribuie la o gestionare durabilă a resurselor în beneficiul cetățenilor locali. Programul are ca obiective generale: i) Dezvoltarea și consolidarea capacităților de cercetare și inovare; ii) Promovarea adaptării la schimbările climatice și a prevenirii riscurilor de dezastre; iii) Îmbunătățirea protecției și conservării naturii, a biodiversității și a infrastructurii verzi. Prin accesarea acestui program pot fi finanțate acțiuni incluse în direcțiile de acțiune </w:t>
      </w:r>
      <w:r w:rsidRPr="00001E02">
        <w:rPr>
          <w:i/>
          <w:lang w:val="ro-RO"/>
        </w:rPr>
        <w:t xml:space="preserve">C.  Prevenirea, controlul </w:t>
      </w:r>
      <w:r w:rsidRPr="00001E02">
        <w:rPr>
          <w:i/>
          <w:lang w:val="ro-RO"/>
        </w:rPr>
        <w:lastRenderedPageBreak/>
        <w:t xml:space="preserve">și remedierea impacturilor generate de hazardele naturale și antropice </w:t>
      </w:r>
      <w:r w:rsidRPr="00001E02">
        <w:rPr>
          <w:lang w:val="ro-RO"/>
        </w:rPr>
        <w:t xml:space="preserve">și A. </w:t>
      </w:r>
      <w:r w:rsidRPr="00001E02">
        <w:rPr>
          <w:i/>
          <w:lang w:val="ro-RO"/>
        </w:rPr>
        <w:t>Conservarea și valorificarea durabilă a patrimoniului natural și cultural.</w:t>
      </w:r>
    </w:p>
    <w:p w14:paraId="2FF6A0A3" w14:textId="2D7A5257" w:rsidR="008C6A37" w:rsidRPr="008C6A37" w:rsidRDefault="008C6A37" w:rsidP="00BC11DC">
      <w:pPr>
        <w:ind w:firstLine="567"/>
        <w:rPr>
          <w:lang w:val="ro-RO"/>
        </w:rPr>
      </w:pPr>
      <w:r w:rsidRPr="008C6A37">
        <w:rPr>
          <w:b/>
          <w:i/>
          <w:lang w:val="ro-RO"/>
        </w:rPr>
        <w:t>Politica Agricolă Comună 2023-2027</w:t>
      </w:r>
      <w:r w:rsidRPr="008C6A37">
        <w:rPr>
          <w:lang w:val="ro-RO"/>
        </w:rPr>
        <w:t xml:space="preserve"> (PAC 2023-2027) este un instrument de bază pentru atingerea obiectivelor ambițioase ale </w:t>
      </w:r>
      <w:hyperlink r:id="rId22">
        <w:r w:rsidRPr="00BA1C09">
          <w:rPr>
            <w:rStyle w:val="Hyperlink"/>
            <w:color w:val="auto"/>
            <w:u w:val="none"/>
            <w:lang w:val="ro-RO"/>
          </w:rPr>
          <w:t>Strategiei „De la fermă la consumator”</w:t>
        </w:r>
      </w:hyperlink>
      <w:r w:rsidRPr="00BA1C09">
        <w:rPr>
          <w:lang w:val="ro-RO"/>
        </w:rPr>
        <w:t xml:space="preserve"> și ale </w:t>
      </w:r>
      <w:hyperlink r:id="rId23">
        <w:r w:rsidRPr="00BA1C09">
          <w:rPr>
            <w:rStyle w:val="Hyperlink"/>
            <w:color w:val="auto"/>
            <w:u w:val="none"/>
            <w:lang w:val="ro-RO"/>
          </w:rPr>
          <w:t>Strategiei privind biodiversitatea</w:t>
        </w:r>
      </w:hyperlink>
      <w:r w:rsidRPr="00BA1C09">
        <w:rPr>
          <w:lang w:val="ro-RO"/>
        </w:rPr>
        <w:t xml:space="preserve">. </w:t>
      </w:r>
      <w:r w:rsidRPr="008C6A37">
        <w:rPr>
          <w:lang w:val="ro-RO"/>
        </w:rPr>
        <w:t>PAC 2023-2027 este o politică modernizată, cu un accent puternic pe rezultate și performanță și se axează pe zece obiective specifice, legate de obiectivele comune ale UE în materie de sustenabilitate socială, de mediu și economică în agricultură și în zonele rurale. Punerea în aplicare a PAC se realizează prin Planul strategic național care are ca obiectiv general dezvoltarea unui sector agricol rezilient și durabil prin creșterea viabilității economice a fermelor, reducerea disparităților în materie de venituri între ferme și creșterea orientării spre piață și a competitivității sectorului agricol. Totodată, acest plan îi va sprijini pe fermierii care contribuie la protecția mediului și la asigurarea unei dezvoltări socio-economice coerente a zonelor rurale. rin accesarea fonduri</w:t>
      </w:r>
      <w:r w:rsidR="00001E02">
        <w:rPr>
          <w:lang w:val="ro-RO"/>
        </w:rPr>
        <w:t>lor PAC</w:t>
      </w:r>
      <w:r w:rsidRPr="008C6A37">
        <w:rPr>
          <w:lang w:val="ro-RO"/>
        </w:rPr>
        <w:t xml:space="preserve"> pot fi finanțate acțiuni incluse în direcțiile de acțiune  </w:t>
      </w:r>
      <w:r w:rsidRPr="008C6A37">
        <w:rPr>
          <w:i/>
          <w:lang w:val="ro-RO"/>
        </w:rPr>
        <w:t xml:space="preserve">C.  Prevenirea, controlul și remedierea impacturilor generate de hazardele naturale și antropice </w:t>
      </w:r>
      <w:r w:rsidRPr="008C6A37">
        <w:rPr>
          <w:lang w:val="ro-RO"/>
        </w:rPr>
        <w:t xml:space="preserve">și </w:t>
      </w:r>
      <w:r w:rsidRPr="008C6A37">
        <w:rPr>
          <w:i/>
          <w:lang w:val="ro-RO"/>
        </w:rPr>
        <w:t>D. Dezvoltarea economică sustenabilă a zonei costiere.</w:t>
      </w:r>
    </w:p>
    <w:p w14:paraId="237D53FD" w14:textId="77777777" w:rsidR="008C6A37" w:rsidRDefault="008C6A37" w:rsidP="00BC11DC">
      <w:pPr>
        <w:ind w:firstLine="567"/>
        <w:rPr>
          <w:lang w:val="ro-RO"/>
        </w:rPr>
      </w:pPr>
      <w:bookmarkStart w:id="44" w:name="_heading=h.z337ya" w:colFirst="0" w:colLast="0"/>
      <w:bookmarkEnd w:id="44"/>
      <w:r w:rsidRPr="008C6A37">
        <w:rPr>
          <w:lang w:val="ro-RO"/>
        </w:rPr>
        <w:t xml:space="preserve">Totuși, aceste numeroase oportunități de finanțare a acțiunilor propuse în prezenta strategie sunt disponibile pe termen scurt și mediu (până în 2030). Asigurarea finanțării pe termen lung rămâne, astfel, o mare provocare pentru CNZC, în special în contextul în care sunt în curs de implementare numeroasele de strategii naționale sub responsabilitatea a diferite ministere sau a diferite departamente din cadrul aceluiași minister, așa cum este cazul MMAP, fără a exista un mecanism central de coordonare. O sursă importantă de finanțare a acțiunilor pe termen lung, în lipsa informațiilor exacte referitoare la viitoarele programe de finanțare naționale și europene, rămâne bugetul consolidat de stat. De altfel și unele acțiuni pe termen scurt, referitoare la îmbunătățirea cadrului instituțional vor fi susținute financiar din bugetul MMAP.   </w:t>
      </w:r>
    </w:p>
    <w:p w14:paraId="50D187B1" w14:textId="77777777" w:rsidR="00A92A31" w:rsidRPr="00A92A31" w:rsidRDefault="00A92A31" w:rsidP="00940876">
      <w:pPr>
        <w:spacing w:before="0"/>
        <w:ind w:firstLine="0"/>
        <w:rPr>
          <w:sz w:val="28"/>
          <w:lang w:val="ro-RO"/>
        </w:rPr>
      </w:pPr>
    </w:p>
    <w:p w14:paraId="114F7346" w14:textId="57F02373" w:rsidR="008C6A37" w:rsidRPr="00940876" w:rsidRDefault="005D2CE5" w:rsidP="005D2CE5">
      <w:pPr>
        <w:pStyle w:val="Heading2"/>
      </w:pPr>
      <w:bookmarkStart w:id="45" w:name="_Toc150247022"/>
      <w:bookmarkStart w:id="46" w:name="_Toc169625109"/>
      <w:r>
        <w:t xml:space="preserve">1.12 </w:t>
      </w:r>
      <w:r w:rsidR="008C6A37" w:rsidRPr="00940876">
        <w:t xml:space="preserve">Implicațiile </w:t>
      </w:r>
      <w:r w:rsidR="008C6A37" w:rsidRPr="005D2CE5">
        <w:t>asupra</w:t>
      </w:r>
      <w:r w:rsidR="008C6A37" w:rsidRPr="00940876">
        <w:t xml:space="preserve"> cadrului juridic</w:t>
      </w:r>
      <w:bookmarkEnd w:id="45"/>
      <w:bookmarkEnd w:id="46"/>
      <w:r w:rsidR="008C6A37" w:rsidRPr="00940876">
        <w:t xml:space="preserve"> </w:t>
      </w:r>
    </w:p>
    <w:p w14:paraId="3005F7AF" w14:textId="6FBFA53C" w:rsidR="008C6A37" w:rsidRPr="008C6A37" w:rsidRDefault="008C6A37" w:rsidP="00BC11DC">
      <w:pPr>
        <w:ind w:firstLine="567"/>
        <w:rPr>
          <w:lang w:val="ro-RO"/>
        </w:rPr>
      </w:pPr>
      <w:r w:rsidRPr="008C6A37">
        <w:rPr>
          <w:lang w:val="ro-RO"/>
        </w:rPr>
        <w:t xml:space="preserve">Pentru implementarea cu succes a Strategiei Naționale  privind </w:t>
      </w:r>
      <w:r w:rsidR="0098106A">
        <w:rPr>
          <w:lang w:val="ro-RO"/>
        </w:rPr>
        <w:t xml:space="preserve">gospodărirea </w:t>
      </w:r>
      <w:r w:rsidRPr="008C6A37">
        <w:rPr>
          <w:lang w:val="ro-RO"/>
        </w:rPr>
        <w:t xml:space="preserve">integrată a zonei costiere și a Planului de Management </w:t>
      </w:r>
      <w:r w:rsidR="0098106A">
        <w:rPr>
          <w:lang w:val="ro-RO"/>
        </w:rPr>
        <w:t>I</w:t>
      </w:r>
      <w:r w:rsidRPr="008C6A37">
        <w:rPr>
          <w:lang w:val="ro-RO"/>
        </w:rPr>
        <w:t>ntegrat al zonei costiere asociat, sunt necesare  modificări legislative, care să asigure eficiența aplicării acestora. Aceste modificări legislative se referă la:</w:t>
      </w:r>
    </w:p>
    <w:p w14:paraId="6FFBB157" w14:textId="77777777" w:rsidR="008C6A37" w:rsidRPr="008C6A37" w:rsidRDefault="008C6A37" w:rsidP="00920C1F">
      <w:pPr>
        <w:numPr>
          <w:ilvl w:val="0"/>
          <w:numId w:val="10"/>
        </w:numPr>
        <w:ind w:firstLine="567"/>
        <w:rPr>
          <w:lang w:val="ro-RO"/>
        </w:rPr>
      </w:pPr>
      <w:r w:rsidRPr="008C6A37">
        <w:rPr>
          <w:lang w:val="ro-RO"/>
        </w:rPr>
        <w:t xml:space="preserve">organizarea și funcționarea Comitetului Național al Zonei Costiere, în concordanță cu acțiunea prioritară propusă </w:t>
      </w:r>
      <w:r w:rsidRPr="008C6A37">
        <w:rPr>
          <w:i/>
          <w:lang w:val="ro-RO"/>
        </w:rPr>
        <w:t>F1 Reorganizarea Comitetului Național al Zonei Costiere</w:t>
      </w:r>
      <w:r w:rsidRPr="008C6A37">
        <w:rPr>
          <w:lang w:val="ro-RO"/>
        </w:rPr>
        <w:t>;</w:t>
      </w:r>
    </w:p>
    <w:p w14:paraId="25CF3C5C" w14:textId="77777777" w:rsidR="008C6A37" w:rsidRPr="008C6A37" w:rsidRDefault="008C6A37" w:rsidP="00920C1F">
      <w:pPr>
        <w:numPr>
          <w:ilvl w:val="0"/>
          <w:numId w:val="10"/>
        </w:numPr>
        <w:ind w:firstLine="567"/>
        <w:rPr>
          <w:lang w:val="ro-RO"/>
        </w:rPr>
      </w:pPr>
      <w:r w:rsidRPr="008C6A37">
        <w:rPr>
          <w:lang w:val="ro-RO"/>
        </w:rPr>
        <w:t xml:space="preserve">organizarea și funcționarea autorității publice centrale, respectiv Ministerul Mediului, Apelor și Pădurilor, prin includerea în organigrama MMAP a Secretariatului Tehnic-Administrativ al zonei costiere (STA-ZC), cu atribuții bine definite (activități de secretariat și logistice, administrarea Observatorului Zonei Costiere, implementarea </w:t>
      </w:r>
      <w:r w:rsidRPr="008C6A37">
        <w:rPr>
          <w:lang w:val="ro-RO"/>
        </w:rPr>
        <w:lastRenderedPageBreak/>
        <w:t>Planului de Comunicare al strategiei și monitorizarea stadiului implementării strategiei și raportare;</w:t>
      </w:r>
    </w:p>
    <w:p w14:paraId="1A4B62AD" w14:textId="7DCBC1D8" w:rsidR="008C6A37" w:rsidRPr="008C6A37" w:rsidRDefault="008C6A37" w:rsidP="00920C1F">
      <w:pPr>
        <w:numPr>
          <w:ilvl w:val="0"/>
          <w:numId w:val="10"/>
        </w:numPr>
        <w:ind w:firstLine="567"/>
        <w:rPr>
          <w:lang w:val="ro-RO"/>
        </w:rPr>
      </w:pPr>
      <w:r w:rsidRPr="008C6A37">
        <w:rPr>
          <w:lang w:val="ro-RO"/>
        </w:rPr>
        <w:t>organizarea și funcționarea celorlalte autorități publice implicate în managementul integrat al zonei costiere. Având în vedere numărul mare de instituții cu responsabilități în managementul zonei costiere, se va avea în vedere armonizarea acestora cu prevederile Strategiei Naționale privind g</w:t>
      </w:r>
      <w:r w:rsidR="0098106A">
        <w:rPr>
          <w:lang w:val="ro-RO"/>
        </w:rPr>
        <w:t>ospodărirea</w:t>
      </w:r>
      <w:r w:rsidRPr="008C6A37">
        <w:rPr>
          <w:lang w:val="ro-RO"/>
        </w:rPr>
        <w:t xml:space="preserve"> integrată a zonei costiere și în concordanță cu planul de implementare aferent (v. anexa care conține planul de acțiune - defalcat pe măsuri / acțiuni, instituții responsabile, perioade de implementare și indicatori de monitorizare)</w:t>
      </w:r>
    </w:p>
    <w:p w14:paraId="591544BD" w14:textId="77777777" w:rsidR="008C6A37" w:rsidRPr="008C6A37" w:rsidRDefault="008C6A37" w:rsidP="00BC11DC">
      <w:pPr>
        <w:ind w:firstLine="567"/>
        <w:rPr>
          <w:lang w:val="ro-RO"/>
        </w:rPr>
      </w:pPr>
      <w:r w:rsidRPr="008C6A37">
        <w:rPr>
          <w:lang w:val="ro-RO"/>
        </w:rPr>
        <w:t>- delimitarea zonei costiere în cadrul acestei strategii impune revizuirea corespunzătoare a modului de delimitare a zonei costiere din OUG 202/2002;</w:t>
      </w:r>
    </w:p>
    <w:p w14:paraId="1FFAE1DA" w14:textId="77777777" w:rsidR="00BA1C09" w:rsidRDefault="008C6A37" w:rsidP="00BC11DC">
      <w:pPr>
        <w:ind w:firstLine="567"/>
        <w:rPr>
          <w:lang w:val="ro-RO"/>
        </w:rPr>
      </w:pPr>
      <w:r w:rsidRPr="008C6A37">
        <w:rPr>
          <w:lang w:val="ro-RO"/>
        </w:rPr>
        <w:t>- delimitarea în cadrul zonei costiere a spațiilor critice presupune revizuirea actelor normative subsecvente OUG 202/2002, și anume Legea 597/31.10.2001 privind unele măsuri de protecţie şi autorizare a construcţiilor în zona de coastă a Mării Negre, H.G. 546/07.04.2004 privind aprobarea metodologiei pentru delimitarea domeniului public al statului în zona costieră și H.G 749/14.05.2004 privind stabilirea responsabilităților, criteriilor şi modului de delimitare a fâșiei de teren aflate în imediata apropiere a zonei costiere, în scopul conservării condiţiilor ambientale şi valorii patrimoniale şi peisagistice din zonele situate în apropierea țărmului.</w:t>
      </w:r>
      <w:bookmarkStart w:id="47" w:name="_heading=h.1y810tw" w:colFirst="0" w:colLast="0"/>
      <w:bookmarkEnd w:id="47"/>
      <w:r w:rsidR="00BA1C09">
        <w:rPr>
          <w:lang w:val="ro-RO"/>
        </w:rPr>
        <w:t xml:space="preserve"> </w:t>
      </w:r>
    </w:p>
    <w:p w14:paraId="184BAA91" w14:textId="77777777" w:rsidR="00940876" w:rsidRDefault="00940876" w:rsidP="00BC11DC">
      <w:pPr>
        <w:ind w:firstLine="567"/>
        <w:rPr>
          <w:lang w:val="ro-RO"/>
        </w:rPr>
      </w:pPr>
    </w:p>
    <w:p w14:paraId="29DB358C" w14:textId="77777777" w:rsidR="00940876" w:rsidRDefault="00940876" w:rsidP="00BC11DC">
      <w:pPr>
        <w:ind w:firstLine="567"/>
        <w:rPr>
          <w:lang w:val="ro-RO"/>
        </w:rPr>
      </w:pPr>
    </w:p>
    <w:p w14:paraId="59A21087" w14:textId="77777777" w:rsidR="00940876" w:rsidRDefault="00940876" w:rsidP="00BC11DC">
      <w:pPr>
        <w:ind w:firstLine="567"/>
        <w:rPr>
          <w:lang w:val="ro-RO"/>
        </w:rPr>
      </w:pPr>
    </w:p>
    <w:p w14:paraId="3960EEA0" w14:textId="77777777" w:rsidR="00940876" w:rsidRDefault="00940876" w:rsidP="00BC11DC">
      <w:pPr>
        <w:ind w:firstLine="567"/>
        <w:rPr>
          <w:lang w:val="ro-RO"/>
        </w:rPr>
      </w:pPr>
    </w:p>
    <w:p w14:paraId="56AF32F6" w14:textId="77777777" w:rsidR="00940876" w:rsidRDefault="00940876" w:rsidP="00BC11DC">
      <w:pPr>
        <w:ind w:firstLine="567"/>
        <w:rPr>
          <w:lang w:val="ro-RO"/>
        </w:rPr>
      </w:pPr>
    </w:p>
    <w:p w14:paraId="1A42E21C" w14:textId="77777777" w:rsidR="00940876" w:rsidRDefault="00940876" w:rsidP="00BC11DC">
      <w:pPr>
        <w:ind w:firstLine="567"/>
        <w:rPr>
          <w:lang w:val="ro-RO"/>
        </w:rPr>
      </w:pPr>
    </w:p>
    <w:p w14:paraId="18F71FD6" w14:textId="77777777" w:rsidR="00F61760" w:rsidRDefault="00F61760" w:rsidP="00BC11DC">
      <w:pPr>
        <w:ind w:firstLine="567"/>
        <w:rPr>
          <w:lang w:val="ro-RO"/>
        </w:rPr>
      </w:pPr>
    </w:p>
    <w:p w14:paraId="4B7B89C9" w14:textId="77777777" w:rsidR="00F61760" w:rsidRDefault="00F61760" w:rsidP="00BC11DC">
      <w:pPr>
        <w:ind w:firstLine="567"/>
        <w:rPr>
          <w:lang w:val="ro-RO"/>
        </w:rPr>
      </w:pPr>
    </w:p>
    <w:p w14:paraId="12E8FE60" w14:textId="77777777" w:rsidR="00940876" w:rsidRDefault="00940876" w:rsidP="00BC11DC">
      <w:pPr>
        <w:ind w:firstLine="567"/>
        <w:rPr>
          <w:lang w:val="ro-RO"/>
        </w:rPr>
      </w:pPr>
    </w:p>
    <w:p w14:paraId="0F73772E" w14:textId="77777777" w:rsidR="00940876" w:rsidRDefault="00940876" w:rsidP="00BC11DC">
      <w:pPr>
        <w:ind w:firstLine="567"/>
        <w:rPr>
          <w:lang w:val="ro-RO"/>
        </w:rPr>
      </w:pPr>
    </w:p>
    <w:p w14:paraId="5BAFCC11" w14:textId="77777777" w:rsidR="00940876" w:rsidRDefault="00940876" w:rsidP="00BC11DC">
      <w:pPr>
        <w:ind w:firstLine="567"/>
        <w:rPr>
          <w:lang w:val="ro-RO"/>
        </w:rPr>
      </w:pPr>
    </w:p>
    <w:p w14:paraId="02349666" w14:textId="77777777" w:rsidR="00940876" w:rsidRDefault="00940876" w:rsidP="00BC11DC">
      <w:pPr>
        <w:ind w:firstLine="567"/>
        <w:rPr>
          <w:lang w:val="ro-RO"/>
        </w:rPr>
      </w:pPr>
    </w:p>
    <w:p w14:paraId="367A81F3" w14:textId="77777777" w:rsidR="00940876" w:rsidRDefault="00940876" w:rsidP="00BC11DC">
      <w:pPr>
        <w:ind w:firstLine="567"/>
        <w:rPr>
          <w:lang w:val="ro-RO"/>
        </w:rPr>
      </w:pPr>
    </w:p>
    <w:p w14:paraId="14D81848" w14:textId="2BF5FB89" w:rsidR="00940876" w:rsidRDefault="00940876" w:rsidP="008B76B1">
      <w:pPr>
        <w:pStyle w:val="Heading1"/>
        <w:numPr>
          <w:ilvl w:val="0"/>
          <w:numId w:val="48"/>
        </w:numPr>
        <w:rPr>
          <w:lang w:val="ro-RO"/>
        </w:rPr>
      </w:pPr>
      <w:bookmarkStart w:id="48" w:name="_Toc169625110"/>
      <w:r w:rsidRPr="00940876">
        <w:rPr>
          <w:lang w:val="ro-RO"/>
        </w:rPr>
        <w:lastRenderedPageBreak/>
        <w:t>Planul de Managem</w:t>
      </w:r>
      <w:r w:rsidR="00D924A7">
        <w:rPr>
          <w:lang w:val="ro-RO"/>
        </w:rPr>
        <w:t>e</w:t>
      </w:r>
      <w:r w:rsidRPr="00940876">
        <w:rPr>
          <w:lang w:val="ro-RO"/>
        </w:rPr>
        <w:t>nt integrat al zonei costiere</w:t>
      </w:r>
      <w:bookmarkEnd w:id="48"/>
    </w:p>
    <w:p w14:paraId="0A44BF87" w14:textId="5E7C2863" w:rsidR="00940876" w:rsidRDefault="00940876" w:rsidP="00787B1D">
      <w:pPr>
        <w:pStyle w:val="Heading2"/>
        <w:numPr>
          <w:ilvl w:val="1"/>
          <w:numId w:val="49"/>
        </w:numPr>
      </w:pPr>
      <w:bookmarkStart w:id="49" w:name="_Toc169625111"/>
      <w:r w:rsidRPr="00940876">
        <w:t>Introducere</w:t>
      </w:r>
      <w:bookmarkEnd w:id="49"/>
    </w:p>
    <w:p w14:paraId="62CF15D4" w14:textId="77777777" w:rsidR="00940876" w:rsidRPr="00940876" w:rsidRDefault="00940876" w:rsidP="00940876">
      <w:pPr>
        <w:rPr>
          <w:i/>
          <w:lang w:val="ro-RO" w:eastAsia="en-GB"/>
        </w:rPr>
      </w:pPr>
      <w:r w:rsidRPr="00940876">
        <w:rPr>
          <w:i/>
          <w:lang w:val="ro-RO" w:eastAsia="en-GB"/>
        </w:rPr>
        <w:t>Context</w:t>
      </w:r>
    </w:p>
    <w:p w14:paraId="3D854CBE" w14:textId="77777777" w:rsidR="00940876" w:rsidRPr="00940876" w:rsidRDefault="00940876" w:rsidP="00940876">
      <w:pPr>
        <w:rPr>
          <w:lang w:val="ro-RO" w:eastAsia="en-GB"/>
        </w:rPr>
      </w:pPr>
      <w:r w:rsidRPr="00940876">
        <w:rPr>
          <w:lang w:val="ro-RO" w:eastAsia="en-GB"/>
        </w:rPr>
        <w:t>Managementul integrat al zonei costiere (MIZC) este unul dintre cele mai cunoscute și aplicate instrumente politice și legislative pentru zonele costiere, utilizat de factorii de decizie din întreaga lume și promovat de Comisia Europeană (Recomandarea Consiliului privind managementul integrat al zonelor de coastă din 2002, Protocolul Convenției de la Barcelona privind Managementul Integrat al Zonelor de Coastă, ratificat de UE în 2010 și noua inițiativă a CE privind planificarea spațiului maritim și managementul integrat al zonelor costiere din 2013) și alte organizații internaționale precum National Ocean and Atmospheric Administration (NOAA), United Nations Environment Programme (UNEP), Organisation for Economic Co-operation and Development (OECD), etc.</w:t>
      </w:r>
    </w:p>
    <w:p w14:paraId="3DDDEFFD" w14:textId="77777777" w:rsidR="00940876" w:rsidRPr="00940876" w:rsidRDefault="00940876" w:rsidP="00940876">
      <w:pPr>
        <w:rPr>
          <w:lang w:val="ro-RO" w:eastAsia="en-GB"/>
        </w:rPr>
      </w:pPr>
      <w:r w:rsidRPr="00940876">
        <w:rPr>
          <w:lang w:val="ro-RO" w:eastAsia="en-GB"/>
        </w:rPr>
        <w:t>Există mai multe definiții ale managementului integrat al zonei costiere, una dintre cele mai relevante fiind cea din articolului 2 al Protocolului Convenției de la Barcelona privind Managementul Integrat al Zonelor de Coastă, adoptată și de Comisia Mării Negre, conform căreia MIZC este „un proces dinamic de gestionare și utilizare durabilă a zonelor de coastă, ținând cont în același timp de fragilitatea ecosistemelor și a peisajelor costiere, de diversitatea activităților și utilizărilor, de interacțiunile acestora, de orientarea maritimă a anumitor activități și utilizări și de impactul acestora atât asupra părții maritime, cât și celei terestre”.</w:t>
      </w:r>
    </w:p>
    <w:p w14:paraId="064C8405" w14:textId="77777777" w:rsidR="00940876" w:rsidRPr="00940876" w:rsidRDefault="00940876" w:rsidP="00940876">
      <w:pPr>
        <w:rPr>
          <w:lang w:val="ro-RO" w:eastAsia="en-GB"/>
        </w:rPr>
      </w:pPr>
      <w:r w:rsidRPr="00940876">
        <w:rPr>
          <w:lang w:val="ro-RO" w:eastAsia="en-GB"/>
        </w:rPr>
        <w:t xml:space="preserve">Definirea zonei costiere este de o importanță deosebită în politicile publice ale MIZC, deși o definire clară a acesteia este destul de dificilă datorită naturii dinamice a zonelor costiere. Conform Ketchum (1972), zona costieră este interfața dintre uscat și spațiul marin adiacent în care procesele terestre și utilizările terenurilor afectează direct procesele și utilizările maritime și invers. </w:t>
      </w:r>
    </w:p>
    <w:p w14:paraId="407175C1" w14:textId="77777777" w:rsidR="00940876" w:rsidRPr="00940876" w:rsidRDefault="00940876" w:rsidP="00940876">
      <w:pPr>
        <w:rPr>
          <w:lang w:val="ro-RO" w:eastAsia="en-GB"/>
        </w:rPr>
      </w:pPr>
      <w:r w:rsidRPr="00940876">
        <w:rPr>
          <w:lang w:val="ro-RO" w:eastAsia="en-GB"/>
        </w:rPr>
        <w:t xml:space="preserve">Zonele costiere sunt de mare importanță ecologică, socială, economică și culturală, dar în același timp foarte vulnerabile la schimbările climatice și presiunile antropice tot mai mari. Având în vedere aceste considerente, Comisia Europeană a inițiat în 1996 un program demonstrativ (EU Demonstrator Programme on ICZM) cuprinzând 35 de proiecte demonstrative și șase studii tematice, cu scopul de a evidenția problemele care afectează zonele costiere și identifica posibile măsuri de stopare/limitare a deteriorării acestora. </w:t>
      </w:r>
    </w:p>
    <w:p w14:paraId="5BBF40F5" w14:textId="77777777" w:rsidR="00940876" w:rsidRPr="00940876" w:rsidRDefault="00940876" w:rsidP="00940876">
      <w:pPr>
        <w:rPr>
          <w:lang w:val="ro-RO" w:eastAsia="en-GB"/>
        </w:rPr>
      </w:pPr>
      <w:r w:rsidRPr="00940876">
        <w:rPr>
          <w:lang w:val="ro-RO" w:eastAsia="en-GB"/>
        </w:rPr>
        <w:t>În 2000, pe baza experiențelor și a rezultatelor acestui program demonstrativ, Comisia Europeană a adoptat două documente ce au pus bazele politicilor MIZC în Europa, și anume:</w:t>
      </w:r>
    </w:p>
    <w:p w14:paraId="532BDAA8" w14:textId="77777777" w:rsidR="00940876" w:rsidRPr="00940876" w:rsidRDefault="00940876" w:rsidP="00940876">
      <w:pPr>
        <w:rPr>
          <w:lang w:val="ro-RO" w:eastAsia="en-GB"/>
        </w:rPr>
      </w:pPr>
      <w:r w:rsidRPr="00940876">
        <w:rPr>
          <w:lang w:val="ro-RO" w:eastAsia="en-GB"/>
        </w:rPr>
        <w:t>i) o comunicare a Comisiei către Consiliul și Parlamentul European privind „Gestionarea integrată a zonelor costiere: o strategie pentru Europa” (COM/00/547 din 17.09.2000);</w:t>
      </w:r>
    </w:p>
    <w:p w14:paraId="54704F33" w14:textId="77777777" w:rsidR="00940876" w:rsidRPr="00940876" w:rsidRDefault="00940876" w:rsidP="00940876">
      <w:pPr>
        <w:rPr>
          <w:lang w:val="ro-RO" w:eastAsia="en-GB"/>
        </w:rPr>
      </w:pPr>
      <w:r w:rsidRPr="00940876">
        <w:rPr>
          <w:lang w:val="ro-RO" w:eastAsia="en-GB"/>
        </w:rPr>
        <w:t>ii) o recomandare a Parlamentului European și a Consiliului European privind implementarea managementului integrat al zonelor costiere în Europa (COM/00/545 din 08.09.2000). Această recomandare (2002/413/CE) a fost adoptată de Consiliul și Parlamentul European la 30.05.2002.</w:t>
      </w:r>
    </w:p>
    <w:p w14:paraId="739B2E24" w14:textId="77777777" w:rsidR="00940876" w:rsidRPr="00940876" w:rsidRDefault="00940876" w:rsidP="00940876">
      <w:pPr>
        <w:rPr>
          <w:lang w:val="ro-RO" w:eastAsia="en-GB"/>
        </w:rPr>
      </w:pPr>
      <w:r w:rsidRPr="00940876">
        <w:rPr>
          <w:lang w:val="ro-RO" w:eastAsia="en-GB"/>
        </w:rPr>
        <w:lastRenderedPageBreak/>
        <w:t>O etapă deosebit de importantă în evoluția procesului MIZC la nivel european, cu implicații și pentru bazinul Mării Negre, începe odată cu semnarea la Madrid, în 2009, a Protocolului privind Managementul Integrat al Zonelor de Coastă la Marea Mediterană (ratificat și intrat în vigoare în 2011). În 2019, este adoptat un document ce stabilește Cadrul Comun Regional pentru implementarea MIZC la Marea Mediterană (UNEP/MAP/PAP, 2019), considerat un instrument strategic care facilitează implementarea Protocolului MIZC la Marea Mediterană.</w:t>
      </w:r>
    </w:p>
    <w:p w14:paraId="23461A62" w14:textId="77777777" w:rsidR="00940876" w:rsidRPr="00940876" w:rsidRDefault="00940876" w:rsidP="00940876">
      <w:pPr>
        <w:rPr>
          <w:lang w:val="ro-RO" w:eastAsia="en-GB"/>
        </w:rPr>
      </w:pPr>
      <w:r w:rsidRPr="00940876">
        <w:rPr>
          <w:lang w:val="ro-RO" w:eastAsia="en-GB"/>
        </w:rPr>
        <w:t>Comisia Mării Negre a luat în considerare adoptarea unui instrument similar din punct de vedere juridic, obligatoriu, într-o zonă marină semi-închisă, regională, precum Marea Neagră, identificând necesitatea elaborării unui ghid ca o măsură provizorie până când dezvoltarea unui instrument juridic obligatoriu va deveni cu adevărat fezabilă la nivel regional. Această acțiune a fost inclusă în Planul Strategic de Acțiune pentru Protecția Mediului și Reabilitarea Mării Negre din 2009 ca obiectiv pe termen scurt (BS SAP, 2009). Pentru a oferi mijloacele pentru realizarea acestui obiectiv, în 2010, la solicitarea Comisiei Mării Negre, prin intermediul Secretariatului său, Comisia Europeană a fost de acord să introducă în cadrul proiectului european PEGASO dezvoltarea acestui ghid (Guidelines on Integrated Coastal Zone Management in the Black Sea) ca unul dintre rezultatele proiectului. Deoarece Protocolul privind Managementul Integrat al Zonelor de Coastă la Marea Mediterană era singurul exemplu al unui astfel de document legislativ internațional în vigoare, acest ghid a fost elaborat în jurul tematicilor principale acoperite de către Protocolul MIZC de la Marea Mediterană.</w:t>
      </w:r>
    </w:p>
    <w:p w14:paraId="536EEC74" w14:textId="77777777" w:rsidR="00940876" w:rsidRPr="00940876" w:rsidRDefault="00940876" w:rsidP="00940876">
      <w:pPr>
        <w:rPr>
          <w:lang w:val="ro-RO" w:eastAsia="en-GB"/>
        </w:rPr>
      </w:pPr>
      <w:r w:rsidRPr="00940876">
        <w:rPr>
          <w:lang w:val="ro-RO" w:eastAsia="en-GB"/>
        </w:rPr>
        <w:t xml:space="preserve">La nivelul Comisiei Mării Negre este constituit Grupul Consultativ pentru Managementul Integrat al Zonei Costiere (ICZM AG), care are rolul de a face recomandări privind managementul zonei costiere și de a elabora și implementa planuri și strategii, metodologii și instrumente de management integrat al zonei costiere, coordonate la nivel regional, în contextul dezvoltării durabile (BS-SAP, 2009). </w:t>
      </w:r>
    </w:p>
    <w:p w14:paraId="61720996" w14:textId="77777777" w:rsidR="00940876" w:rsidRPr="00940876" w:rsidRDefault="00940876" w:rsidP="00940876">
      <w:pPr>
        <w:rPr>
          <w:lang w:val="ro-RO" w:eastAsia="en-GB"/>
        </w:rPr>
      </w:pPr>
      <w:r w:rsidRPr="00940876">
        <w:rPr>
          <w:lang w:val="ro-RO" w:eastAsia="en-GB"/>
        </w:rPr>
        <w:t>România a fost printre primele țări din bazinul Mării Negre care a creat cadrul legislativ în vederea implementării managementului integrat al zonei costiere. Prin adoptarea Ordonanţei de Urgenţă a Guvernului nr. 202/2002 privind gospodărirea integrată a zonei costiere, aprobată cu modificări prin Legea nr. 280/2003, România a recunoscut că managementul integrat al zonei costiere reprezintă un instrument valoros care a creat structuri şi un cadru legal pentru a promova implementarea acestuia în consens cu Recomandarea Parlamentului și a Consiliului European din 30.05.2002 privind implementarea MIZC în Europa (2002/413/EC).</w:t>
      </w:r>
    </w:p>
    <w:p w14:paraId="6EE6AB76" w14:textId="77777777" w:rsidR="00940876" w:rsidRPr="00940876" w:rsidRDefault="00940876" w:rsidP="00940876">
      <w:pPr>
        <w:rPr>
          <w:lang w:val="ro-RO" w:eastAsia="en-GB"/>
        </w:rPr>
      </w:pPr>
      <w:r w:rsidRPr="00940876">
        <w:rPr>
          <w:lang w:val="ro-RO" w:eastAsia="en-GB"/>
        </w:rPr>
        <w:t>În 2004, a fost înființat în baza Ordonanţei de Urgență nr. 202/2002 privind gospodărirea zonei costiere, aprobată cu modificări prin Legea nr. 280/2003, Comitetul Naţional al Zonei Costiere (CNZC), în scopul asigurării gospodăririi integrate a zonei costiere.</w:t>
      </w:r>
    </w:p>
    <w:p w14:paraId="224CC442" w14:textId="77777777" w:rsidR="00940876" w:rsidRPr="00940876" w:rsidRDefault="00940876" w:rsidP="00940876">
      <w:pPr>
        <w:rPr>
          <w:lang w:val="ro-RO" w:eastAsia="en-GB"/>
        </w:rPr>
      </w:pPr>
      <w:r w:rsidRPr="00940876">
        <w:rPr>
          <w:lang w:val="ro-RO" w:eastAsia="en-GB"/>
        </w:rPr>
        <w:t xml:space="preserve">Cu toate acestea, Planul naţional privind gospodărirea integrată a zonei costiere nu a fost elaborat până în prezent din cauza funcţionalităţii necorespunzătoare a cadrului inter-instituţional existent. Totodată, nu sunt stabilite zonele funcţionale şi inventarul componentelor de mediu ale zonei costiere, care reprezintă elemente de referinţă pentru respectarea principiilor stipulate în OUG 202/2002 privind gospodărirea integrată a zonei costiere, aprobată cu modificări prin Legea nr. 280/2003. Mai mult, integrarea politicilor de mediu în politicile și planurile sectoriale privind agricultura, energia, resursele minerale, industria, turismul, </w:t>
      </w:r>
      <w:r w:rsidRPr="00940876">
        <w:rPr>
          <w:lang w:val="ro-RO" w:eastAsia="en-GB"/>
        </w:rPr>
        <w:lastRenderedPageBreak/>
        <w:t>pescuitul şi acvacultura, transporturile şi dezvoltarea zonelor locuite este realizată doar parțial. De asemenea, în prezent, nu există o bază de date integrată sau un inventar național integrat privind zona costieră, iar raportările pe care România, ca stat membru al UE sau ca Parte a Convenției Mării Negre împotriva Poluării, are obligația să le transmită Comisiei Europene, respectiv Comisiei Mării Negre, sunt realizate prin intermediul punctelor focale naționale la nivel european sau din cadrul Comisiei Mării Negre.</w:t>
      </w:r>
    </w:p>
    <w:p w14:paraId="7611CB26" w14:textId="77777777" w:rsidR="00940876" w:rsidRPr="00940876" w:rsidRDefault="00940876" w:rsidP="00940876">
      <w:pPr>
        <w:rPr>
          <w:i/>
          <w:lang w:val="ro-RO" w:eastAsia="en-GB"/>
        </w:rPr>
      </w:pPr>
      <w:r w:rsidRPr="00940876">
        <w:rPr>
          <w:i/>
          <w:lang w:val="ro-RO" w:eastAsia="en-GB"/>
        </w:rPr>
        <w:t>Necesitatea elaborării Planului de Management Integrat al zonei costiere</w:t>
      </w:r>
    </w:p>
    <w:p w14:paraId="23AB7355" w14:textId="77777777" w:rsidR="00940876" w:rsidRPr="00940876" w:rsidRDefault="00940876" w:rsidP="00940876">
      <w:pPr>
        <w:rPr>
          <w:lang w:val="ro-RO" w:eastAsia="en-GB"/>
        </w:rPr>
      </w:pPr>
      <w:r w:rsidRPr="00940876">
        <w:rPr>
          <w:lang w:val="ro-RO" w:eastAsia="en-GB"/>
        </w:rPr>
        <w:t xml:space="preserve">Zona costieră românească oferă o multitudine de utilizări de o importanță socio-economică considerabilă pentru societate. Cu toate acestea, diferitele interese sectoriale caută, cel mai adesea, accesul și utilizarea exclusivă a zonei și resurselor din zona costieră. Abordarea sectorială în planificarea dezvoltării și managementului resurselor, agravată de presiunea populației și de complexitatea activităților umane din ecosistemele costiere poate conduce la conflicte de utilizare și la efecte socio-economice și de mediu adverse. Astfel, este nevoie de un document politic intersectorial, respectiv Strategia Națională privind gospodărirea integrată a zonei costiere, care să furnizeze o viziune pe termen lung pentru utilizarea şi dezvoltarea durabilă a zonei costiere a României. Îndeplinirea acestei viziuni, respectiv atingerea obiectivelor generale definite în cadrul Strategiei naționale privind gospodărirea integrată a zonei costiere, necesită elaborarea unui plan de management care să stabilească clar “cine face”, “ce face”, “când face“ și “cu ce resurse face”. Acest plan este elaborat pentru o perioadă de 6 ani (până în 2030) și va defini măsurile ce se vor lua pentru contracararea principalelor probleme și vulnerabilități din zona costieră și activitățile propuse a se implementa pentru îndeplinirea măsurilor, stabilind în același timp instituțiile responsabile, termenele de realizare, resursele financiare necesare, precum și modul de monitorizare al implementării activităților. </w:t>
      </w:r>
    </w:p>
    <w:p w14:paraId="5069D26B" w14:textId="77777777" w:rsidR="00940876" w:rsidRDefault="00940876" w:rsidP="00940876">
      <w:pPr>
        <w:rPr>
          <w:lang w:val="ro-RO" w:eastAsia="en-GB"/>
        </w:rPr>
      </w:pPr>
    </w:p>
    <w:p w14:paraId="0B79E613" w14:textId="0DFD7B24" w:rsidR="00940876" w:rsidRPr="00D924A7" w:rsidRDefault="00940876" w:rsidP="005D2CE5">
      <w:pPr>
        <w:pStyle w:val="Heading2"/>
      </w:pPr>
      <w:bookmarkStart w:id="50" w:name="_Toc169625112"/>
      <w:r w:rsidRPr="00D924A7">
        <w:t xml:space="preserve">2.2 Cadrul </w:t>
      </w:r>
      <w:r w:rsidRPr="005D2CE5">
        <w:t>instituțional</w:t>
      </w:r>
      <w:r w:rsidRPr="00D924A7">
        <w:t xml:space="preserve"> și legislativ actual referitor la managementul integrat al zonei costiere și problemele identificate</w:t>
      </w:r>
      <w:bookmarkEnd w:id="50"/>
    </w:p>
    <w:p w14:paraId="50619EAE" w14:textId="4B2F5A1D" w:rsidR="00940876" w:rsidRDefault="00D924A7" w:rsidP="005D2CE5">
      <w:pPr>
        <w:pStyle w:val="Heading3"/>
      </w:pPr>
      <w:bookmarkStart w:id="51" w:name="_Toc169625113"/>
      <w:r w:rsidRPr="00D924A7">
        <w:t xml:space="preserve">2.2.1 </w:t>
      </w:r>
      <w:r w:rsidRPr="005D2CE5">
        <w:t>Cadrul</w:t>
      </w:r>
      <w:r w:rsidRPr="00D924A7">
        <w:t xml:space="preserve"> instituțional actual și problemele identificate</w:t>
      </w:r>
      <w:bookmarkEnd w:id="51"/>
    </w:p>
    <w:p w14:paraId="698FB640" w14:textId="77777777" w:rsidR="00D924A7" w:rsidRPr="00D924A7" w:rsidRDefault="00D924A7" w:rsidP="00D924A7">
      <w:pPr>
        <w:rPr>
          <w:lang w:val="ro-RO" w:eastAsia="en-GB"/>
        </w:rPr>
      </w:pPr>
      <w:r w:rsidRPr="00D924A7">
        <w:rPr>
          <w:lang w:val="ro-RO" w:eastAsia="en-GB"/>
        </w:rPr>
        <w:t>Ministerul Mediului, Apelor și Pădurilor (MMAP) este principala autoritate responsabilă de implementarea MIZC în România. Conform Anexei la Ordin 573/23.02.2023 privind aprobarea Regulamentului de Organizare și Funcționare al Ministerului Mediului, Apelor și Pădurilor, MMAP exercită și funcția de strategie și planificare. Conform art.16, alin. 2, al acestei Anexe, în exercitarea acestei funcții, MMAP elaborează, actualizează și coordonează aplicarea Strategiei de management integrat a zonei costiere.</w:t>
      </w:r>
    </w:p>
    <w:p w14:paraId="494FB3F4" w14:textId="77777777" w:rsidR="00D924A7" w:rsidRPr="00D924A7" w:rsidRDefault="00D924A7" w:rsidP="00D924A7">
      <w:pPr>
        <w:rPr>
          <w:lang w:val="ro-RO" w:eastAsia="en-GB"/>
        </w:rPr>
      </w:pPr>
      <w:r w:rsidRPr="00D924A7">
        <w:rPr>
          <w:lang w:val="ro-RO" w:eastAsia="en-GB"/>
        </w:rPr>
        <w:t>În prezent, pe lângă autoritatea publică centrală pentru protecţia mediului şi gospodărirea apelor (MMAP) funcționează Comitetul Național al Zonei Costiere (CNZC), înființat în baza Ordonanţei de Urgență nr. 202/2002 privind gospodărirea zonei costiere, aprobată cu modificări prin Legea nr. 280/2003, cu următoarele atribuții:</w:t>
      </w:r>
    </w:p>
    <w:p w14:paraId="11B77767" w14:textId="77777777" w:rsidR="00D924A7" w:rsidRPr="00D924A7" w:rsidRDefault="00D924A7" w:rsidP="00D924A7">
      <w:pPr>
        <w:rPr>
          <w:lang w:val="ro-RO" w:eastAsia="en-GB"/>
        </w:rPr>
      </w:pPr>
      <w:r w:rsidRPr="00D924A7">
        <w:rPr>
          <w:lang w:val="ro-RO" w:eastAsia="en-GB"/>
        </w:rPr>
        <w:lastRenderedPageBreak/>
        <w:t>-</w:t>
      </w:r>
      <w:r w:rsidRPr="00D924A7">
        <w:rPr>
          <w:lang w:val="ro-RO" w:eastAsia="en-GB"/>
        </w:rPr>
        <w:tab/>
        <w:t>avizarea planurilor de gospodărire integrată a zonei costiere și a planurilor de urbanism locale și zonale;</w:t>
      </w:r>
    </w:p>
    <w:p w14:paraId="466C6323" w14:textId="77777777" w:rsidR="00D924A7" w:rsidRPr="00D924A7" w:rsidRDefault="00D924A7" w:rsidP="00D924A7">
      <w:pPr>
        <w:rPr>
          <w:lang w:val="ro-RO" w:eastAsia="en-GB"/>
        </w:rPr>
      </w:pPr>
      <w:r w:rsidRPr="00D924A7">
        <w:rPr>
          <w:lang w:val="ro-RO" w:eastAsia="en-GB"/>
        </w:rPr>
        <w:t>-</w:t>
      </w:r>
      <w:r w:rsidRPr="00D924A7">
        <w:rPr>
          <w:lang w:val="ro-RO" w:eastAsia="en-GB"/>
        </w:rPr>
        <w:tab/>
        <w:t>avizarea studiilor de impact pentru activități cu impact semnificativ ce urmează a se desfăşura în zona costieră, precum și a bilanţurilor de mediu ale lucrărilor existente;</w:t>
      </w:r>
    </w:p>
    <w:p w14:paraId="472422CF" w14:textId="77777777" w:rsidR="00D924A7" w:rsidRPr="00D924A7" w:rsidRDefault="00D924A7" w:rsidP="00D924A7">
      <w:pPr>
        <w:rPr>
          <w:lang w:val="ro-RO" w:eastAsia="en-GB"/>
        </w:rPr>
      </w:pPr>
      <w:r w:rsidRPr="00D924A7">
        <w:rPr>
          <w:lang w:val="ro-RO" w:eastAsia="en-GB"/>
        </w:rPr>
        <w:t>-</w:t>
      </w:r>
      <w:r w:rsidRPr="00D924A7">
        <w:rPr>
          <w:lang w:val="ro-RO" w:eastAsia="en-GB"/>
        </w:rPr>
        <w:tab/>
        <w:t>avizarea proiectelor de creare de parcuri și rezervaţii naturale marine/aferente zonei costiere.</w:t>
      </w:r>
    </w:p>
    <w:p w14:paraId="50584B05" w14:textId="77777777" w:rsidR="00D924A7" w:rsidRPr="00D924A7" w:rsidRDefault="00D924A7" w:rsidP="00D924A7">
      <w:pPr>
        <w:spacing w:before="0"/>
        <w:rPr>
          <w:lang w:val="ro-RO" w:eastAsia="en-GB"/>
        </w:rPr>
      </w:pPr>
      <w:r w:rsidRPr="00D924A7">
        <w:rPr>
          <w:lang w:val="ro-RO" w:eastAsia="en-GB"/>
        </w:rPr>
        <w:t>Conform articolului 68 al OUG 202 / 2002 privind gospodărirea zonei costiere, aprobată cu modificări prin Legea nr. 280/2003, din componența CNZC fac parte peste 40 de reprezentanți ai autorităților centrale, locale și regionale, instituțiilor, factorilor interesați și organizațiilor non-guvernamentale (https://www.rmri.ro/Home/Responsibilities.CNZC.html).</w:t>
      </w:r>
    </w:p>
    <w:p w14:paraId="6642E744" w14:textId="77777777" w:rsidR="00D924A7" w:rsidRPr="00D924A7" w:rsidRDefault="00D924A7" w:rsidP="00D924A7">
      <w:pPr>
        <w:spacing w:before="0"/>
        <w:rPr>
          <w:lang w:val="ro-RO" w:eastAsia="en-GB"/>
        </w:rPr>
      </w:pPr>
      <w:r w:rsidRPr="00D924A7">
        <w:rPr>
          <w:lang w:val="ro-RO" w:eastAsia="en-GB"/>
        </w:rPr>
        <w:t>În conformitate cu art. 10 al Regulamentului de organizare și funcționare a Comitetului Național al Zonei Costiere, aprobat prin H.G 1015/26.06.2004 cu modificările și completările ulterioare, pentru desfășurarea activității curente, CNZC are, în prezent, un Secretariat Tehnic Permanent al CNZC care este asigurat de către autoritatea publică centrală pentru protecția mediului și gospodărirea apelor și are următoarele atribuţii:</w:t>
      </w:r>
    </w:p>
    <w:p w14:paraId="2FAEFD7C" w14:textId="77777777" w:rsidR="00D924A7" w:rsidRPr="00D924A7" w:rsidRDefault="00D924A7" w:rsidP="00D924A7">
      <w:pPr>
        <w:rPr>
          <w:lang w:val="ro-RO" w:eastAsia="en-GB"/>
        </w:rPr>
      </w:pPr>
      <w:r w:rsidRPr="00D924A7">
        <w:rPr>
          <w:lang w:val="ro-RO" w:eastAsia="en-GB"/>
        </w:rPr>
        <w:t>-</w:t>
      </w:r>
      <w:r w:rsidRPr="00D924A7">
        <w:rPr>
          <w:lang w:val="ro-RO" w:eastAsia="en-GB"/>
        </w:rPr>
        <w:tab/>
        <w:t>pune la dispoziţia CNZC documentele necesare acestuia în vederea adoptării deciziilor;</w:t>
      </w:r>
    </w:p>
    <w:p w14:paraId="673F5975" w14:textId="77777777" w:rsidR="00D924A7" w:rsidRPr="00D924A7" w:rsidRDefault="00D924A7" w:rsidP="00D924A7">
      <w:pPr>
        <w:rPr>
          <w:lang w:val="ro-RO" w:eastAsia="en-GB"/>
        </w:rPr>
      </w:pPr>
      <w:r w:rsidRPr="00D924A7">
        <w:rPr>
          <w:lang w:val="ro-RO" w:eastAsia="en-GB"/>
        </w:rPr>
        <w:t>-</w:t>
      </w:r>
      <w:r w:rsidRPr="00D924A7">
        <w:rPr>
          <w:lang w:val="ro-RO" w:eastAsia="en-GB"/>
        </w:rPr>
        <w:tab/>
        <w:t>asigură pregătirea și organizarea şedinţelor de lucru ale CNZC, a dezbaterilor publice și a altor acţiuni iniţiate de acesta;</w:t>
      </w:r>
    </w:p>
    <w:p w14:paraId="0457CE6D" w14:textId="77777777" w:rsidR="00D924A7" w:rsidRPr="00D924A7" w:rsidRDefault="00D924A7" w:rsidP="00D924A7">
      <w:pPr>
        <w:rPr>
          <w:lang w:val="ro-RO" w:eastAsia="en-GB"/>
        </w:rPr>
      </w:pPr>
      <w:r w:rsidRPr="00D924A7">
        <w:rPr>
          <w:lang w:val="ro-RO" w:eastAsia="en-GB"/>
        </w:rPr>
        <w:t>-</w:t>
      </w:r>
      <w:r w:rsidRPr="00D924A7">
        <w:rPr>
          <w:lang w:val="ro-RO" w:eastAsia="en-GB"/>
        </w:rPr>
        <w:tab/>
        <w:t>pregăteşte corespondența legată de activitatea curentă a CNZC, în conformitate cu deciziile luate de acesta și transmise de preşedintele CNZC;</w:t>
      </w:r>
    </w:p>
    <w:p w14:paraId="3796D4CF" w14:textId="77777777" w:rsidR="00D924A7" w:rsidRPr="00D924A7" w:rsidRDefault="00D924A7" w:rsidP="00D924A7">
      <w:pPr>
        <w:rPr>
          <w:lang w:val="ro-RO" w:eastAsia="en-GB"/>
        </w:rPr>
      </w:pPr>
      <w:r w:rsidRPr="00D924A7">
        <w:rPr>
          <w:lang w:val="ro-RO" w:eastAsia="en-GB"/>
        </w:rPr>
        <w:t>-</w:t>
      </w:r>
      <w:r w:rsidRPr="00D924A7">
        <w:rPr>
          <w:lang w:val="ro-RO" w:eastAsia="en-GB"/>
        </w:rPr>
        <w:tab/>
        <w:t>răspunde întrebărilor și/sau solicitărilor persoanelor interesate în orice problemă care face obiectul atribuţiilor CNZC, cu excepţia celor în legătură cu care CNZC nu a adoptat încă o decizie;</w:t>
      </w:r>
    </w:p>
    <w:p w14:paraId="306EDF4B" w14:textId="77777777" w:rsidR="00D924A7" w:rsidRPr="00D924A7" w:rsidRDefault="00D924A7" w:rsidP="00D924A7">
      <w:pPr>
        <w:rPr>
          <w:lang w:val="ro-RO" w:eastAsia="en-GB"/>
        </w:rPr>
      </w:pPr>
      <w:r w:rsidRPr="00D924A7">
        <w:rPr>
          <w:lang w:val="ro-RO" w:eastAsia="en-GB"/>
        </w:rPr>
        <w:t>-</w:t>
      </w:r>
      <w:r w:rsidRPr="00D924A7">
        <w:rPr>
          <w:lang w:val="ro-RO" w:eastAsia="en-GB"/>
        </w:rPr>
        <w:tab/>
        <w:t>asigură întocmirea proceselor-verbale ale fiecărei şedinţe de lucru și ale dezbaterilor publice;</w:t>
      </w:r>
    </w:p>
    <w:p w14:paraId="28790EC6" w14:textId="77777777" w:rsidR="00D924A7" w:rsidRPr="00D924A7" w:rsidRDefault="00D924A7" w:rsidP="00D924A7">
      <w:pPr>
        <w:rPr>
          <w:lang w:val="ro-RO" w:eastAsia="en-GB"/>
        </w:rPr>
      </w:pPr>
      <w:r w:rsidRPr="00D924A7">
        <w:rPr>
          <w:lang w:val="ro-RO" w:eastAsia="en-GB"/>
        </w:rPr>
        <w:t>-</w:t>
      </w:r>
      <w:r w:rsidRPr="00D924A7">
        <w:rPr>
          <w:lang w:val="ro-RO" w:eastAsia="en-GB"/>
        </w:rPr>
        <w:tab/>
        <w:t>elaborează proiectele programului de lucru anual în vederea desfășurării activităţilor CNZC și le supune aprobării acestuia.</w:t>
      </w:r>
    </w:p>
    <w:p w14:paraId="47388331" w14:textId="77777777" w:rsidR="00D924A7" w:rsidRPr="00D924A7" w:rsidRDefault="00D924A7" w:rsidP="00D924A7">
      <w:pPr>
        <w:rPr>
          <w:lang w:val="ro-RO" w:eastAsia="en-GB"/>
        </w:rPr>
      </w:pPr>
      <w:r w:rsidRPr="00D924A7">
        <w:rPr>
          <w:lang w:val="ro-RO" w:eastAsia="en-GB"/>
        </w:rPr>
        <w:t>În cadrul CNZC sunt constituite, în prezent, șase Grupuri de Lucru, după cum urmează:</w:t>
      </w:r>
    </w:p>
    <w:p w14:paraId="5E0DD0A8" w14:textId="77777777" w:rsidR="00D924A7" w:rsidRPr="00D924A7" w:rsidRDefault="00D924A7" w:rsidP="00D924A7">
      <w:pPr>
        <w:rPr>
          <w:lang w:val="ro-RO" w:eastAsia="en-GB"/>
        </w:rPr>
      </w:pPr>
      <w:r w:rsidRPr="00D924A7">
        <w:rPr>
          <w:lang w:val="ro-RO" w:eastAsia="en-GB"/>
        </w:rPr>
        <w:t>-</w:t>
      </w:r>
      <w:r w:rsidRPr="00D924A7">
        <w:rPr>
          <w:lang w:val="ro-RO" w:eastAsia="en-GB"/>
        </w:rPr>
        <w:tab/>
        <w:t>Grupul de lucru pentru delimitarea zonei costiere, urbanism și amenajarea teritoriului;</w:t>
      </w:r>
    </w:p>
    <w:p w14:paraId="530A9F69" w14:textId="77777777" w:rsidR="00D924A7" w:rsidRPr="00D924A7" w:rsidRDefault="00D924A7" w:rsidP="00D924A7">
      <w:pPr>
        <w:rPr>
          <w:lang w:val="ro-RO" w:eastAsia="en-GB"/>
        </w:rPr>
      </w:pPr>
      <w:r w:rsidRPr="00D924A7">
        <w:rPr>
          <w:lang w:val="ro-RO" w:eastAsia="en-GB"/>
        </w:rPr>
        <w:t>-</w:t>
      </w:r>
      <w:r w:rsidRPr="00D924A7">
        <w:rPr>
          <w:lang w:val="ro-RO" w:eastAsia="en-GB"/>
        </w:rPr>
        <w:tab/>
        <w:t>Grupul de lucru pentru combaterea degradării Zonei Costiere prin eroziune marină, alunecări de teren și alte accidente;</w:t>
      </w:r>
    </w:p>
    <w:p w14:paraId="59926BF0" w14:textId="77777777" w:rsidR="00D924A7" w:rsidRPr="00D924A7" w:rsidRDefault="00D924A7" w:rsidP="00D924A7">
      <w:pPr>
        <w:rPr>
          <w:lang w:val="ro-RO" w:eastAsia="en-GB"/>
        </w:rPr>
      </w:pPr>
      <w:r w:rsidRPr="00D924A7">
        <w:rPr>
          <w:lang w:val="ro-RO" w:eastAsia="en-GB"/>
        </w:rPr>
        <w:t>-</w:t>
      </w:r>
      <w:r w:rsidRPr="00D924A7">
        <w:rPr>
          <w:lang w:val="ro-RO" w:eastAsia="en-GB"/>
        </w:rPr>
        <w:tab/>
        <w:t>Grupul de lucru pentru elaborarea documentelor juridice, tehnice la nivel naţional, regional și intersectorial referitoare la gospodărirea integrată a Zonei Costiere;</w:t>
      </w:r>
    </w:p>
    <w:p w14:paraId="6143CC7F" w14:textId="77777777" w:rsidR="00D924A7" w:rsidRPr="00D924A7" w:rsidRDefault="00D924A7" w:rsidP="00D924A7">
      <w:pPr>
        <w:rPr>
          <w:lang w:val="ro-RO" w:eastAsia="en-GB"/>
        </w:rPr>
      </w:pPr>
      <w:r w:rsidRPr="00D924A7">
        <w:rPr>
          <w:lang w:val="ro-RO" w:eastAsia="en-GB"/>
        </w:rPr>
        <w:t>-</w:t>
      </w:r>
      <w:r w:rsidRPr="00D924A7">
        <w:rPr>
          <w:lang w:val="ro-RO" w:eastAsia="en-GB"/>
        </w:rPr>
        <w:tab/>
        <w:t>Grupul de lucru pentru elaborarea de politici, strategii și planuri de acţiune pentru gospodărirea integrată a Zonei Costiere;</w:t>
      </w:r>
    </w:p>
    <w:p w14:paraId="01091D13" w14:textId="77777777" w:rsidR="00D924A7" w:rsidRPr="00D924A7" w:rsidRDefault="00D924A7" w:rsidP="00D924A7">
      <w:pPr>
        <w:rPr>
          <w:lang w:val="ro-RO" w:eastAsia="en-GB"/>
        </w:rPr>
      </w:pPr>
      <w:r w:rsidRPr="00D924A7">
        <w:rPr>
          <w:lang w:val="ro-RO" w:eastAsia="en-GB"/>
        </w:rPr>
        <w:t>-</w:t>
      </w:r>
      <w:r w:rsidRPr="00D924A7">
        <w:rPr>
          <w:lang w:val="ro-RO" w:eastAsia="en-GB"/>
        </w:rPr>
        <w:tab/>
        <w:t>Grupul de lucru pentru monitorizarea și controlul integrat al patrimoniului, calităţii mediului și activităţilor umane din Zona Costieră;</w:t>
      </w:r>
    </w:p>
    <w:p w14:paraId="55AD1BD2" w14:textId="77777777" w:rsidR="00D924A7" w:rsidRPr="00D924A7" w:rsidRDefault="00D924A7" w:rsidP="00D924A7">
      <w:pPr>
        <w:rPr>
          <w:lang w:val="ro-RO" w:eastAsia="en-GB"/>
        </w:rPr>
      </w:pPr>
      <w:r w:rsidRPr="00D924A7">
        <w:rPr>
          <w:lang w:val="ro-RO" w:eastAsia="en-GB"/>
        </w:rPr>
        <w:lastRenderedPageBreak/>
        <w:t>-</w:t>
      </w:r>
      <w:r w:rsidRPr="00D924A7">
        <w:rPr>
          <w:lang w:val="ro-RO" w:eastAsia="en-GB"/>
        </w:rPr>
        <w:tab/>
        <w:t>Grupul de lucru pentru informare și comunicare.</w:t>
      </w:r>
    </w:p>
    <w:p w14:paraId="6D1130C9" w14:textId="77777777" w:rsidR="00D924A7" w:rsidRPr="00D924A7" w:rsidRDefault="00D924A7" w:rsidP="00D924A7">
      <w:pPr>
        <w:spacing w:before="0"/>
        <w:rPr>
          <w:lang w:val="ro-RO" w:eastAsia="en-GB"/>
        </w:rPr>
      </w:pPr>
      <w:r w:rsidRPr="00D924A7">
        <w:rPr>
          <w:lang w:val="ro-RO" w:eastAsia="en-GB"/>
        </w:rPr>
        <w:t>Conform art. 6, alin. 8 din Anexa la Regulamentului de organizare și funcționare a CNZC, aprobat prin H.G. 1015/26.06.2004 cu modificările și completările ulterioare, deciziile CNZC au caracter consultativ și sunt luate în considerare de autoritatea publică centrală pentru protecția mediului și gospodărirea apelor, dar fără a avea un caracter obligatoriu.</w:t>
      </w:r>
    </w:p>
    <w:p w14:paraId="47899118" w14:textId="77777777" w:rsidR="00D924A7" w:rsidRPr="00D924A7" w:rsidRDefault="00D924A7" w:rsidP="00D924A7">
      <w:pPr>
        <w:spacing w:before="0"/>
        <w:rPr>
          <w:lang w:val="ro-RO" w:eastAsia="en-GB"/>
        </w:rPr>
      </w:pPr>
      <w:r w:rsidRPr="00D924A7">
        <w:rPr>
          <w:lang w:val="ro-RO" w:eastAsia="en-GB"/>
        </w:rPr>
        <w:t>În complexitatea cadrului instituțional pentru managementul integrat al zonei costiere, caracterizat prin diversitatea de acte normative și structuri instituționale cu responsabilități și atribuții directe și/sau conexe, CNZC funcționează în prezent destul de greoi și de multe ori ineficient, fiind astfel necesară o revizuire a componenței și, în special, a atribuțiilor acestuia, astfel încât să aibă autoritate, să funcționeze continuu, să devină mai consistent, mai eficient și cu un rol mai important și mai bine definit.</w:t>
      </w:r>
    </w:p>
    <w:p w14:paraId="03902C26" w14:textId="77777777" w:rsidR="00D924A7" w:rsidRPr="00D924A7" w:rsidRDefault="00D924A7" w:rsidP="00D924A7">
      <w:pPr>
        <w:spacing w:before="0"/>
        <w:rPr>
          <w:lang w:val="ro-RO" w:eastAsia="en-GB"/>
        </w:rPr>
      </w:pPr>
      <w:r w:rsidRPr="00D924A7">
        <w:rPr>
          <w:lang w:val="ro-RO" w:eastAsia="en-GB"/>
        </w:rPr>
        <w:t>În ceea ce privește componența CNZC se remarcă absența reprezentanților mediului de afaceri, astfel, interesele comunității de afaceri din zona costieră nu sunt adecvat reprezentate, protejate și susținute în raport cu autoritățile publice și locale. Acest lucru poate duce la decizii care nu iau în considerare perspectivele și preocupările mediului de afaceri, ceea ce poate afecta negativ dezvoltarea economică sustenabilă în zona costieră. În plus, având în vedere potențialul foarte mare al activităților de planificare spațială a teritoriului și urbanism de a induce riscuri în zona costieră, este surprinzătoare absența organizațiilor profesionale de profil din componența CNZC.</w:t>
      </w:r>
    </w:p>
    <w:p w14:paraId="4CFA6CE5" w14:textId="77777777" w:rsidR="00D924A7" w:rsidRPr="00D924A7" w:rsidRDefault="00D924A7" w:rsidP="00D924A7">
      <w:pPr>
        <w:spacing w:before="0"/>
        <w:rPr>
          <w:lang w:val="ro-RO" w:eastAsia="en-GB"/>
        </w:rPr>
      </w:pPr>
      <w:r w:rsidRPr="00D924A7">
        <w:rPr>
          <w:lang w:val="ro-RO" w:eastAsia="en-GB"/>
        </w:rPr>
        <w:t xml:space="preserve">Tot referitor la funcționarea CNZC, o problemă importantă pentru asigurarea eficienței CNZC este și lipsa (cel puțin parțială) de resurse (financiare, logistice). Dacă activitatea membrilor CNZC delegați de instituțiile publice nominalizate se asigură din bugetele instituțiilor respective, participarea altor reprezentanți precum și a experților în grupurile nominalizate, depinde de resursele limitate sau chiar inexistente ale acestora, bazându-se pe caracterul voluntar, ceea ce în practică nu s-a dovedit că poate asigura continuitatea și calitatea activităților. </w:t>
      </w:r>
    </w:p>
    <w:p w14:paraId="3E3064C8" w14:textId="77777777" w:rsidR="00D924A7" w:rsidRPr="00D924A7" w:rsidRDefault="00D924A7" w:rsidP="00D924A7">
      <w:pPr>
        <w:spacing w:before="0"/>
        <w:rPr>
          <w:lang w:val="ro-RO" w:eastAsia="en-GB"/>
        </w:rPr>
      </w:pPr>
      <w:r w:rsidRPr="00D924A7">
        <w:rPr>
          <w:lang w:val="ro-RO" w:eastAsia="en-GB"/>
        </w:rPr>
        <w:t>Administrațiile locale, membre ale CNZC, sunt destul de puțin motivate și implicate în procesul de management integrat al zonei costiere (cel mai elocvent exemplu este neincluderea delimitării zonei costiere în PUG-uri, dealtfel stipulată în OUG 202 / 2002), astfel încât atribuțiile și consistența acțiunilor lor în cadrul CNZC necesită o îmbunătățire majoră, inclusiv în ceea ce privește implicarea și expertiza funcționarilor publici.</w:t>
      </w:r>
    </w:p>
    <w:p w14:paraId="61973375" w14:textId="77777777" w:rsidR="00D924A7" w:rsidRPr="00D924A7" w:rsidRDefault="00D924A7" w:rsidP="00D924A7">
      <w:pPr>
        <w:spacing w:before="0"/>
        <w:rPr>
          <w:lang w:val="ro-RO" w:eastAsia="en-GB"/>
        </w:rPr>
      </w:pPr>
      <w:r w:rsidRPr="00D924A7">
        <w:rPr>
          <w:lang w:val="ro-RO" w:eastAsia="en-GB"/>
        </w:rPr>
        <w:t xml:space="preserve">Referitor la coordonarea orizontală intersectorială, se poate spune că în trecut au existat exemple de competențe neclare și suprapuse și de funcționare ineficientă. Pe lângă slăbiciunile în coordonarea și integrarea intersectorială, probleme majore se înregistrează în coordonarea verticală (de la nivel local la nivel național). Capacitățile scăzute, precum și lipsa de experiență și cunoștințe pentru aplicarea unei abordări de management integrat sunt, de asemenea, caracteristice sistemului instituțional existent, iar acest lucru este deosebit de evident la nivel local. Delimitarea clară a responsabilităților din cadrul ministerelor sub jurisdicția cărora intră cele mai importante aspecte referitoare la managementul zonei de costiere este necesară pentru o coordonare mai bună la nivel local a reprezentanților în teritoriu, evitându-se suprapunerea anumitor reglementări, astfel încât acțiunile să fie concertate și eficiente. Totodată, analiza </w:t>
      </w:r>
      <w:r w:rsidRPr="00D924A7">
        <w:rPr>
          <w:lang w:val="ro-RO" w:eastAsia="en-GB"/>
        </w:rPr>
        <w:lastRenderedPageBreak/>
        <w:t>cadrului instituțional și legal actual relevă faptul că există decalaje care pot fi estompate prin adresare punctuală, ținând cont de specificitățile regionale și locale, respectiv condițiile interne și externe - un exemplu poate fi cel referitor la recunoașterea schimbărilor climatice și măsurile necesare.</w:t>
      </w:r>
    </w:p>
    <w:p w14:paraId="4CE1BA7C" w14:textId="009DF170" w:rsidR="00D924A7" w:rsidRDefault="00D924A7" w:rsidP="00D924A7">
      <w:pPr>
        <w:spacing w:before="0"/>
        <w:rPr>
          <w:lang w:val="ro-RO" w:eastAsia="en-GB"/>
        </w:rPr>
      </w:pPr>
      <w:r w:rsidRPr="00D924A7">
        <w:rPr>
          <w:lang w:val="ro-RO" w:eastAsia="en-GB"/>
        </w:rPr>
        <w:t>Cooperarea și coordonarea CNZC cu Comitetul Național pentru Amenajarea Spațiului Maritim este, în prezent, cvasi-inexistentă, în ciuda faptului că multe dintre organizațiile componente sunt reprezentate în ambele comitete. Având în vedere că apele teritoriale ale României reprezintă un spațiu comun ambelor instrumente, cooperarea și coordonarea dintre cele două este obligatorie, iar membrii desemnați în cele două comitete naționale să fie aceeași în condițiile în care se poate acest lucru, eliminând astfel posibile scurtcircuite ale proceselor de guvernanță și management.</w:t>
      </w:r>
    </w:p>
    <w:p w14:paraId="27D49B1D" w14:textId="3DD60E52" w:rsidR="00D924A7" w:rsidRDefault="005D2CE5" w:rsidP="005D2CE5">
      <w:pPr>
        <w:pStyle w:val="Heading3"/>
      </w:pPr>
      <w:bookmarkStart w:id="52" w:name="_Toc169625114"/>
      <w:r>
        <w:t xml:space="preserve">2.2.2 </w:t>
      </w:r>
      <w:r w:rsidR="00D924A7" w:rsidRPr="005D2CE5">
        <w:t>Cadrul</w:t>
      </w:r>
      <w:r w:rsidR="00D924A7" w:rsidRPr="00D924A7">
        <w:t xml:space="preserve"> legislativ actual și problemele identificate</w:t>
      </w:r>
      <w:bookmarkEnd w:id="52"/>
    </w:p>
    <w:p w14:paraId="0CEFA55D" w14:textId="77777777" w:rsidR="00D924A7" w:rsidRPr="00D924A7" w:rsidRDefault="00D924A7" w:rsidP="00D924A7">
      <w:pPr>
        <w:spacing w:before="0"/>
        <w:ind w:firstLine="567"/>
        <w:rPr>
          <w:lang w:val="ro-RO" w:eastAsia="en-GB"/>
        </w:rPr>
      </w:pPr>
      <w:r w:rsidRPr="00D924A7">
        <w:rPr>
          <w:lang w:val="ro-RO" w:eastAsia="en-GB"/>
        </w:rPr>
        <w:t>România a fost printre primele țări din bazinul Mării Negre care a creat cadrul legislativ în vederea implementării managementului integrat al zonei costiere. Prin adoptarea Ordonanţei de Urgenţă a Guvernului nr. 202/2002 privind gospodărirea integrată a zonei costiere, aprobată cu modificări prin Legea nr. 280/2003, România a recunoscut că managementul integrat al zonei costiere reprezintă un instrument valoros care a creat structuri şi un cadru legal pentru a promova implementarea acestuia în consens cu Recomandarea Parlamentului și a Consiliului European din 30.05.2002 privind implementarea MIZC în Europa (2002/413/EC).</w:t>
      </w:r>
    </w:p>
    <w:p w14:paraId="60A7A98A" w14:textId="77777777" w:rsidR="00D924A7" w:rsidRPr="00D924A7" w:rsidRDefault="00D924A7" w:rsidP="00D924A7">
      <w:pPr>
        <w:spacing w:before="0"/>
        <w:ind w:firstLine="567"/>
        <w:rPr>
          <w:lang w:val="ro-RO" w:eastAsia="en-GB"/>
        </w:rPr>
      </w:pPr>
      <w:r w:rsidRPr="00D924A7">
        <w:rPr>
          <w:lang w:val="ro-RO" w:eastAsia="en-GB"/>
        </w:rPr>
        <w:t>În baza OUG nr. 202/2002 privind gospodărirea zonei costiere, aprobată cu modificări prin Legea nr. 280/2003, a fost înființat, în 2004, Comitetul Naţional al Zonei Costiere (CNZC), în scopul asigurării gospodăririi integrate a zonei costiere. Organizarea și funcționarea acestui comitet este reglementată, în prezent, prin H.G nr. 1015 / 2004, modificată și completată prin H.G. nr 526 / 2020, publicată în M.O. nr. 623 din 15 iulie 2020.</w:t>
      </w:r>
    </w:p>
    <w:p w14:paraId="1B1FFB49" w14:textId="77777777" w:rsidR="00D924A7" w:rsidRPr="00D924A7" w:rsidRDefault="00D924A7" w:rsidP="00D924A7">
      <w:pPr>
        <w:ind w:firstLine="567"/>
        <w:rPr>
          <w:lang w:val="ro-RO" w:eastAsia="en-GB"/>
        </w:rPr>
      </w:pPr>
      <w:r w:rsidRPr="00D924A7">
        <w:rPr>
          <w:lang w:val="ro-RO" w:eastAsia="en-GB"/>
        </w:rPr>
        <w:t>Pe lângă actele normative menționate mai sus, referitoare la cadrul instituțional, în 2004 au fost aprobate două hotărâri ale guvernului esențiale în procesul de management al zonei costiere, respectiv i) H.G. nr. 546 din 7 aprilie 2004 (publicată în M.O nr. 393 din 20 mai 2004), prin care aprobă Metodologia pentru delimitarea domeniului public al statului în zona costieră și ii) H.G. nr. 749 din 14 Mai 2004 (publicată în M.O. nr. 455 din 24 Mai 2004), care stabilește responsabilitățile, criteriile și metoda de delimitare a fâșiei de teren aflată în apropierea zonei costiere în scopul conservării valorilor mediului, patrimoniale și peisagistice în apropiere de țărm.</w:t>
      </w:r>
    </w:p>
    <w:p w14:paraId="34F7E56E" w14:textId="68DCCA6E" w:rsidR="00D924A7" w:rsidRPr="00D924A7" w:rsidRDefault="00D924A7" w:rsidP="00D924A7">
      <w:pPr>
        <w:ind w:firstLine="567"/>
        <w:rPr>
          <w:lang w:val="ro-RO" w:eastAsia="en-GB"/>
        </w:rPr>
      </w:pPr>
      <w:r w:rsidRPr="00D924A7">
        <w:rPr>
          <w:lang w:val="ro-RO" w:eastAsia="en-GB"/>
        </w:rPr>
        <w:t xml:space="preserve">Complementar actelor normative mai sus menționate, cadrul legislativ cuprinde numeroase alte acte normative </w:t>
      </w:r>
      <w:r>
        <w:rPr>
          <w:lang w:val="ro-RO" w:eastAsia="en-GB"/>
        </w:rPr>
        <w:t>sectoriale prezentate în Anexa 3</w:t>
      </w:r>
      <w:r w:rsidRPr="00D924A7">
        <w:rPr>
          <w:lang w:val="ro-RO" w:eastAsia="en-GB"/>
        </w:rPr>
        <w:t xml:space="preserve">. </w:t>
      </w:r>
    </w:p>
    <w:p w14:paraId="2529727F" w14:textId="77777777" w:rsidR="00D924A7" w:rsidRPr="00D924A7" w:rsidRDefault="00D924A7" w:rsidP="00D924A7">
      <w:pPr>
        <w:ind w:firstLine="567"/>
        <w:rPr>
          <w:lang w:val="ro-RO" w:eastAsia="en-GB"/>
        </w:rPr>
      </w:pPr>
      <w:r w:rsidRPr="00D924A7">
        <w:rPr>
          <w:lang w:val="ro-RO" w:eastAsia="en-GB"/>
        </w:rPr>
        <w:t>Analizând cadrul juridic actual pentru managementul integrat al zonei costiere se remarcă următoarele aspecte:</w:t>
      </w:r>
    </w:p>
    <w:p w14:paraId="421A3B31" w14:textId="392D7B1F" w:rsidR="00D924A7" w:rsidRPr="00D924A7" w:rsidRDefault="00D924A7" w:rsidP="00D924A7">
      <w:pPr>
        <w:ind w:left="567" w:firstLine="0"/>
        <w:rPr>
          <w:lang w:val="ro-RO" w:eastAsia="en-GB"/>
        </w:rPr>
      </w:pPr>
      <w:r w:rsidRPr="00D924A7">
        <w:rPr>
          <w:lang w:val="ro-RO" w:eastAsia="en-GB"/>
        </w:rPr>
        <w:t>●</w:t>
      </w:r>
      <w:r w:rsidRPr="00D924A7">
        <w:rPr>
          <w:lang w:val="ro-RO" w:eastAsia="en-GB"/>
        </w:rPr>
        <w:tab/>
      </w:r>
      <w:r>
        <w:rPr>
          <w:lang w:val="ro-RO" w:eastAsia="en-GB"/>
        </w:rPr>
        <w:t xml:space="preserve"> </w:t>
      </w:r>
      <w:r w:rsidRPr="00D924A7">
        <w:rPr>
          <w:lang w:val="ro-RO" w:eastAsia="en-GB"/>
        </w:rPr>
        <w:t xml:space="preserve">Actualul cadru legislativ are un domeniu de aplicare prea larg. </w:t>
      </w:r>
    </w:p>
    <w:p w14:paraId="035DA477" w14:textId="77777777" w:rsidR="00D924A7" w:rsidRPr="00D924A7" w:rsidRDefault="00D924A7" w:rsidP="00D924A7">
      <w:pPr>
        <w:ind w:left="567" w:firstLine="0"/>
        <w:rPr>
          <w:lang w:val="ro-RO" w:eastAsia="en-GB"/>
        </w:rPr>
      </w:pPr>
      <w:r w:rsidRPr="00D924A7">
        <w:rPr>
          <w:lang w:val="ro-RO" w:eastAsia="en-GB"/>
        </w:rPr>
        <w:t xml:space="preserve">OUG 202 / 2002, aprobată cu modificările și amendamentele ulterioare prin Legea nr. 280/2003, este un act legislativ care încearcă să reglementeze prea mult. Deoarece MIZC se referă la gestionarea zonei costiere și implică probleme multiple, rezultate multiple </w:t>
      </w:r>
      <w:r w:rsidRPr="00D924A7">
        <w:rPr>
          <w:lang w:val="ro-RO" w:eastAsia="en-GB"/>
        </w:rPr>
        <w:lastRenderedPageBreak/>
        <w:t xml:space="preserve">dorite și instituții multiple, cu mandate diferite, ar trebui să fie mai degrabă un act legislativ care "facilitează" alte acte legislative și reglementări existente să fie aplicate și să fie respectate, în loc să încerce să se reglementeze prin aplicare independentă. Prin urmare, OUG 202 / 2002 ar trebui să devină o "lege-cadru". Există totuși o excepție, și anume, OUG 202 / 2002 ar trebui să conțină o secțiune cu reglementări foarte specifice și destul de stricte pentru zona costieră. În ciuda existenței legislației și a reglementărilor privind permisele și procedurile specifice de utilizare a terenurilor și de construcție, zona costieră are nevoie de un "regim legislativ" special din perspectiva gestionării; </w:t>
      </w:r>
    </w:p>
    <w:p w14:paraId="3A7B1EA8" w14:textId="20D91C6B" w:rsidR="00D924A7" w:rsidRPr="00D924A7" w:rsidRDefault="00D924A7" w:rsidP="00D924A7">
      <w:pPr>
        <w:ind w:left="567" w:firstLine="0"/>
        <w:rPr>
          <w:lang w:val="ro-RO" w:eastAsia="en-GB"/>
        </w:rPr>
      </w:pPr>
      <w:r w:rsidRPr="00D924A7">
        <w:rPr>
          <w:lang w:val="ro-RO" w:eastAsia="en-GB"/>
        </w:rPr>
        <w:t>●</w:t>
      </w:r>
      <w:r w:rsidRPr="00D924A7">
        <w:rPr>
          <w:lang w:val="ro-RO" w:eastAsia="en-GB"/>
        </w:rPr>
        <w:tab/>
      </w:r>
      <w:r>
        <w:rPr>
          <w:lang w:val="ro-RO" w:eastAsia="en-GB"/>
        </w:rPr>
        <w:t xml:space="preserve"> </w:t>
      </w:r>
      <w:r w:rsidRPr="00D924A7">
        <w:rPr>
          <w:lang w:val="ro-RO" w:eastAsia="en-GB"/>
        </w:rPr>
        <w:t xml:space="preserve">Actualul cadru legislativ este destul de dificil de aplicat. </w:t>
      </w:r>
    </w:p>
    <w:p w14:paraId="2053DA11" w14:textId="77777777" w:rsidR="00D924A7" w:rsidRPr="00D924A7" w:rsidRDefault="00D924A7" w:rsidP="00D924A7">
      <w:pPr>
        <w:ind w:left="567" w:firstLine="0"/>
        <w:rPr>
          <w:lang w:val="ro-RO" w:eastAsia="en-GB"/>
        </w:rPr>
      </w:pPr>
      <w:r w:rsidRPr="00D924A7">
        <w:rPr>
          <w:lang w:val="ro-RO" w:eastAsia="en-GB"/>
        </w:rPr>
        <w:t xml:space="preserve">Punerea practică în aplicare a OUG 202 / 2002, aprobată cu modificările și amendamentele ulterioare prin Legea nr. 280/2003, este destul de dificilă, deoarece proclamă că se bazează pe o serie de principii (de exemplu, principiul dezvoltării durabile, principiul precauției, principiul "poluatorul plătește" etc.), dar mecanismele de aplicare a acestor principii sunt destul de greoaie. Astfel, în cazul principiului "poluatorul plătește", dificultăți practice apar deseori, încă din faza de identificarea a poluatorilor; </w:t>
      </w:r>
    </w:p>
    <w:p w14:paraId="4BE17925" w14:textId="44240BA3" w:rsidR="00D924A7" w:rsidRPr="00D924A7" w:rsidRDefault="00D924A7" w:rsidP="00D924A7">
      <w:pPr>
        <w:ind w:left="567" w:firstLine="0"/>
        <w:rPr>
          <w:lang w:val="ro-RO" w:eastAsia="en-GB"/>
        </w:rPr>
      </w:pPr>
      <w:r w:rsidRPr="00D924A7">
        <w:rPr>
          <w:lang w:val="ro-RO" w:eastAsia="en-GB"/>
        </w:rPr>
        <w:t>●</w:t>
      </w:r>
      <w:r w:rsidRPr="00D924A7">
        <w:rPr>
          <w:lang w:val="ro-RO" w:eastAsia="en-GB"/>
        </w:rPr>
        <w:tab/>
      </w:r>
      <w:r>
        <w:rPr>
          <w:lang w:val="ro-RO" w:eastAsia="en-GB"/>
        </w:rPr>
        <w:t xml:space="preserve"> </w:t>
      </w:r>
      <w:r w:rsidRPr="00D924A7">
        <w:rPr>
          <w:lang w:val="ro-RO" w:eastAsia="en-GB"/>
        </w:rPr>
        <w:t xml:space="preserve">Actualul cadru legislativ nu este întrutotul coerent. </w:t>
      </w:r>
    </w:p>
    <w:p w14:paraId="23F15869" w14:textId="77777777" w:rsidR="00D924A7" w:rsidRPr="00D924A7" w:rsidRDefault="00D924A7" w:rsidP="00D924A7">
      <w:pPr>
        <w:ind w:left="567" w:firstLine="0"/>
        <w:rPr>
          <w:lang w:val="ro-RO" w:eastAsia="en-GB"/>
        </w:rPr>
      </w:pPr>
      <w:r w:rsidRPr="00D924A7">
        <w:rPr>
          <w:lang w:val="ro-RO" w:eastAsia="en-GB"/>
        </w:rPr>
        <w:t xml:space="preserve">OUG 202 / 2002 prezintă câteva exemple de incoerență: i) deși în OUG se aderă la principiul "poluatorul plătește", nu este specificat modalitatea de aplicare a acestui principiu; ii) OUG atribuie sarcini, responsabilități și competențe specifice unor organisme specifice care sunt incompatibile cu alte acte legislative/reglementări existente; </w:t>
      </w:r>
    </w:p>
    <w:p w14:paraId="7CD9710F" w14:textId="53838241" w:rsidR="00D924A7" w:rsidRPr="00D924A7" w:rsidRDefault="00D924A7" w:rsidP="00D924A7">
      <w:pPr>
        <w:ind w:left="567" w:firstLine="0"/>
        <w:rPr>
          <w:lang w:val="ro-RO" w:eastAsia="en-GB"/>
        </w:rPr>
      </w:pPr>
      <w:r w:rsidRPr="00D924A7">
        <w:rPr>
          <w:lang w:val="ro-RO" w:eastAsia="en-GB"/>
        </w:rPr>
        <w:t>●</w:t>
      </w:r>
      <w:r>
        <w:rPr>
          <w:lang w:val="ro-RO" w:eastAsia="en-GB"/>
        </w:rPr>
        <w:t xml:space="preserve"> </w:t>
      </w:r>
      <w:r w:rsidRPr="00D924A7">
        <w:rPr>
          <w:lang w:val="ro-RO" w:eastAsia="en-GB"/>
        </w:rPr>
        <w:t>Actualul cadru legislativ nu este pe deplin corelat cu legislația și definițiile specifice domeniilor conexe.</w:t>
      </w:r>
    </w:p>
    <w:p w14:paraId="3CD34024" w14:textId="77777777" w:rsidR="00D924A7" w:rsidRPr="00D924A7" w:rsidRDefault="00D924A7" w:rsidP="00D924A7">
      <w:pPr>
        <w:ind w:left="567" w:firstLine="0"/>
        <w:rPr>
          <w:lang w:val="ro-RO" w:eastAsia="en-GB"/>
        </w:rPr>
      </w:pPr>
      <w:r w:rsidRPr="00D924A7">
        <w:rPr>
          <w:lang w:val="ro-RO" w:eastAsia="en-GB"/>
        </w:rPr>
        <w:t>Astfel, în domeniul patrimoniului cultural, spre exemplu, art. 60, alin. (3) al OUG 202/2002, referitor la interzicerea amplasării oricăror construcţii pe diverse terenuri printre care ”a altor habitate naturale în apropierea monumentelor culturale”, prezintă o formulare vagă, nefiind clară noțiunea de apropiere și ignorând definiția zonei de protecție a monumentului istoric și reglementarea intervențiilor în aceasta prevăzute în Legea 422/2001. De asemenea, art. 64 al aceleași OUG, care impune ca prin grija autorităţii centrale pentru protecţia mediului şi gospodărirea apelor să se elaboreze un inventar la nivel naţional cuprinzând informaţii privind patrimoniul cultural şi arheologic, ignoră existența Listei monumentelor istorice publicată în M.O conform prevederilor Legii 422/2001, precum și platforma on-line a Repertoriului Arheologic Național, instituit conform O.G 43/2000;</w:t>
      </w:r>
    </w:p>
    <w:p w14:paraId="0F5069F1" w14:textId="7728DCD7" w:rsidR="00D924A7" w:rsidRPr="00D924A7" w:rsidRDefault="00D924A7" w:rsidP="00D924A7">
      <w:pPr>
        <w:pStyle w:val="ListParagraph"/>
        <w:numPr>
          <w:ilvl w:val="0"/>
          <w:numId w:val="17"/>
        </w:numPr>
        <w:ind w:left="567" w:firstLine="0"/>
        <w:rPr>
          <w:lang w:val="ro-RO" w:eastAsia="en-GB"/>
        </w:rPr>
      </w:pPr>
      <w:r w:rsidRPr="00D924A7">
        <w:rPr>
          <w:lang w:val="ro-RO" w:eastAsia="en-GB"/>
        </w:rPr>
        <w:t>Actualul cadru legislativ, referitor la delimitări, nu este actualizat în conformitate cu lucrările de protecție și amenajare costieră recente sau în curs de desfășurare.</w:t>
      </w:r>
    </w:p>
    <w:p w14:paraId="1AFCF342" w14:textId="77777777" w:rsidR="00D924A7" w:rsidRPr="00D924A7" w:rsidRDefault="00D924A7" w:rsidP="00D924A7">
      <w:pPr>
        <w:ind w:firstLine="567"/>
        <w:rPr>
          <w:lang w:val="ro-RO" w:eastAsia="en-GB"/>
        </w:rPr>
      </w:pPr>
      <w:r w:rsidRPr="00D924A7">
        <w:rPr>
          <w:lang w:val="ro-RO" w:eastAsia="en-GB"/>
        </w:rPr>
        <w:t>OUG 202/2002 prevede la articolul 9, alin. 5 următoarele: Dacă configuraţia proprietăţii publice în zona costiera se va modifica ulterior, indiferent din ce cauza, noile delimitari vor fi stabilite conform prevederilor alin. (1)-(3). Conform alin. 1 al acestui articol, noua delimitare trebuie realizată pe baza metodologiei descrisă în HG 546 / 2004. În art. 15 al HG. 546 / 2004 se precizează la pct. c) delimitarea pe toată lungimea litoralului a unei fâşii de teren late de 50-</w:t>
      </w:r>
      <w:r w:rsidRPr="00D924A7">
        <w:rPr>
          <w:lang w:val="ro-RO" w:eastAsia="en-GB"/>
        </w:rPr>
        <w:lastRenderedPageBreak/>
        <w:t xml:space="preserve">150 m, măsurată de la linia cea mai înaintată a mării, în funcţie de lăţimea zonei costiere, în care sunt interzise orice fel de construcţii definitive. În condițiile în care care prin recente lucrări de protecție și amenajare costieră din sudul litoralului, lungimea plajei a crescut până la 300 - 400 m, fâșia de teren lată de 50 - 150 m poate acoperi jumătate din lărgirea plajei, ceea ce ar însemna, potrivit legislației actuale, că sunt permise construcții definitive la jumătatea plajei. </w:t>
      </w:r>
    </w:p>
    <w:p w14:paraId="750CE0FF" w14:textId="77777777" w:rsidR="00D924A7" w:rsidRPr="00D924A7" w:rsidRDefault="00D924A7" w:rsidP="00D924A7">
      <w:pPr>
        <w:ind w:firstLine="567"/>
        <w:rPr>
          <w:lang w:val="ro-RO" w:eastAsia="en-GB"/>
        </w:rPr>
      </w:pPr>
      <w:r w:rsidRPr="00D924A7">
        <w:rPr>
          <w:lang w:val="ro-RO" w:eastAsia="en-GB"/>
        </w:rPr>
        <w:t xml:space="preserve">Tot referitor la cadrul legislativ, trebuie menționate problemele legate de neclaritățile și ambiguitățile în definirea unor termeni de delimitare, precum domeniul public al statului din zona costieră și neconcordanțele între termenii folosiți de MDLPA și MMAP în diverse reglementări privind delimitarea și managementul zonei costiere. </w:t>
      </w:r>
    </w:p>
    <w:p w14:paraId="668D50B9" w14:textId="0A20956B" w:rsidR="00D924A7" w:rsidRDefault="00D924A7" w:rsidP="00D924A7">
      <w:pPr>
        <w:ind w:firstLine="567"/>
        <w:rPr>
          <w:lang w:val="ro-RO" w:eastAsia="en-GB"/>
        </w:rPr>
      </w:pPr>
      <w:r w:rsidRPr="00D924A7">
        <w:rPr>
          <w:lang w:val="ro-RO" w:eastAsia="en-GB"/>
        </w:rPr>
        <w:t>În plus, se constată aplicarea necorespunzătoare a legislației în domeniu, care cuprinde două aspecte principale, respectiv i) nerespectarea obligațiilor UAT-urilor (stipulată în legislația actuală, OUG 202/2002) de delimitare a zonei costiere, ceea ce poate genera confuzie și incertitudine cu privire la limitele și statutul juridic al zonei costiere, precum și ii) ilegalități asupra domeniului public al statului.</w:t>
      </w:r>
    </w:p>
    <w:p w14:paraId="16BF7A82" w14:textId="77777777" w:rsidR="00D924A7" w:rsidRDefault="00D924A7" w:rsidP="00D924A7">
      <w:pPr>
        <w:ind w:firstLine="567"/>
        <w:rPr>
          <w:lang w:val="ro-RO" w:eastAsia="en-GB"/>
        </w:rPr>
      </w:pPr>
    </w:p>
    <w:p w14:paraId="4ACB887F" w14:textId="4E556A26" w:rsidR="00D924A7" w:rsidRDefault="005D2CE5" w:rsidP="005D2CE5">
      <w:pPr>
        <w:pStyle w:val="Heading2"/>
      </w:pPr>
      <w:bookmarkStart w:id="53" w:name="_Toc169625115"/>
      <w:r>
        <w:t xml:space="preserve">2.3 </w:t>
      </w:r>
      <w:r w:rsidR="00D924A7" w:rsidRPr="00D924A7">
        <w:t>Delimitarea zonei costiere</w:t>
      </w:r>
      <w:bookmarkEnd w:id="53"/>
    </w:p>
    <w:p w14:paraId="56AED614" w14:textId="77777777" w:rsidR="005D2CE5" w:rsidRDefault="005D2CE5" w:rsidP="005D2CE5">
      <w:pPr>
        <w:rPr>
          <w:rFonts w:eastAsia="Times New Roman" w:cs="Times New Roman"/>
        </w:rPr>
      </w:pPr>
      <w:r>
        <w:rPr>
          <w:rFonts w:eastAsia="Times New Roman" w:cs="Times New Roman"/>
        </w:rPr>
        <w:t xml:space="preserve">În Anexa 1 a OUG 202/2002, aprobată cu modificările și completările ulterioare prin Legea nr. 280/2003, zona costieră este definită ca fiind “spațiul geografic situat la contactul mării cu uscatul, incluzând apele de coastă de suprafață și subterane și terenurile adiacente, inclusiv apele de suprafață și subterane aferente acestora, puternic intercondiționate și în imediata apropiere a liniei țărmului, insule și lacuri sărate, zone umede în contact cu marea, plaja și faleza”. </w:t>
      </w:r>
    </w:p>
    <w:p w14:paraId="0C57AC50" w14:textId="77777777" w:rsidR="005D2CE5" w:rsidRDefault="005D2CE5" w:rsidP="005D2CE5">
      <w:pPr>
        <w:rPr>
          <w:rFonts w:eastAsia="Times New Roman" w:cs="Times New Roman"/>
        </w:rPr>
      </w:pPr>
      <w:r>
        <w:rPr>
          <w:rFonts w:eastAsia="Times New Roman" w:cs="Times New Roman"/>
        </w:rPr>
        <w:t xml:space="preserve">Aceeași ordonanță de urgență abordează în textul său și modul de delimitare al zonei costiere. Astfel în articolul 9, alineatul 6, se precizează că “în scopul delimitării zonei costiere şi stabilirii măsurilor pentru protecţia mediului zonei costiere, autoritatea publică centrală pentru protecţia mediului şi gospodărirea apelor şi autoritatea publică centrală pentru agricultură, alimentaţie şi păduri, cu consultarea autorităţilor administraţiei publice locale şi a Statului Major al Forţelor Navale, vor clasifica zona costieră în zone funcționale, pe baza unor criterii omogene de utilizare şi de gestiune a spaţiului”. Zonele funcționale, pe baza cărora este clasificată zona costieră, sunt definite în art. 10 al HG 546 / 2004, dar lista acestor zone funcționale nu a fost actualizată până în prezent (prin acte normative), </w:t>
      </w:r>
      <w:sdt>
        <w:sdtPr>
          <w:tag w:val="goog_rdk_5"/>
          <w:id w:val="1998992721"/>
        </w:sdtPr>
        <w:sdtContent/>
      </w:sdt>
      <w:r>
        <w:rPr>
          <w:rFonts w:eastAsia="Times New Roman" w:cs="Times New Roman"/>
        </w:rPr>
        <w:t xml:space="preserve">deși evoluția situației zonei costiere în ultimele două decenii, din punct de vedere socio-economic și al protecției mediului, o impunea cu prisosință. </w:t>
      </w:r>
    </w:p>
    <w:p w14:paraId="1A7A33E2" w14:textId="77777777" w:rsidR="005D2CE5" w:rsidRDefault="005D2CE5" w:rsidP="005D2CE5">
      <w:pPr>
        <w:rPr>
          <w:rFonts w:eastAsia="Times New Roman" w:cs="Times New Roman"/>
        </w:rPr>
      </w:pPr>
      <w:r>
        <w:rPr>
          <w:rFonts w:eastAsia="Times New Roman" w:cs="Times New Roman"/>
        </w:rPr>
        <w:t xml:space="preserve">Același articol din OUG 202/2002, aprobată cu modificările și completările ulterioare prin Legea nr. 280/2003, la alineatul 7, stipulează faptul că “delimitarea zonei costiere se va realiza potrivit planurilor de amenajare a teritoriului şi de urbanism, prin grija autorităţilor publice locale”. Analiza situației actuale a documentațiilor Plan Urbanistic General arată că în acest moment în niciunul dintre PUG-urile aflate în termenul de valabilitate, nu este realizată </w:t>
      </w:r>
      <w:r>
        <w:rPr>
          <w:rFonts w:eastAsia="Times New Roman" w:cs="Times New Roman"/>
        </w:rPr>
        <w:lastRenderedPageBreak/>
        <w:t>delimitarea zonei costiere aferentă UAT-urilor cu deschidere la mare, conform cerințelor legale (OUG 202/2002 aprobată cu modificările și completările ulterioare prin Legea nr. 280/2003).</w:t>
      </w:r>
    </w:p>
    <w:p w14:paraId="5D252F21" w14:textId="77777777" w:rsidR="005D2CE5" w:rsidRDefault="005D2CE5" w:rsidP="005D2CE5">
      <w:pPr>
        <w:ind w:firstLine="540"/>
        <w:rPr>
          <w:rFonts w:eastAsia="Times New Roman" w:cs="Times New Roman"/>
        </w:rPr>
      </w:pPr>
      <w:r>
        <w:rPr>
          <w:rFonts w:eastAsia="Times New Roman" w:cs="Times New Roman"/>
        </w:rPr>
        <w:t xml:space="preserve">Astfel, în contextul sus menționat, apare necesitatea de a revizui definirea / delimitarea zonei costiere românești și, ulterior, de a o transpune în legislație.  </w:t>
      </w:r>
    </w:p>
    <w:p w14:paraId="768DF082" w14:textId="77777777" w:rsidR="005D2CE5" w:rsidRDefault="005D2CE5" w:rsidP="005D2CE5">
      <w:pPr>
        <w:ind w:firstLine="540"/>
        <w:rPr>
          <w:rFonts w:eastAsia="Times New Roman" w:cs="Times New Roman"/>
        </w:rPr>
      </w:pPr>
      <w:r>
        <w:rPr>
          <w:rFonts w:eastAsia="Times New Roman" w:cs="Times New Roman"/>
        </w:rPr>
        <w:t>În cadrul prezentului Plan de Management integrat al zonei costiere, delimitarea acesteia s-a realizat pornind de la recomandările Comisiei Mării Negre, respectiv documentul  “Guideline on Integrated Coastal Zone Management in the Black Sea”, a cărui elaborare a avut la bază Protocolul ICZM de la Marea Mediterană. Conform acestui document, li se recomandă statelor riverane Mării Negre a-și stabili limitele geografice ale zonei costiere astfel:</w:t>
      </w:r>
    </w:p>
    <w:p w14:paraId="3E509E2B" w14:textId="77777777" w:rsidR="005D2CE5" w:rsidRDefault="005D2CE5" w:rsidP="005D2CE5">
      <w:pPr>
        <w:numPr>
          <w:ilvl w:val="0"/>
          <w:numId w:val="19"/>
        </w:numPr>
        <w:spacing w:before="0" w:after="0"/>
        <w:rPr>
          <w:rFonts w:eastAsia="Times New Roman" w:cs="Times New Roman"/>
        </w:rPr>
      </w:pPr>
      <w:r>
        <w:rPr>
          <w:rFonts w:eastAsia="Times New Roman" w:cs="Times New Roman"/>
        </w:rPr>
        <w:t>limita dinspre mare - limita exterioară a apelor naționale teritoriale;</w:t>
      </w:r>
    </w:p>
    <w:p w14:paraId="35D0A3AD" w14:textId="77777777" w:rsidR="005D2CE5" w:rsidRDefault="005D2CE5" w:rsidP="005D2CE5">
      <w:pPr>
        <w:numPr>
          <w:ilvl w:val="0"/>
          <w:numId w:val="19"/>
        </w:numPr>
        <w:spacing w:before="0"/>
        <w:rPr>
          <w:rFonts w:eastAsia="Times New Roman" w:cs="Times New Roman"/>
        </w:rPr>
      </w:pPr>
      <w:r>
        <w:rPr>
          <w:rFonts w:eastAsia="Times New Roman" w:cs="Times New Roman"/>
        </w:rPr>
        <w:t>limita dinspre uscat - limita unităților de coastă competente, așa cum sunt definite la nivel naționale de fiecare țară riverană Mării Negre.</w:t>
      </w:r>
    </w:p>
    <w:p w14:paraId="2023E556" w14:textId="77777777" w:rsidR="005D2CE5" w:rsidRDefault="005D2CE5" w:rsidP="005D2CE5">
      <w:pPr>
        <w:ind w:firstLine="540"/>
        <w:rPr>
          <w:rFonts w:eastAsia="Times New Roman" w:cs="Times New Roman"/>
        </w:rPr>
      </w:pPr>
      <w:r>
        <w:rPr>
          <w:rFonts w:eastAsia="Times New Roman" w:cs="Times New Roman"/>
        </w:rPr>
        <w:t>În cazul delimitării zonei costiere românești, limita dinspre mare este considerată limita a 12 mile marine de la linia de bază, respectiv apele teritoriale ale României, în timp ce stabilirea limitei dinspre uscat s-a realizat pe baza a trei criterii, respectiv:</w:t>
      </w:r>
    </w:p>
    <w:p w14:paraId="1C21E4A5" w14:textId="77777777" w:rsidR="005D2CE5" w:rsidRDefault="005D2CE5" w:rsidP="005D2CE5">
      <w:pPr>
        <w:numPr>
          <w:ilvl w:val="0"/>
          <w:numId w:val="18"/>
        </w:numPr>
        <w:pBdr>
          <w:top w:val="nil"/>
          <w:left w:val="nil"/>
          <w:bottom w:val="nil"/>
          <w:right w:val="nil"/>
          <w:between w:val="nil"/>
        </w:pBdr>
        <w:spacing w:before="0" w:after="0"/>
        <w:rPr>
          <w:rFonts w:eastAsia="Times New Roman" w:cs="Times New Roman"/>
          <w:color w:val="000000"/>
        </w:rPr>
      </w:pPr>
      <w:r>
        <w:rPr>
          <w:rFonts w:eastAsia="Times New Roman" w:cs="Times New Roman"/>
          <w:color w:val="000000"/>
        </w:rPr>
        <w:t>criteriul proximității;</w:t>
      </w:r>
    </w:p>
    <w:p w14:paraId="5B4D3D98" w14:textId="77777777" w:rsidR="005D2CE5" w:rsidRDefault="005D2CE5" w:rsidP="005D2CE5">
      <w:pPr>
        <w:numPr>
          <w:ilvl w:val="0"/>
          <w:numId w:val="18"/>
        </w:numPr>
        <w:pBdr>
          <w:top w:val="nil"/>
          <w:left w:val="nil"/>
          <w:bottom w:val="nil"/>
          <w:right w:val="nil"/>
          <w:between w:val="nil"/>
        </w:pBdr>
        <w:spacing w:before="0" w:after="0"/>
        <w:rPr>
          <w:rFonts w:eastAsia="Times New Roman" w:cs="Times New Roman"/>
          <w:color w:val="000000"/>
        </w:rPr>
      </w:pPr>
      <w:r>
        <w:rPr>
          <w:rFonts w:eastAsia="Times New Roman" w:cs="Times New Roman"/>
          <w:color w:val="000000"/>
        </w:rPr>
        <w:t>criteriul legăturilor funcționale;</w:t>
      </w:r>
    </w:p>
    <w:p w14:paraId="3D40DE24" w14:textId="77777777" w:rsidR="005D2CE5" w:rsidRDefault="005D2CE5" w:rsidP="005D2CE5">
      <w:pPr>
        <w:numPr>
          <w:ilvl w:val="0"/>
          <w:numId w:val="18"/>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 xml:space="preserve">criteriul administrativ-teritorial. </w:t>
      </w:r>
    </w:p>
    <w:p w14:paraId="7C96D075" w14:textId="77777777" w:rsidR="005D2CE5" w:rsidRDefault="005D2CE5" w:rsidP="005D2CE5">
      <w:pPr>
        <w:ind w:firstLine="540"/>
        <w:rPr>
          <w:rFonts w:eastAsia="Times New Roman" w:cs="Times New Roman"/>
        </w:rPr>
      </w:pPr>
      <w:r>
        <w:rPr>
          <w:rFonts w:eastAsia="Times New Roman" w:cs="Times New Roman"/>
        </w:rPr>
        <w:t xml:space="preserve"> Aplicate la contextul zonei costiere românești:</w:t>
      </w:r>
    </w:p>
    <w:p w14:paraId="40C82059" w14:textId="77777777" w:rsidR="005D2CE5" w:rsidRDefault="005D2CE5" w:rsidP="005D2CE5">
      <w:pPr>
        <w:ind w:firstLine="540"/>
        <w:rPr>
          <w:rFonts w:eastAsia="Times New Roman" w:cs="Times New Roman"/>
        </w:rPr>
      </w:pPr>
      <w:r>
        <w:rPr>
          <w:rFonts w:eastAsia="Times New Roman" w:cs="Times New Roman"/>
        </w:rPr>
        <w:t>- teritoriul trebuie</w:t>
      </w:r>
      <w:sdt>
        <w:sdtPr>
          <w:tag w:val="goog_rdk_6"/>
          <w:id w:val="511415243"/>
        </w:sdtPr>
        <w:sdtContent/>
      </w:sdt>
      <w:sdt>
        <w:sdtPr>
          <w:tag w:val="goog_rdk_7"/>
          <w:id w:val="595062217"/>
        </w:sdtPr>
        <w:sdtContent/>
      </w:sdt>
      <w:r>
        <w:rPr>
          <w:rFonts w:eastAsia="Times New Roman" w:cs="Times New Roman"/>
        </w:rPr>
        <w:t xml:space="preserve"> </w:t>
      </w:r>
      <w:sdt>
        <w:sdtPr>
          <w:tag w:val="goog_rdk_9"/>
          <w:id w:val="-1264225302"/>
        </w:sdtPr>
        <w:sdtContent/>
      </w:sdt>
      <w:r>
        <w:rPr>
          <w:rFonts w:eastAsia="Times New Roman" w:cs="Times New Roman"/>
        </w:rPr>
        <w:t>să aibă deschidere la Marea Neagră;</w:t>
      </w:r>
    </w:p>
    <w:p w14:paraId="588DDC4F" w14:textId="77777777" w:rsidR="005D2CE5" w:rsidRDefault="005D2CE5" w:rsidP="005D2CE5">
      <w:pPr>
        <w:ind w:firstLine="540"/>
        <w:rPr>
          <w:rFonts w:eastAsia="Times New Roman" w:cs="Times New Roman"/>
        </w:rPr>
      </w:pPr>
      <w:r>
        <w:rPr>
          <w:rFonts w:eastAsia="Times New Roman" w:cs="Times New Roman"/>
        </w:rPr>
        <w:t xml:space="preserve">- între teritoriile incluse în zona </w:t>
      </w:r>
      <w:sdt>
        <w:sdtPr>
          <w:tag w:val="goog_rdk_11"/>
          <w:id w:val="-359052838"/>
        </w:sdtPr>
        <w:sdtContent/>
      </w:sdt>
      <w:r>
        <w:rPr>
          <w:rFonts w:eastAsia="Times New Roman" w:cs="Times New Roman"/>
        </w:rPr>
        <w:t xml:space="preserve">costieră trebuie să existe „legături funcționale” relevante; </w:t>
      </w:r>
      <w:sdt>
        <w:sdtPr>
          <w:tag w:val="goog_rdk_14"/>
          <w:id w:val="-310017595"/>
          <w:showingPlcHdr/>
        </w:sdtPr>
        <w:sdtContent>
          <w:r>
            <w:t xml:space="preserve">     </w:t>
          </w:r>
        </w:sdtContent>
      </w:sdt>
    </w:p>
    <w:p w14:paraId="5549A4B4" w14:textId="77777777" w:rsidR="005D2CE5" w:rsidRDefault="005D2CE5" w:rsidP="005D2CE5">
      <w:pPr>
        <w:ind w:firstLine="540"/>
        <w:rPr>
          <w:rFonts w:eastAsia="Times New Roman" w:cs="Times New Roman"/>
        </w:rPr>
      </w:pPr>
      <w:r>
        <w:rPr>
          <w:rFonts w:eastAsia="Times New Roman" w:cs="Times New Roman"/>
        </w:rPr>
        <w:t>- criteriul administrativ – teritorial, are în vedere organizarea administrativ – teritorială a României. Conform cadrului instituțional al României, teritoriul este organizat în unități administrativ teritoriale (UAT), având atribuții și responsabilități partajate, printre acestea aflându-se: inițierea și aprobarea documentațiilor de amenajarea teritoriului și urbanism în conformitate cu Legea 350/2001, cu completările și modificările ulterioare, privind amenajarea teritoriului și urbanismul, inclusiv delimitarea în PUG-uri a limitelor zonei costiere conform OUG 202/2002, aprobată cu modificări prin Legea nr. 280/2003; emiterea autorizațiilor de construire conform Legii 50/1991 (cu completările și modificările ulterioare) privind autorizarea lucrărilor de construire (cu excepțiile prevăzute de lege); și controlul disciplinei în construcții conform Legii 50/1991 (cu completările și modificările ulterioare).</w:t>
      </w:r>
    </w:p>
    <w:p w14:paraId="05407DB6" w14:textId="77777777" w:rsidR="005D2CE5" w:rsidRDefault="005D2CE5" w:rsidP="005D2CE5">
      <w:pPr>
        <w:ind w:firstLine="540"/>
        <w:rPr>
          <w:rFonts w:eastAsia="Times New Roman" w:cs="Times New Roman"/>
        </w:rPr>
      </w:pPr>
      <w:r>
        <w:rPr>
          <w:rFonts w:eastAsia="Times New Roman" w:cs="Times New Roman"/>
        </w:rPr>
        <w:t xml:space="preserve">Aplicând coroborat cele trei criterii, stabilirea limitei geografice dinspre uscat a zonei costiere poate fi făcută la nivelul primului rând de UAT-uri de la țărmul Mării Negre. </w:t>
      </w:r>
    </w:p>
    <w:p w14:paraId="16236D50" w14:textId="77777777" w:rsidR="005D2CE5" w:rsidRDefault="005D2CE5" w:rsidP="005D2CE5">
      <w:pPr>
        <w:ind w:firstLine="540"/>
        <w:rPr>
          <w:rFonts w:eastAsia="Times New Roman" w:cs="Times New Roman"/>
        </w:rPr>
      </w:pPr>
      <w:r>
        <w:rPr>
          <w:rFonts w:eastAsia="Times New Roman" w:cs="Times New Roman"/>
        </w:rPr>
        <w:t xml:space="preserve">Totuși, având în vedere proximitatea strânsă între UAT Eforie și UAT Techirghiol, despărțite doar de istmul dintre lac și mare, precum și legăturile funcționale foarte strânse dintre acestea, </w:t>
      </w:r>
      <w:sdt>
        <w:sdtPr>
          <w:tag w:val="goog_rdk_27"/>
          <w:id w:val="-467977179"/>
        </w:sdtPr>
        <w:sdtContent/>
      </w:sdt>
      <w:r>
        <w:rPr>
          <w:rFonts w:eastAsia="Times New Roman" w:cs="Times New Roman"/>
        </w:rPr>
        <w:t xml:space="preserve">UAT-urile situate la nivelul primului rând de la țărmul mării  se completează cu UAT Techirghiol. Techirghiol, ca și Eforie, sunt stațiuni balneo-climaterice clasificate. Legătura funcțională strânsă dintre cele două rezidă din faptul că beneficiarii serviciilor sectorului balnear din Techirghiol sunt utilizatori și ai resurselor zonei costiere din Eforie (plaja). Există </w:t>
      </w:r>
      <w:r>
        <w:rPr>
          <w:rFonts w:eastAsia="Times New Roman" w:cs="Times New Roman"/>
        </w:rPr>
        <w:lastRenderedPageBreak/>
        <w:t>un flux permanent și relevant de deplasări între cele două stațiuni. Ambele localități sunt deservite de aceeași gară CF situată în Eforie Nord. La rândul său, sectorul de servicii balneare din Eforie utilizează ca input resursele lacului care se află pe teritoriul administrativ al orașului Techirghiol.</w:t>
      </w:r>
    </w:p>
    <w:p w14:paraId="68254065" w14:textId="24CDB591" w:rsidR="005D2CE5" w:rsidRDefault="005D2CE5" w:rsidP="005D2CE5">
      <w:pPr>
        <w:ind w:firstLine="567"/>
        <w:rPr>
          <w:rFonts w:eastAsia="Times New Roman" w:cs="Times New Roman"/>
        </w:rPr>
      </w:pPr>
      <w:r>
        <w:rPr>
          <w:rFonts w:eastAsia="Times New Roman" w:cs="Times New Roman"/>
        </w:rPr>
        <w:t xml:space="preserve">Astfel, zona costieră românească  cuprinde un număr de 19 UAT-uri, din județele Tulcea și Constanța (Tabel 1.3.1 și Fig. 1.3.1), dintre care 2 municipii (Constanța și Mangalia), 4 orașe (Sulina, Năvodari, Eforie, Techirghiol și) și 13 comune (C.A Rosetti, Sfântu Gheorghe, Murighiol, Jurilovca, în județul Tulcea și Mihai Viteazu, Istria, </w:t>
      </w:r>
      <w:sdt>
        <w:sdtPr>
          <w:tag w:val="goog_rdk_34"/>
          <w:id w:val="974181431"/>
        </w:sdtPr>
        <w:sdtContent>
          <w:r>
            <w:rPr>
              <w:rFonts w:eastAsia="Times New Roman" w:cs="Times New Roman"/>
            </w:rPr>
            <w:t>Săcele</w:t>
          </w:r>
        </w:sdtContent>
      </w:sdt>
      <w:r>
        <w:rPr>
          <w:rFonts w:eastAsia="Times New Roman" w:cs="Times New Roman"/>
        </w:rPr>
        <w:t xml:space="preserve">, Corbu, Agigea, Tuzla, </w:t>
      </w:r>
      <w:sdt>
        <w:sdtPr>
          <w:tag w:val="goog_rdk_35"/>
          <w:id w:val="-1493552190"/>
        </w:sdtPr>
        <w:sdtContent>
          <w:r>
            <w:rPr>
              <w:rFonts w:eastAsia="Times New Roman" w:cs="Times New Roman"/>
            </w:rPr>
            <w:t>Costinești</w:t>
          </w:r>
        </w:sdtContent>
      </w:sdt>
      <w:r>
        <w:rPr>
          <w:rFonts w:eastAsia="Times New Roman" w:cs="Times New Roman"/>
        </w:rPr>
        <w:t>, 23 August și Limanu, în județul Constanța). În total, zona costieră cuprinde un număr de 48 de localități dintre care 10 sunt localități componente ale municipiilor și orașelor și alte 38 sunt sate componente ale celor 13 comune (16 în județul Tulcea și 22 în județul Constanța).</w:t>
      </w:r>
    </w:p>
    <w:p w14:paraId="43C2B9A4" w14:textId="77777777" w:rsidR="005D2CE5" w:rsidRDefault="005D2CE5" w:rsidP="005D2CE5">
      <w:pPr>
        <w:pStyle w:val="ListParagraph"/>
        <w:ind w:left="1259" w:firstLine="0"/>
        <w:rPr>
          <w:lang w:val="ro-RO" w:eastAsia="en-GB"/>
        </w:rPr>
      </w:pPr>
    </w:p>
    <w:p w14:paraId="02BB42A3" w14:textId="0F44A977" w:rsidR="005D2CE5" w:rsidRDefault="005D2CE5" w:rsidP="00787B1D">
      <w:pPr>
        <w:pStyle w:val="Heading2"/>
        <w:numPr>
          <w:ilvl w:val="1"/>
          <w:numId w:val="50"/>
        </w:numPr>
        <w:rPr>
          <w:sz w:val="28"/>
        </w:rPr>
      </w:pPr>
      <w:bookmarkStart w:id="54" w:name="_Toc169625116"/>
      <w:r w:rsidRPr="005D2CE5">
        <w:rPr>
          <w:sz w:val="28"/>
        </w:rPr>
        <w:t>Descrierea generală a</w:t>
      </w:r>
      <w:r w:rsidRPr="005D2CE5">
        <w:t xml:space="preserve"> </w:t>
      </w:r>
      <w:r w:rsidRPr="005D2CE5">
        <w:rPr>
          <w:sz w:val="28"/>
        </w:rPr>
        <w:t>caracteristicilor zonei costiere</w:t>
      </w:r>
      <w:bookmarkEnd w:id="54"/>
    </w:p>
    <w:p w14:paraId="15163039" w14:textId="5952D314" w:rsidR="005D2CE5" w:rsidRPr="005D2CE5" w:rsidRDefault="005D2CE5" w:rsidP="005D2CE5">
      <w:pPr>
        <w:pStyle w:val="Heading3"/>
      </w:pPr>
      <w:bookmarkStart w:id="55" w:name="_Toc169625117"/>
      <w:r w:rsidRPr="005D2CE5">
        <w:t>2.</w:t>
      </w:r>
      <w:r w:rsidR="00787B1D">
        <w:t>4</w:t>
      </w:r>
      <w:r w:rsidRPr="005D2CE5">
        <w:t>.1 Cadrul natural</w:t>
      </w:r>
      <w:bookmarkEnd w:id="55"/>
    </w:p>
    <w:p w14:paraId="09CDCB9C" w14:textId="00782ABB" w:rsidR="005D2CE5" w:rsidRDefault="005D2CE5" w:rsidP="005D2CE5">
      <w:pPr>
        <w:pStyle w:val="Heading4"/>
      </w:pPr>
      <w:bookmarkStart w:id="56" w:name="_Toc169625118"/>
      <w:r>
        <w:t>2.</w:t>
      </w:r>
      <w:r w:rsidR="00787B1D">
        <w:t>4</w:t>
      </w:r>
      <w:r>
        <w:t>.1.1 Relief și climă</w:t>
      </w:r>
      <w:bookmarkEnd w:id="56"/>
    </w:p>
    <w:p w14:paraId="33A5D7E6" w14:textId="77777777" w:rsidR="003B5B5D" w:rsidRDefault="003B5B5D" w:rsidP="003B5B5D">
      <w:pPr>
        <w:spacing w:before="0"/>
        <w:ind w:firstLine="567"/>
        <w:rPr>
          <w:rFonts w:eastAsia="Times New Roman" w:cs="Times New Roman"/>
        </w:rPr>
      </w:pPr>
      <w:r>
        <w:rPr>
          <w:rFonts w:eastAsia="Times New Roman" w:cs="Times New Roman"/>
        </w:rPr>
        <w:t xml:space="preserve">Morfologia și relieful zonei costiere sunt diferite de-a lungul celor aproximativ 245 km dintre Golful Musura și Vama Veche și sunt rezultatul unei geneze și a unei evoluții diferite, materializate în procese și o dinamică diferite. Astfel, Unitatea Nordică, situată între Golful Musura și Capul Midia și având o lungime de circa 165 km, este preponderent naturală și înglobează țărmul Deltei Dunării, caracterizat prin prezența plajelor nisipoase, pe alocuri a dunelor litorale și a conurilor de rever, a barierelor litorale, a spiturilor și insulelor barieră, a gurilor de vărsare ale Dunării (cu morfologia specifică), a câmpurilor de țărm formate din grinduri maritime despărțite de suprafețe lacustre, japșe, canale sau suprafețe mlăștinoase acoperite cu stuf, precum și a sistemelor de bare și șanțuri în domeniul submers. </w:t>
      </w:r>
    </w:p>
    <w:p w14:paraId="7C585337" w14:textId="77777777" w:rsidR="003B5B5D" w:rsidRDefault="003B5B5D" w:rsidP="003B5B5D">
      <w:pPr>
        <w:spacing w:before="0"/>
        <w:ind w:firstLine="567"/>
        <w:rPr>
          <w:rFonts w:eastAsia="Times New Roman" w:cs="Times New Roman"/>
        </w:rPr>
      </w:pPr>
      <w:r>
        <w:rPr>
          <w:rFonts w:eastAsia="Times New Roman" w:cs="Times New Roman"/>
        </w:rPr>
        <w:t>Unitatea Sudică, întinsă între Capul Midia și Vama Veche, pe o lungime de circa 80 km, este puternic antropizată, morfologia coastei fiind influențată de prezența diferitelor tipuri de infrastructuri socio-economice (clădiri rezidențiale, infrastructură turistică, portuară, etc.) sau structuri de protecție costieră (diguri, pereți verticali, taluzuri, etc.). Relieful este reprezentat prin plaje artificiale și, pe alocuri, naturale, faleze tăiate în loess, platforme de țărm tăiate în calcar, bariere litorale și uneori sisteme de bare și șanțuri nisipoase sau platforme calcaroase submerse.</w:t>
      </w:r>
    </w:p>
    <w:p w14:paraId="637D5BD1" w14:textId="4BA21142" w:rsidR="003B5B5D" w:rsidRDefault="003B5B5D" w:rsidP="003B5B5D">
      <w:pPr>
        <w:spacing w:before="0"/>
        <w:ind w:firstLine="567"/>
        <w:rPr>
          <w:rFonts w:eastAsia="Times New Roman" w:cs="Times New Roman"/>
        </w:rPr>
      </w:pPr>
      <w:r>
        <w:rPr>
          <w:rFonts w:eastAsia="Times New Roman" w:cs="Times New Roman"/>
        </w:rPr>
        <w:t>Clima zonei studiate este temperat-continentală, cu influențe cauzate de situarea acesteia la interfața dintre suprafața continentală a Dobrogei și Marea Neagră. Radiaţia solară globală atinge cele mai mari valori medii anuale din România (peste 135 kcal/cm</w:t>
      </w:r>
      <w:r>
        <w:rPr>
          <w:rFonts w:eastAsia="Times New Roman" w:cs="Times New Roman"/>
          <w:vertAlign w:val="superscript"/>
        </w:rPr>
        <w:t>2</w:t>
      </w:r>
      <w:r>
        <w:rPr>
          <w:rFonts w:eastAsia="Times New Roman" w:cs="Times New Roman"/>
        </w:rPr>
        <w:t xml:space="preserve">), în timp ce durata medie anuală de strălucire a Soarelui înregistrează valori de până la 2500 ore. Temperaturile medii anuale în zona costieră (cuprinse între 11,8°C la Sulina și 12,1°C la Constanța, în perioada 1961-2021) sunt superioare mediei pe ţară, cu maxime în perioada iunie – august </w:t>
      </w:r>
      <w:r>
        <w:rPr>
          <w:rFonts w:eastAsia="Times New Roman" w:cs="Times New Roman"/>
        </w:rPr>
        <w:lastRenderedPageBreak/>
        <w:t>(medii lunare multianuale cuprinse între 20,1°C și 23,0°C) și minime în perioada decembrie-februarie (medii lunare multianuale cuprinse între 0,6°C și 3,6°C) (Tabel 2.4.1.1</w:t>
      </w:r>
      <w:r w:rsidR="008635C2">
        <w:rPr>
          <w:rFonts w:eastAsia="Times New Roman" w:cs="Times New Roman"/>
        </w:rPr>
        <w:t>.1</w:t>
      </w:r>
      <w:r>
        <w:rPr>
          <w:rFonts w:eastAsia="Times New Roman" w:cs="Times New Roman"/>
        </w:rPr>
        <w:t xml:space="preserve">). </w:t>
      </w:r>
    </w:p>
    <w:p w14:paraId="5B383E0F" w14:textId="77777777" w:rsidR="003B5B5D" w:rsidRDefault="003B5B5D" w:rsidP="003B5B5D">
      <w:pPr>
        <w:spacing w:after="200"/>
        <w:ind w:firstLine="567"/>
        <w:rPr>
          <w:rFonts w:eastAsia="Times New Roman" w:cs="Times New Roman"/>
        </w:rPr>
      </w:pPr>
    </w:p>
    <w:p w14:paraId="17B1BD30" w14:textId="237CFBD4" w:rsidR="003B5B5D" w:rsidRDefault="003B5B5D" w:rsidP="003B5B5D">
      <w:pPr>
        <w:jc w:val="center"/>
        <w:rPr>
          <w:rFonts w:eastAsia="Times New Roman" w:cs="Times New Roman"/>
          <w:color w:val="000000"/>
        </w:rPr>
      </w:pPr>
      <w:r>
        <w:rPr>
          <w:rFonts w:eastAsia="Times New Roman" w:cs="Times New Roman"/>
          <w:b/>
          <w:color w:val="000000"/>
        </w:rPr>
        <w:t>Tabel 2.4.1.1</w:t>
      </w:r>
      <w:r w:rsidR="008635C2">
        <w:rPr>
          <w:rFonts w:eastAsia="Times New Roman" w:cs="Times New Roman"/>
          <w:b/>
          <w:color w:val="000000"/>
        </w:rPr>
        <w:t>.1</w:t>
      </w:r>
      <w:r>
        <w:rPr>
          <w:rFonts w:eastAsia="Times New Roman" w:cs="Times New Roman"/>
          <w:b/>
          <w:color w:val="000000"/>
        </w:rPr>
        <w:t xml:space="preserve"> Medii lunare multianuale (1961 - 2021) ale temperaturii aerului la a) Sulina, b) Constanța și c) Mangalia (</w:t>
      </w:r>
      <w:r>
        <w:rPr>
          <w:rFonts w:eastAsia="Times New Roman" w:cs="Times New Roman"/>
          <w:b/>
          <w:i/>
          <w:color w:val="000000"/>
        </w:rPr>
        <w:t>sursa Administrația Națională de Meteorologie)</w:t>
      </w:r>
    </w:p>
    <w:p w14:paraId="3852B1D5" w14:textId="2074D7DC" w:rsidR="003B5B5D" w:rsidRPr="003B5B5D" w:rsidRDefault="003B5B5D" w:rsidP="003B5B5D">
      <w:pPr>
        <w:pStyle w:val="ListParagraph"/>
        <w:numPr>
          <w:ilvl w:val="0"/>
          <w:numId w:val="23"/>
        </w:numPr>
        <w:spacing w:after="0" w:line="240" w:lineRule="auto"/>
        <w:rPr>
          <w:rFonts w:eastAsia="Times New Roman" w:cs="Times New Roman"/>
        </w:rPr>
      </w:pPr>
      <w:r w:rsidRPr="003B5B5D">
        <w:rPr>
          <w:rFonts w:eastAsia="Times New Roman" w:cs="Times New Roman"/>
          <w:color w:val="000000"/>
        </w:rPr>
        <w:t>Sulina</w:t>
      </w:r>
      <w:r>
        <w:rPr>
          <w:noProof/>
        </w:rPr>
        <w:drawing>
          <wp:anchor distT="0" distB="0" distL="114300" distR="114300" simplePos="0" relativeHeight="251659264" behindDoc="0" locked="0" layoutInCell="1" hidden="0" allowOverlap="1" wp14:anchorId="2623F6EC" wp14:editId="4CC479D9">
            <wp:simplePos x="0" y="0"/>
            <wp:positionH relativeFrom="column">
              <wp:posOffset>19051</wp:posOffset>
            </wp:positionH>
            <wp:positionV relativeFrom="paragraph">
              <wp:posOffset>198755</wp:posOffset>
            </wp:positionV>
            <wp:extent cx="5731510" cy="1543050"/>
            <wp:effectExtent l="0" t="0" r="0" b="0"/>
            <wp:wrapSquare wrapText="bothSides" distT="0" distB="0" distL="114300" distR="114300"/>
            <wp:docPr id="214140196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4"/>
                    <a:srcRect/>
                    <a:stretch>
                      <a:fillRect/>
                    </a:stretch>
                  </pic:blipFill>
                  <pic:spPr>
                    <a:xfrm>
                      <a:off x="0" y="0"/>
                      <a:ext cx="5731510" cy="1543050"/>
                    </a:xfrm>
                    <a:prstGeom prst="rect">
                      <a:avLst/>
                    </a:prstGeom>
                    <a:ln/>
                  </pic:spPr>
                </pic:pic>
              </a:graphicData>
            </a:graphic>
          </wp:anchor>
        </w:drawing>
      </w:r>
    </w:p>
    <w:p w14:paraId="70372DCB" w14:textId="77777777" w:rsidR="003B5B5D" w:rsidRPr="003B5B5D" w:rsidRDefault="003B5B5D" w:rsidP="003B5B5D">
      <w:pPr>
        <w:pStyle w:val="ListParagraph"/>
        <w:spacing w:after="0" w:line="240" w:lineRule="auto"/>
        <w:ind w:left="899" w:firstLine="0"/>
        <w:rPr>
          <w:rFonts w:eastAsia="Times New Roman" w:cs="Times New Roman"/>
        </w:rPr>
      </w:pPr>
    </w:p>
    <w:p w14:paraId="770628F2" w14:textId="119EBF20" w:rsidR="003B5B5D" w:rsidRPr="004F3BB9" w:rsidRDefault="003B5B5D" w:rsidP="004F3BB9">
      <w:pPr>
        <w:pStyle w:val="ListParagraph"/>
        <w:numPr>
          <w:ilvl w:val="0"/>
          <w:numId w:val="23"/>
        </w:numPr>
        <w:spacing w:after="0"/>
        <w:rPr>
          <w:rFonts w:eastAsia="Times New Roman" w:cs="Times New Roman"/>
          <w:color w:val="000000"/>
        </w:rPr>
      </w:pPr>
      <w:r>
        <w:rPr>
          <w:noProof/>
        </w:rPr>
        <w:drawing>
          <wp:anchor distT="0" distB="0" distL="114300" distR="114300" simplePos="0" relativeHeight="251660288" behindDoc="0" locked="0" layoutInCell="1" hidden="0" allowOverlap="1" wp14:anchorId="288369ED" wp14:editId="548378BF">
            <wp:simplePos x="0" y="0"/>
            <wp:positionH relativeFrom="column">
              <wp:posOffset>48895</wp:posOffset>
            </wp:positionH>
            <wp:positionV relativeFrom="paragraph">
              <wp:posOffset>296545</wp:posOffset>
            </wp:positionV>
            <wp:extent cx="5572125" cy="1428750"/>
            <wp:effectExtent l="0" t="0" r="0" b="0"/>
            <wp:wrapSquare wrapText="bothSides" distT="0" distB="0" distL="114300" distR="114300"/>
            <wp:docPr id="214140194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5"/>
                    <a:srcRect r="2780" b="7407"/>
                    <a:stretch>
                      <a:fillRect/>
                    </a:stretch>
                  </pic:blipFill>
                  <pic:spPr>
                    <a:xfrm>
                      <a:off x="0" y="0"/>
                      <a:ext cx="5572125" cy="1428750"/>
                    </a:xfrm>
                    <a:prstGeom prst="rect">
                      <a:avLst/>
                    </a:prstGeom>
                    <a:ln/>
                  </pic:spPr>
                </pic:pic>
              </a:graphicData>
            </a:graphic>
          </wp:anchor>
        </w:drawing>
      </w:r>
      <w:r w:rsidR="004F3BB9" w:rsidRPr="004F3BB9">
        <w:rPr>
          <w:rFonts w:eastAsia="Times New Roman" w:cs="Times New Roman"/>
          <w:color w:val="000000"/>
        </w:rPr>
        <w:t>Constanța</w:t>
      </w:r>
    </w:p>
    <w:p w14:paraId="130DC081" w14:textId="77777777" w:rsidR="004F3BB9" w:rsidRPr="004F3BB9" w:rsidRDefault="004F3BB9" w:rsidP="004F3BB9">
      <w:pPr>
        <w:spacing w:after="0"/>
        <w:ind w:firstLine="0"/>
        <w:rPr>
          <w:rFonts w:eastAsia="Times New Roman" w:cs="Times New Roman"/>
          <w:color w:val="000000"/>
        </w:rPr>
      </w:pPr>
    </w:p>
    <w:p w14:paraId="425DCC57" w14:textId="77777777" w:rsidR="003B5B5D" w:rsidRDefault="003B5B5D" w:rsidP="003B5B5D">
      <w:pPr>
        <w:spacing w:after="0"/>
        <w:rPr>
          <w:rFonts w:eastAsia="Times New Roman" w:cs="Times New Roman"/>
        </w:rPr>
      </w:pPr>
      <w:r>
        <w:rPr>
          <w:rFonts w:eastAsia="Times New Roman" w:cs="Times New Roman"/>
          <w:color w:val="000000"/>
        </w:rPr>
        <w:t>c) Mangalia</w:t>
      </w:r>
      <w:r>
        <w:rPr>
          <w:rFonts w:eastAsia="Times New Roman" w:cs="Times New Roman"/>
          <w:b/>
          <w:color w:val="000000"/>
        </w:rPr>
        <w:t> </w:t>
      </w:r>
    </w:p>
    <w:p w14:paraId="23750C56" w14:textId="77777777" w:rsidR="003B5B5D" w:rsidRDefault="003B5B5D" w:rsidP="003B5B5D">
      <w:pPr>
        <w:spacing w:before="0"/>
        <w:rPr>
          <w:rFonts w:eastAsia="Times New Roman" w:cs="Times New Roman"/>
        </w:rPr>
      </w:pPr>
      <w:r>
        <w:rPr>
          <w:noProof/>
        </w:rPr>
        <w:drawing>
          <wp:anchor distT="0" distB="0" distL="114300" distR="114300" simplePos="0" relativeHeight="251661312" behindDoc="0" locked="0" layoutInCell="1" hidden="0" allowOverlap="1" wp14:anchorId="52BC1472" wp14:editId="14694A2F">
            <wp:simplePos x="0" y="0"/>
            <wp:positionH relativeFrom="column">
              <wp:posOffset>19051</wp:posOffset>
            </wp:positionH>
            <wp:positionV relativeFrom="paragraph">
              <wp:posOffset>30863</wp:posOffset>
            </wp:positionV>
            <wp:extent cx="5731510" cy="1543050"/>
            <wp:effectExtent l="0" t="0" r="0" b="0"/>
            <wp:wrapSquare wrapText="bothSides" distT="0" distB="0" distL="114300" distR="114300"/>
            <wp:docPr id="214140193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6"/>
                    <a:srcRect/>
                    <a:stretch>
                      <a:fillRect/>
                    </a:stretch>
                  </pic:blipFill>
                  <pic:spPr>
                    <a:xfrm>
                      <a:off x="0" y="0"/>
                      <a:ext cx="5731510" cy="1543050"/>
                    </a:xfrm>
                    <a:prstGeom prst="rect">
                      <a:avLst/>
                    </a:prstGeom>
                    <a:ln/>
                  </pic:spPr>
                </pic:pic>
              </a:graphicData>
            </a:graphic>
          </wp:anchor>
        </w:drawing>
      </w:r>
    </w:p>
    <w:p w14:paraId="5C66F3D7" w14:textId="0CD5A83E" w:rsidR="003B5B5D" w:rsidRDefault="003B5B5D" w:rsidP="003B5B5D">
      <w:pPr>
        <w:spacing w:before="0"/>
        <w:ind w:firstLine="567"/>
        <w:rPr>
          <w:rFonts w:eastAsia="Times New Roman" w:cs="Times New Roman"/>
        </w:rPr>
      </w:pPr>
      <w:r>
        <w:rPr>
          <w:rFonts w:eastAsia="Times New Roman" w:cs="Times New Roman"/>
        </w:rPr>
        <w:t xml:space="preserve">Cantitățile medii anuale de precipitații înregistrate în perioada 1991-2020 sunt cuprinse între 240 și 494 mm, cu medii lunare semnificativ mai coborâte în Sulina și mai ridicate în Constanța și Mangalia (Tabel </w:t>
      </w:r>
      <w:r w:rsidR="004F3BB9">
        <w:rPr>
          <w:rFonts w:eastAsia="Times New Roman" w:cs="Times New Roman"/>
        </w:rPr>
        <w:t>2.4.</w:t>
      </w:r>
      <w:r>
        <w:rPr>
          <w:rFonts w:eastAsia="Times New Roman" w:cs="Times New Roman"/>
        </w:rPr>
        <w:t xml:space="preserve">1.2). Mediile lunare raportate la perioada 1991-2020 arată două maxime; un maxim în perioada mai-iunie, iar cel de al doilea în octombrie. Valorile medii lunare minime se înregistrează în luna februarie (Tabel </w:t>
      </w:r>
      <w:r w:rsidR="004F3BB9">
        <w:rPr>
          <w:rFonts w:eastAsia="Times New Roman" w:cs="Times New Roman"/>
        </w:rPr>
        <w:t>2.4.1.</w:t>
      </w:r>
      <w:r w:rsidR="008635C2">
        <w:rPr>
          <w:rFonts w:eastAsia="Times New Roman" w:cs="Times New Roman"/>
        </w:rPr>
        <w:t>1.</w:t>
      </w:r>
      <w:r>
        <w:rPr>
          <w:rFonts w:eastAsia="Times New Roman" w:cs="Times New Roman"/>
        </w:rPr>
        <w:t>2).</w:t>
      </w:r>
    </w:p>
    <w:p w14:paraId="74A56C93" w14:textId="77777777" w:rsidR="003B5B5D" w:rsidRDefault="003B5B5D" w:rsidP="003B5B5D">
      <w:pPr>
        <w:spacing w:before="0" w:line="240" w:lineRule="auto"/>
        <w:ind w:right="-46"/>
        <w:jc w:val="center"/>
        <w:rPr>
          <w:rFonts w:eastAsia="Times New Roman" w:cs="Times New Roman"/>
          <w:b/>
          <w:color w:val="000000"/>
          <w:sz w:val="20"/>
          <w:szCs w:val="20"/>
        </w:rPr>
      </w:pPr>
    </w:p>
    <w:p w14:paraId="70F06C3C" w14:textId="7BA41D26" w:rsidR="003B5B5D" w:rsidRPr="004F3BB9" w:rsidRDefault="004F3BB9" w:rsidP="004F3BB9">
      <w:pPr>
        <w:spacing w:before="0" w:after="0" w:line="240" w:lineRule="auto"/>
        <w:ind w:right="-45"/>
        <w:jc w:val="center"/>
        <w:rPr>
          <w:rFonts w:eastAsia="Times New Roman" w:cs="Times New Roman"/>
          <w:b/>
          <w:color w:val="000000"/>
        </w:rPr>
      </w:pPr>
      <w:r>
        <w:rPr>
          <w:rFonts w:eastAsia="Times New Roman" w:cs="Times New Roman"/>
          <w:b/>
          <w:color w:val="000000"/>
        </w:rPr>
        <w:lastRenderedPageBreak/>
        <w:t>Tabel 2.4</w:t>
      </w:r>
      <w:r w:rsidR="003B5B5D">
        <w:rPr>
          <w:rFonts w:eastAsia="Times New Roman" w:cs="Times New Roman"/>
          <w:b/>
          <w:color w:val="000000"/>
        </w:rPr>
        <w:t>.1.</w:t>
      </w:r>
      <w:r w:rsidR="008635C2">
        <w:rPr>
          <w:rFonts w:eastAsia="Times New Roman" w:cs="Times New Roman"/>
          <w:b/>
          <w:color w:val="000000"/>
        </w:rPr>
        <w:t>1.</w:t>
      </w:r>
      <w:r w:rsidR="003B5B5D">
        <w:rPr>
          <w:rFonts w:eastAsia="Times New Roman" w:cs="Times New Roman"/>
          <w:b/>
          <w:color w:val="000000"/>
        </w:rPr>
        <w:t>2 Cantități de precipitații medii lunare m</w:t>
      </w:r>
      <w:r>
        <w:rPr>
          <w:rFonts w:eastAsia="Times New Roman" w:cs="Times New Roman"/>
          <w:b/>
          <w:color w:val="000000"/>
        </w:rPr>
        <w:t xml:space="preserve">ultianuale - perioada 1991-2020 </w:t>
      </w:r>
      <w:r w:rsidR="003B5B5D">
        <w:rPr>
          <w:rFonts w:eastAsia="Times New Roman" w:cs="Times New Roman"/>
          <w:b/>
          <w:color w:val="000000"/>
        </w:rPr>
        <w:t>(</w:t>
      </w:r>
      <w:r w:rsidR="003B5B5D">
        <w:rPr>
          <w:rFonts w:eastAsia="Times New Roman" w:cs="Times New Roman"/>
          <w:b/>
          <w:i/>
          <w:color w:val="000000"/>
        </w:rPr>
        <w:t>sursa Administrația Națională de Meteorologie)</w:t>
      </w:r>
    </w:p>
    <w:tbl>
      <w:tblPr>
        <w:tblW w:w="9067" w:type="dxa"/>
        <w:tblLayout w:type="fixed"/>
        <w:tblLook w:val="0400" w:firstRow="0" w:lastRow="0" w:firstColumn="0" w:lastColumn="0" w:noHBand="0" w:noVBand="1"/>
      </w:tblPr>
      <w:tblGrid>
        <w:gridCol w:w="1270"/>
        <w:gridCol w:w="579"/>
        <w:gridCol w:w="568"/>
        <w:gridCol w:w="588"/>
        <w:gridCol w:w="589"/>
        <w:gridCol w:w="589"/>
        <w:gridCol w:w="569"/>
        <w:gridCol w:w="589"/>
        <w:gridCol w:w="663"/>
        <w:gridCol w:w="589"/>
        <w:gridCol w:w="589"/>
        <w:gridCol w:w="589"/>
        <w:gridCol w:w="596"/>
        <w:gridCol w:w="700"/>
      </w:tblGrid>
      <w:tr w:rsidR="003B5B5D" w14:paraId="2956E925" w14:textId="77777777" w:rsidTr="004F3BB9">
        <w:trPr>
          <w:trHeight w:val="467"/>
        </w:trPr>
        <w:tc>
          <w:tcPr>
            <w:tcW w:w="127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2751D73" w14:textId="77777777" w:rsidR="003B5B5D" w:rsidRDefault="003B5B5D" w:rsidP="003B5B5D">
            <w:pPr>
              <w:spacing w:after="0" w:line="240" w:lineRule="auto"/>
              <w:ind w:left="300" w:right="60" w:firstLine="0"/>
              <w:rPr>
                <w:rFonts w:eastAsia="Times New Roman" w:cs="Times New Roman"/>
              </w:rPr>
            </w:pPr>
            <w:r>
              <w:rPr>
                <w:rFonts w:eastAsia="Times New Roman" w:cs="Times New Roman"/>
                <w:color w:val="000000"/>
                <w:sz w:val="20"/>
                <w:szCs w:val="20"/>
              </w:rPr>
              <w:t>Stația</w:t>
            </w:r>
          </w:p>
        </w:tc>
        <w:tc>
          <w:tcPr>
            <w:tcW w:w="57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1F7B518" w14:textId="77777777" w:rsidR="003B5B5D" w:rsidRDefault="003B5B5D" w:rsidP="004F3BB9">
            <w:pPr>
              <w:spacing w:after="0" w:line="240" w:lineRule="auto"/>
              <w:ind w:firstLine="0"/>
              <w:rPr>
                <w:rFonts w:eastAsia="Times New Roman" w:cs="Times New Roman"/>
              </w:rPr>
            </w:pPr>
            <w:r>
              <w:rPr>
                <w:rFonts w:eastAsia="Times New Roman" w:cs="Times New Roman"/>
                <w:color w:val="000000"/>
                <w:sz w:val="20"/>
                <w:szCs w:val="20"/>
              </w:rPr>
              <w:t>I</w:t>
            </w:r>
          </w:p>
        </w:tc>
        <w:tc>
          <w:tcPr>
            <w:tcW w:w="568"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6EB3E46" w14:textId="77777777" w:rsidR="003B5B5D" w:rsidRDefault="003B5B5D" w:rsidP="004F3BB9">
            <w:pPr>
              <w:spacing w:after="0" w:line="240" w:lineRule="auto"/>
              <w:ind w:right="60" w:firstLine="0"/>
              <w:rPr>
                <w:rFonts w:eastAsia="Times New Roman" w:cs="Times New Roman"/>
              </w:rPr>
            </w:pPr>
            <w:r>
              <w:rPr>
                <w:rFonts w:eastAsia="Times New Roman" w:cs="Times New Roman"/>
                <w:color w:val="000000"/>
                <w:sz w:val="20"/>
                <w:szCs w:val="20"/>
              </w:rPr>
              <w:t>II</w:t>
            </w:r>
          </w:p>
        </w:tc>
        <w:tc>
          <w:tcPr>
            <w:tcW w:w="588"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9C0D447" w14:textId="77777777" w:rsidR="003B5B5D" w:rsidRDefault="003B5B5D" w:rsidP="004F3BB9">
            <w:pPr>
              <w:spacing w:after="0" w:line="240" w:lineRule="auto"/>
              <w:ind w:right="60" w:firstLine="0"/>
              <w:rPr>
                <w:rFonts w:eastAsia="Times New Roman" w:cs="Times New Roman"/>
              </w:rPr>
            </w:pPr>
            <w:r>
              <w:rPr>
                <w:rFonts w:eastAsia="Times New Roman" w:cs="Times New Roman"/>
                <w:color w:val="000000"/>
                <w:sz w:val="20"/>
                <w:szCs w:val="20"/>
              </w:rPr>
              <w:t>III</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59C8143" w14:textId="77777777" w:rsidR="003B5B5D" w:rsidRDefault="003B5B5D" w:rsidP="004F3BB9">
            <w:pPr>
              <w:spacing w:after="0" w:line="240" w:lineRule="auto"/>
              <w:ind w:right="160" w:firstLine="0"/>
              <w:rPr>
                <w:rFonts w:eastAsia="Times New Roman" w:cs="Times New Roman"/>
              </w:rPr>
            </w:pPr>
            <w:r>
              <w:rPr>
                <w:rFonts w:eastAsia="Times New Roman" w:cs="Times New Roman"/>
                <w:color w:val="000000"/>
                <w:sz w:val="20"/>
                <w:szCs w:val="20"/>
              </w:rPr>
              <w:t>IV</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017962B" w14:textId="77777777" w:rsidR="003B5B5D" w:rsidRDefault="003B5B5D" w:rsidP="004F3BB9">
            <w:pPr>
              <w:spacing w:after="0" w:line="240" w:lineRule="auto"/>
              <w:ind w:firstLine="0"/>
              <w:rPr>
                <w:rFonts w:eastAsia="Times New Roman" w:cs="Times New Roman"/>
              </w:rPr>
            </w:pPr>
            <w:r>
              <w:rPr>
                <w:rFonts w:eastAsia="Times New Roman" w:cs="Times New Roman"/>
                <w:color w:val="000000"/>
                <w:sz w:val="20"/>
                <w:szCs w:val="20"/>
              </w:rPr>
              <w:t>V</w:t>
            </w:r>
          </w:p>
        </w:tc>
        <w:tc>
          <w:tcPr>
            <w:tcW w:w="56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3E8DD9F" w14:textId="77777777" w:rsidR="003B5B5D" w:rsidRDefault="003B5B5D" w:rsidP="004F3BB9">
            <w:pPr>
              <w:spacing w:after="0" w:line="240" w:lineRule="auto"/>
              <w:ind w:right="100" w:firstLine="0"/>
              <w:rPr>
                <w:rFonts w:eastAsia="Times New Roman" w:cs="Times New Roman"/>
              </w:rPr>
            </w:pPr>
            <w:r>
              <w:rPr>
                <w:rFonts w:eastAsia="Times New Roman" w:cs="Times New Roman"/>
                <w:color w:val="000000"/>
                <w:sz w:val="20"/>
                <w:szCs w:val="20"/>
              </w:rPr>
              <w:t>VI</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78AC2C1" w14:textId="77777777" w:rsidR="003B5B5D" w:rsidRDefault="003B5B5D" w:rsidP="004F3BB9">
            <w:pPr>
              <w:spacing w:after="0" w:line="240" w:lineRule="auto"/>
              <w:ind w:right="60" w:firstLine="0"/>
              <w:rPr>
                <w:rFonts w:eastAsia="Times New Roman" w:cs="Times New Roman"/>
              </w:rPr>
            </w:pPr>
            <w:r>
              <w:rPr>
                <w:rFonts w:eastAsia="Times New Roman" w:cs="Times New Roman"/>
                <w:color w:val="000000"/>
                <w:sz w:val="20"/>
                <w:szCs w:val="20"/>
              </w:rPr>
              <w:t>VII</w:t>
            </w:r>
          </w:p>
        </w:tc>
        <w:tc>
          <w:tcPr>
            <w:tcW w:w="663"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15E1D1C" w14:textId="77777777" w:rsidR="003B5B5D" w:rsidRDefault="003B5B5D" w:rsidP="004F3BB9">
            <w:pPr>
              <w:spacing w:after="0" w:line="240" w:lineRule="auto"/>
              <w:ind w:right="120" w:firstLine="0"/>
              <w:rPr>
                <w:rFonts w:eastAsia="Times New Roman" w:cs="Times New Roman"/>
              </w:rPr>
            </w:pPr>
            <w:r>
              <w:rPr>
                <w:rFonts w:eastAsia="Times New Roman" w:cs="Times New Roman"/>
                <w:color w:val="000000"/>
                <w:sz w:val="20"/>
                <w:szCs w:val="20"/>
              </w:rPr>
              <w:t>VII</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28FA173" w14:textId="77777777" w:rsidR="003B5B5D" w:rsidRDefault="003B5B5D" w:rsidP="004F3BB9">
            <w:pPr>
              <w:spacing w:after="0" w:line="240" w:lineRule="auto"/>
              <w:ind w:right="120" w:firstLine="0"/>
              <w:rPr>
                <w:rFonts w:eastAsia="Times New Roman" w:cs="Times New Roman"/>
              </w:rPr>
            </w:pPr>
            <w:r>
              <w:rPr>
                <w:rFonts w:eastAsia="Times New Roman" w:cs="Times New Roman"/>
                <w:color w:val="000000"/>
                <w:sz w:val="20"/>
                <w:szCs w:val="20"/>
              </w:rPr>
              <w:t>IX</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B31904B" w14:textId="77777777" w:rsidR="003B5B5D" w:rsidRDefault="003B5B5D" w:rsidP="004F3BB9">
            <w:pPr>
              <w:spacing w:after="0" w:line="240" w:lineRule="auto"/>
              <w:ind w:firstLine="0"/>
              <w:rPr>
                <w:rFonts w:eastAsia="Times New Roman" w:cs="Times New Roman"/>
              </w:rPr>
            </w:pPr>
            <w:r>
              <w:rPr>
                <w:rFonts w:eastAsia="Times New Roman" w:cs="Times New Roman"/>
                <w:color w:val="000000"/>
                <w:sz w:val="20"/>
                <w:szCs w:val="20"/>
              </w:rPr>
              <w:t>X</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7796D14" w14:textId="77777777" w:rsidR="003B5B5D" w:rsidRDefault="003B5B5D" w:rsidP="004F3BB9">
            <w:pPr>
              <w:spacing w:after="0" w:line="240" w:lineRule="auto"/>
              <w:ind w:right="120" w:firstLine="0"/>
              <w:rPr>
                <w:rFonts w:eastAsia="Times New Roman" w:cs="Times New Roman"/>
              </w:rPr>
            </w:pPr>
            <w:r>
              <w:rPr>
                <w:rFonts w:eastAsia="Times New Roman" w:cs="Times New Roman"/>
                <w:color w:val="000000"/>
                <w:sz w:val="20"/>
                <w:szCs w:val="20"/>
              </w:rPr>
              <w:t>XI</w:t>
            </w:r>
          </w:p>
        </w:tc>
        <w:tc>
          <w:tcPr>
            <w:tcW w:w="59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85A7E65" w14:textId="77777777" w:rsidR="003B5B5D" w:rsidRDefault="003B5B5D" w:rsidP="004F3BB9">
            <w:pPr>
              <w:spacing w:after="0" w:line="240" w:lineRule="auto"/>
              <w:ind w:right="120" w:firstLine="0"/>
              <w:rPr>
                <w:rFonts w:eastAsia="Times New Roman" w:cs="Times New Roman"/>
              </w:rPr>
            </w:pPr>
            <w:r>
              <w:rPr>
                <w:rFonts w:eastAsia="Times New Roman" w:cs="Times New Roman"/>
                <w:color w:val="000000"/>
                <w:sz w:val="20"/>
                <w:szCs w:val="20"/>
              </w:rPr>
              <w:t>XI</w:t>
            </w:r>
          </w:p>
        </w:tc>
        <w:tc>
          <w:tcPr>
            <w:tcW w:w="70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2AFB246" w14:textId="77777777" w:rsidR="003B5B5D" w:rsidRDefault="003B5B5D" w:rsidP="004F3BB9">
            <w:pPr>
              <w:spacing w:after="0" w:line="240" w:lineRule="auto"/>
              <w:ind w:firstLine="0"/>
              <w:rPr>
                <w:rFonts w:eastAsia="Times New Roman" w:cs="Times New Roman"/>
              </w:rPr>
            </w:pPr>
            <w:r>
              <w:rPr>
                <w:rFonts w:eastAsia="Times New Roman" w:cs="Times New Roman"/>
                <w:color w:val="000000"/>
                <w:sz w:val="20"/>
                <w:szCs w:val="20"/>
              </w:rPr>
              <w:t>Anual</w:t>
            </w:r>
          </w:p>
        </w:tc>
      </w:tr>
      <w:tr w:rsidR="003B5B5D" w14:paraId="5EA247B5" w14:textId="77777777" w:rsidTr="004F3BB9">
        <w:trPr>
          <w:trHeight w:val="362"/>
        </w:trPr>
        <w:tc>
          <w:tcPr>
            <w:tcW w:w="127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63AEF63" w14:textId="77777777" w:rsidR="003B5B5D" w:rsidRDefault="003B5B5D" w:rsidP="003B5B5D">
            <w:pPr>
              <w:spacing w:after="0" w:line="240" w:lineRule="auto"/>
              <w:ind w:right="60" w:firstLine="0"/>
              <w:rPr>
                <w:rFonts w:eastAsia="Times New Roman" w:cs="Times New Roman"/>
              </w:rPr>
            </w:pPr>
            <w:r>
              <w:rPr>
                <w:rFonts w:eastAsia="Times New Roman" w:cs="Times New Roman"/>
                <w:color w:val="000000"/>
                <w:sz w:val="20"/>
                <w:szCs w:val="20"/>
              </w:rPr>
              <w:t>Constanța</w:t>
            </w:r>
          </w:p>
        </w:tc>
        <w:tc>
          <w:tcPr>
            <w:tcW w:w="57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DFE6343" w14:textId="77777777" w:rsidR="003B5B5D" w:rsidRDefault="003B5B5D" w:rsidP="004F3BB9">
            <w:pPr>
              <w:spacing w:after="0" w:line="240" w:lineRule="auto"/>
              <w:ind w:right="40" w:firstLine="0"/>
              <w:rPr>
                <w:rFonts w:eastAsia="Times New Roman" w:cs="Times New Roman"/>
                <w:sz w:val="18"/>
                <w:szCs w:val="18"/>
              </w:rPr>
            </w:pPr>
            <w:r>
              <w:rPr>
                <w:rFonts w:eastAsia="Times New Roman" w:cs="Times New Roman"/>
                <w:color w:val="000000"/>
                <w:sz w:val="18"/>
                <w:szCs w:val="18"/>
              </w:rPr>
              <w:t>35,6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332C0F4" w14:textId="77777777" w:rsidR="003B5B5D" w:rsidRDefault="003B5B5D" w:rsidP="004F3BB9">
            <w:pPr>
              <w:spacing w:after="0" w:line="240" w:lineRule="auto"/>
              <w:ind w:right="20" w:firstLine="0"/>
              <w:rPr>
                <w:rFonts w:eastAsia="Times New Roman" w:cs="Times New Roman"/>
                <w:sz w:val="18"/>
                <w:szCs w:val="18"/>
              </w:rPr>
            </w:pPr>
            <w:r>
              <w:rPr>
                <w:rFonts w:eastAsia="Times New Roman" w:cs="Times New Roman"/>
                <w:color w:val="000000"/>
                <w:sz w:val="18"/>
                <w:szCs w:val="18"/>
              </w:rPr>
              <w:t>26,9</w:t>
            </w:r>
          </w:p>
        </w:tc>
        <w:tc>
          <w:tcPr>
            <w:tcW w:w="588"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D2132A6" w14:textId="77777777" w:rsidR="003B5B5D" w:rsidRDefault="003B5B5D" w:rsidP="004F3BB9">
            <w:pPr>
              <w:spacing w:after="0" w:line="240" w:lineRule="auto"/>
              <w:ind w:right="40" w:firstLine="0"/>
              <w:rPr>
                <w:rFonts w:eastAsia="Times New Roman" w:cs="Times New Roman"/>
                <w:sz w:val="18"/>
                <w:szCs w:val="18"/>
              </w:rPr>
            </w:pPr>
            <w:r>
              <w:rPr>
                <w:rFonts w:eastAsia="Times New Roman" w:cs="Times New Roman"/>
                <w:color w:val="000000"/>
                <w:sz w:val="18"/>
                <w:szCs w:val="18"/>
              </w:rPr>
              <w:t>37,4</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DA0D442" w14:textId="77777777" w:rsidR="003B5B5D" w:rsidRDefault="003B5B5D" w:rsidP="004F3BB9">
            <w:pPr>
              <w:spacing w:after="0" w:line="240" w:lineRule="auto"/>
              <w:ind w:right="40" w:firstLine="0"/>
              <w:rPr>
                <w:rFonts w:eastAsia="Times New Roman" w:cs="Times New Roman"/>
                <w:sz w:val="18"/>
                <w:szCs w:val="18"/>
              </w:rPr>
            </w:pPr>
            <w:r>
              <w:rPr>
                <w:rFonts w:eastAsia="Times New Roman" w:cs="Times New Roman"/>
                <w:color w:val="000000"/>
                <w:sz w:val="18"/>
                <w:szCs w:val="18"/>
              </w:rPr>
              <w:t>31,9</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DFBCC88" w14:textId="77777777" w:rsidR="003B5B5D" w:rsidRDefault="003B5B5D" w:rsidP="004F3BB9">
            <w:pPr>
              <w:spacing w:after="0" w:line="240" w:lineRule="auto"/>
              <w:ind w:right="40" w:firstLine="0"/>
              <w:rPr>
                <w:rFonts w:eastAsia="Times New Roman" w:cs="Times New Roman"/>
                <w:sz w:val="18"/>
                <w:szCs w:val="18"/>
              </w:rPr>
            </w:pPr>
            <w:r>
              <w:rPr>
                <w:rFonts w:eastAsia="Times New Roman" w:cs="Times New Roman"/>
                <w:color w:val="000000"/>
                <w:sz w:val="18"/>
                <w:szCs w:val="18"/>
              </w:rPr>
              <w:t>44,8</w:t>
            </w:r>
          </w:p>
        </w:tc>
        <w:tc>
          <w:tcPr>
            <w:tcW w:w="56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FE24E1B" w14:textId="77777777" w:rsidR="003B5B5D" w:rsidRDefault="003B5B5D" w:rsidP="004F3BB9">
            <w:pPr>
              <w:spacing w:after="0" w:line="240" w:lineRule="auto"/>
              <w:ind w:right="20" w:firstLine="0"/>
              <w:rPr>
                <w:rFonts w:eastAsia="Times New Roman" w:cs="Times New Roman"/>
                <w:sz w:val="18"/>
                <w:szCs w:val="18"/>
              </w:rPr>
            </w:pPr>
            <w:r>
              <w:rPr>
                <w:rFonts w:eastAsia="Times New Roman" w:cs="Times New Roman"/>
                <w:color w:val="000000"/>
                <w:sz w:val="18"/>
                <w:szCs w:val="18"/>
              </w:rPr>
              <w:t>42,3</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7DB2D57" w14:textId="77777777" w:rsidR="003B5B5D" w:rsidRDefault="003B5B5D" w:rsidP="004F3BB9">
            <w:pPr>
              <w:spacing w:after="0" w:line="240" w:lineRule="auto"/>
              <w:ind w:right="40" w:firstLine="0"/>
              <w:rPr>
                <w:rFonts w:eastAsia="Times New Roman" w:cs="Times New Roman"/>
                <w:sz w:val="18"/>
                <w:szCs w:val="18"/>
              </w:rPr>
            </w:pPr>
            <w:r>
              <w:rPr>
                <w:rFonts w:eastAsia="Times New Roman" w:cs="Times New Roman"/>
                <w:color w:val="000000"/>
                <w:sz w:val="18"/>
                <w:szCs w:val="18"/>
              </w:rPr>
              <w:t>41,9</w:t>
            </w:r>
          </w:p>
        </w:tc>
        <w:tc>
          <w:tcPr>
            <w:tcW w:w="663"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E6719AD" w14:textId="77777777" w:rsidR="003B5B5D" w:rsidRDefault="003B5B5D" w:rsidP="004F3BB9">
            <w:pPr>
              <w:spacing w:after="0" w:line="240" w:lineRule="auto"/>
              <w:ind w:firstLine="0"/>
              <w:rPr>
                <w:rFonts w:eastAsia="Times New Roman" w:cs="Times New Roman"/>
                <w:sz w:val="18"/>
                <w:szCs w:val="18"/>
              </w:rPr>
            </w:pPr>
            <w:r>
              <w:rPr>
                <w:rFonts w:eastAsia="Times New Roman" w:cs="Times New Roman"/>
                <w:color w:val="000000"/>
                <w:sz w:val="18"/>
                <w:szCs w:val="18"/>
              </w:rPr>
              <w:t>36,3</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450EF17" w14:textId="77777777" w:rsidR="003B5B5D" w:rsidRDefault="003B5B5D" w:rsidP="004F3BB9">
            <w:pPr>
              <w:spacing w:after="0" w:line="240" w:lineRule="auto"/>
              <w:ind w:right="40" w:firstLine="0"/>
              <w:rPr>
                <w:rFonts w:eastAsia="Times New Roman" w:cs="Times New Roman"/>
                <w:sz w:val="18"/>
                <w:szCs w:val="18"/>
              </w:rPr>
            </w:pPr>
            <w:r>
              <w:rPr>
                <w:rFonts w:eastAsia="Times New Roman" w:cs="Times New Roman"/>
                <w:color w:val="000000"/>
                <w:sz w:val="18"/>
                <w:szCs w:val="18"/>
              </w:rPr>
              <w:t>44,0</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FF13F1E" w14:textId="77777777" w:rsidR="003B5B5D" w:rsidRDefault="003B5B5D" w:rsidP="004F3BB9">
            <w:pPr>
              <w:spacing w:after="0" w:line="240" w:lineRule="auto"/>
              <w:ind w:right="40" w:firstLine="0"/>
              <w:rPr>
                <w:rFonts w:eastAsia="Times New Roman" w:cs="Times New Roman"/>
                <w:sz w:val="18"/>
                <w:szCs w:val="18"/>
              </w:rPr>
            </w:pPr>
            <w:r>
              <w:rPr>
                <w:rFonts w:eastAsia="Times New Roman" w:cs="Times New Roman"/>
                <w:color w:val="000000"/>
                <w:sz w:val="18"/>
                <w:szCs w:val="18"/>
              </w:rPr>
              <w:t>44,4</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50F1BBE" w14:textId="77777777" w:rsidR="003B5B5D" w:rsidRDefault="003B5B5D" w:rsidP="004F3BB9">
            <w:pPr>
              <w:spacing w:after="0" w:line="240" w:lineRule="auto"/>
              <w:ind w:right="40" w:firstLine="0"/>
              <w:rPr>
                <w:rFonts w:eastAsia="Times New Roman" w:cs="Times New Roman"/>
                <w:sz w:val="18"/>
                <w:szCs w:val="18"/>
              </w:rPr>
            </w:pPr>
            <w:r>
              <w:rPr>
                <w:rFonts w:eastAsia="Times New Roman" w:cs="Times New Roman"/>
                <w:color w:val="000000"/>
                <w:sz w:val="18"/>
                <w:szCs w:val="18"/>
              </w:rPr>
              <w:t>41,5</w:t>
            </w:r>
          </w:p>
        </w:tc>
        <w:tc>
          <w:tcPr>
            <w:tcW w:w="59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FA82A8E" w14:textId="77777777" w:rsidR="003B5B5D" w:rsidRDefault="003B5B5D" w:rsidP="004F3BB9">
            <w:pPr>
              <w:spacing w:after="0" w:line="240" w:lineRule="auto"/>
              <w:ind w:right="20" w:firstLine="0"/>
              <w:rPr>
                <w:rFonts w:eastAsia="Times New Roman" w:cs="Times New Roman"/>
                <w:sz w:val="18"/>
                <w:szCs w:val="18"/>
              </w:rPr>
            </w:pPr>
            <w:r>
              <w:rPr>
                <w:rFonts w:eastAsia="Times New Roman" w:cs="Times New Roman"/>
                <w:color w:val="000000"/>
                <w:sz w:val="18"/>
                <w:szCs w:val="18"/>
              </w:rPr>
              <w:t>41,1</w:t>
            </w:r>
          </w:p>
        </w:tc>
        <w:tc>
          <w:tcPr>
            <w:tcW w:w="70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1755DF5" w14:textId="77777777" w:rsidR="003B5B5D" w:rsidRDefault="003B5B5D" w:rsidP="004F3BB9">
            <w:pPr>
              <w:spacing w:after="0" w:line="240" w:lineRule="auto"/>
              <w:ind w:right="-5" w:firstLine="0"/>
              <w:rPr>
                <w:rFonts w:eastAsia="Times New Roman" w:cs="Times New Roman"/>
                <w:sz w:val="18"/>
                <w:szCs w:val="18"/>
              </w:rPr>
            </w:pPr>
            <w:r>
              <w:rPr>
                <w:rFonts w:eastAsia="Times New Roman" w:cs="Times New Roman"/>
                <w:color w:val="000000"/>
                <w:sz w:val="18"/>
                <w:szCs w:val="18"/>
              </w:rPr>
              <w:t>468,0</w:t>
            </w:r>
          </w:p>
        </w:tc>
      </w:tr>
      <w:tr w:rsidR="003B5B5D" w14:paraId="213E9828" w14:textId="77777777" w:rsidTr="004F3BB9">
        <w:trPr>
          <w:trHeight w:val="484"/>
        </w:trPr>
        <w:tc>
          <w:tcPr>
            <w:tcW w:w="127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2A5E471" w14:textId="327944C9" w:rsidR="003B5B5D" w:rsidRDefault="003B5B5D" w:rsidP="003B5B5D">
            <w:pPr>
              <w:spacing w:after="0" w:line="240" w:lineRule="auto"/>
              <w:ind w:right="60" w:firstLine="0"/>
              <w:rPr>
                <w:rFonts w:eastAsia="Times New Roman" w:cs="Times New Roman"/>
              </w:rPr>
            </w:pPr>
            <w:r>
              <w:rPr>
                <w:rFonts w:eastAsia="Times New Roman" w:cs="Times New Roman"/>
                <w:color w:val="000000"/>
                <w:sz w:val="20"/>
                <w:szCs w:val="20"/>
              </w:rPr>
              <w:t>Gura Portiței</w:t>
            </w:r>
          </w:p>
        </w:tc>
        <w:tc>
          <w:tcPr>
            <w:tcW w:w="57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13975EE" w14:textId="77777777" w:rsidR="003B5B5D" w:rsidRDefault="003B5B5D" w:rsidP="004F3BB9">
            <w:pPr>
              <w:spacing w:after="0" w:line="240" w:lineRule="auto"/>
              <w:ind w:right="20" w:firstLine="0"/>
              <w:rPr>
                <w:rFonts w:eastAsia="Times New Roman" w:cs="Times New Roman"/>
                <w:sz w:val="18"/>
                <w:szCs w:val="18"/>
              </w:rPr>
            </w:pPr>
            <w:r>
              <w:rPr>
                <w:rFonts w:eastAsia="Times New Roman" w:cs="Times New Roman"/>
                <w:color w:val="000000"/>
                <w:sz w:val="18"/>
                <w:szCs w:val="18"/>
              </w:rPr>
              <w:t>24,1</w:t>
            </w:r>
          </w:p>
        </w:tc>
        <w:tc>
          <w:tcPr>
            <w:tcW w:w="568"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46DEBC1" w14:textId="77777777" w:rsidR="003B5B5D" w:rsidRDefault="003B5B5D" w:rsidP="004F3BB9">
            <w:pPr>
              <w:spacing w:after="0" w:line="240" w:lineRule="auto"/>
              <w:ind w:right="20" w:firstLine="0"/>
              <w:rPr>
                <w:rFonts w:eastAsia="Times New Roman" w:cs="Times New Roman"/>
                <w:sz w:val="18"/>
                <w:szCs w:val="18"/>
              </w:rPr>
            </w:pPr>
            <w:r>
              <w:rPr>
                <w:rFonts w:eastAsia="Times New Roman" w:cs="Times New Roman"/>
                <w:color w:val="000000"/>
                <w:sz w:val="18"/>
                <w:szCs w:val="18"/>
              </w:rPr>
              <w:t>20,3</w:t>
            </w:r>
          </w:p>
        </w:tc>
        <w:tc>
          <w:tcPr>
            <w:tcW w:w="588"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7F9F8BF" w14:textId="77777777" w:rsidR="003B5B5D" w:rsidRDefault="003B5B5D" w:rsidP="004F3BB9">
            <w:pPr>
              <w:spacing w:after="0" w:line="240" w:lineRule="auto"/>
              <w:ind w:right="40" w:firstLine="0"/>
              <w:rPr>
                <w:rFonts w:eastAsia="Times New Roman" w:cs="Times New Roman"/>
                <w:sz w:val="18"/>
                <w:szCs w:val="18"/>
              </w:rPr>
            </w:pPr>
            <w:r>
              <w:rPr>
                <w:rFonts w:eastAsia="Times New Roman" w:cs="Times New Roman"/>
                <w:color w:val="000000"/>
                <w:sz w:val="18"/>
                <w:szCs w:val="18"/>
              </w:rPr>
              <w:t>25,9</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BC88E1E" w14:textId="77777777" w:rsidR="003B5B5D" w:rsidRDefault="003B5B5D" w:rsidP="004F3BB9">
            <w:pPr>
              <w:spacing w:after="0" w:line="240" w:lineRule="auto"/>
              <w:ind w:right="40" w:firstLine="0"/>
              <w:rPr>
                <w:rFonts w:eastAsia="Times New Roman" w:cs="Times New Roman"/>
                <w:sz w:val="18"/>
                <w:szCs w:val="18"/>
              </w:rPr>
            </w:pPr>
            <w:r>
              <w:rPr>
                <w:rFonts w:eastAsia="Times New Roman" w:cs="Times New Roman"/>
                <w:color w:val="000000"/>
                <w:sz w:val="18"/>
                <w:szCs w:val="18"/>
              </w:rPr>
              <w:t>27,7</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800E512" w14:textId="77777777" w:rsidR="003B5B5D" w:rsidRDefault="003B5B5D" w:rsidP="004F3BB9">
            <w:pPr>
              <w:spacing w:after="0" w:line="240" w:lineRule="auto"/>
              <w:ind w:right="40" w:firstLine="0"/>
              <w:rPr>
                <w:rFonts w:eastAsia="Times New Roman" w:cs="Times New Roman"/>
                <w:sz w:val="18"/>
                <w:szCs w:val="18"/>
              </w:rPr>
            </w:pPr>
            <w:r>
              <w:rPr>
                <w:rFonts w:eastAsia="Times New Roman" w:cs="Times New Roman"/>
                <w:color w:val="000000"/>
                <w:sz w:val="18"/>
                <w:szCs w:val="18"/>
              </w:rPr>
              <w:t>32,9</w:t>
            </w:r>
          </w:p>
        </w:tc>
        <w:tc>
          <w:tcPr>
            <w:tcW w:w="56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560CB03" w14:textId="77777777" w:rsidR="003B5B5D" w:rsidRDefault="003B5B5D" w:rsidP="004F3BB9">
            <w:pPr>
              <w:spacing w:after="0" w:line="240" w:lineRule="auto"/>
              <w:ind w:right="20" w:firstLine="0"/>
              <w:rPr>
                <w:rFonts w:eastAsia="Times New Roman" w:cs="Times New Roman"/>
                <w:sz w:val="18"/>
                <w:szCs w:val="18"/>
              </w:rPr>
            </w:pPr>
            <w:r>
              <w:rPr>
                <w:rFonts w:eastAsia="Times New Roman" w:cs="Times New Roman"/>
                <w:color w:val="000000"/>
                <w:sz w:val="18"/>
                <w:szCs w:val="18"/>
              </w:rPr>
              <w:t>35,2</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D592C5F" w14:textId="77777777" w:rsidR="003B5B5D" w:rsidRDefault="003B5B5D" w:rsidP="004F3BB9">
            <w:pPr>
              <w:spacing w:after="0" w:line="240" w:lineRule="auto"/>
              <w:ind w:right="20" w:firstLine="0"/>
              <w:rPr>
                <w:rFonts w:eastAsia="Times New Roman" w:cs="Times New Roman"/>
                <w:sz w:val="18"/>
                <w:szCs w:val="18"/>
              </w:rPr>
            </w:pPr>
            <w:r>
              <w:rPr>
                <w:rFonts w:eastAsia="Times New Roman" w:cs="Times New Roman"/>
                <w:color w:val="000000"/>
                <w:sz w:val="18"/>
                <w:szCs w:val="18"/>
              </w:rPr>
              <w:t>26,3</w:t>
            </w:r>
          </w:p>
        </w:tc>
        <w:tc>
          <w:tcPr>
            <w:tcW w:w="663"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1082322" w14:textId="77777777" w:rsidR="003B5B5D" w:rsidRDefault="003B5B5D" w:rsidP="004F3BB9">
            <w:pPr>
              <w:spacing w:after="0" w:line="240" w:lineRule="auto"/>
              <w:ind w:firstLine="0"/>
              <w:rPr>
                <w:rFonts w:eastAsia="Times New Roman" w:cs="Times New Roman"/>
                <w:sz w:val="18"/>
                <w:szCs w:val="18"/>
              </w:rPr>
            </w:pPr>
            <w:r>
              <w:rPr>
                <w:rFonts w:eastAsia="Times New Roman" w:cs="Times New Roman"/>
                <w:color w:val="000000"/>
                <w:sz w:val="18"/>
                <w:szCs w:val="18"/>
              </w:rPr>
              <w:t>28,3</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038BB66" w14:textId="77777777" w:rsidR="003B5B5D" w:rsidRDefault="003B5B5D" w:rsidP="004F3BB9">
            <w:pPr>
              <w:spacing w:after="0" w:line="240" w:lineRule="auto"/>
              <w:ind w:right="40" w:firstLine="0"/>
              <w:rPr>
                <w:rFonts w:eastAsia="Times New Roman" w:cs="Times New Roman"/>
                <w:sz w:val="18"/>
                <w:szCs w:val="18"/>
              </w:rPr>
            </w:pPr>
            <w:r>
              <w:rPr>
                <w:rFonts w:eastAsia="Times New Roman" w:cs="Times New Roman"/>
                <w:color w:val="000000"/>
                <w:sz w:val="18"/>
                <w:szCs w:val="18"/>
              </w:rPr>
              <w:t>37,6</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B7A0F31" w14:textId="77777777" w:rsidR="003B5B5D" w:rsidRDefault="003B5B5D" w:rsidP="004F3BB9">
            <w:pPr>
              <w:spacing w:after="0" w:line="240" w:lineRule="auto"/>
              <w:ind w:right="40" w:firstLine="0"/>
              <w:rPr>
                <w:rFonts w:eastAsia="Times New Roman" w:cs="Times New Roman"/>
                <w:sz w:val="18"/>
                <w:szCs w:val="18"/>
              </w:rPr>
            </w:pPr>
            <w:r>
              <w:rPr>
                <w:rFonts w:eastAsia="Times New Roman" w:cs="Times New Roman"/>
                <w:color w:val="000000"/>
                <w:sz w:val="18"/>
                <w:szCs w:val="18"/>
              </w:rPr>
              <w:t>40,3</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4A5D486" w14:textId="77777777" w:rsidR="003B5B5D" w:rsidRDefault="003B5B5D" w:rsidP="004F3BB9">
            <w:pPr>
              <w:spacing w:after="0" w:line="240" w:lineRule="auto"/>
              <w:ind w:right="40" w:firstLine="0"/>
              <w:rPr>
                <w:rFonts w:eastAsia="Times New Roman" w:cs="Times New Roman"/>
                <w:sz w:val="18"/>
                <w:szCs w:val="18"/>
              </w:rPr>
            </w:pPr>
            <w:r>
              <w:rPr>
                <w:rFonts w:eastAsia="Times New Roman" w:cs="Times New Roman"/>
                <w:color w:val="000000"/>
                <w:sz w:val="18"/>
                <w:szCs w:val="18"/>
              </w:rPr>
              <w:t>37,6</w:t>
            </w:r>
          </w:p>
        </w:tc>
        <w:tc>
          <w:tcPr>
            <w:tcW w:w="59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8D6C6C3" w14:textId="77777777" w:rsidR="003B5B5D" w:rsidRDefault="003B5B5D" w:rsidP="004F3BB9">
            <w:pPr>
              <w:spacing w:after="0" w:line="240" w:lineRule="auto"/>
              <w:ind w:right="20" w:firstLine="0"/>
              <w:rPr>
                <w:rFonts w:eastAsia="Times New Roman" w:cs="Times New Roman"/>
                <w:sz w:val="18"/>
                <w:szCs w:val="18"/>
              </w:rPr>
            </w:pPr>
            <w:r>
              <w:rPr>
                <w:rFonts w:eastAsia="Times New Roman" w:cs="Times New Roman"/>
                <w:color w:val="000000"/>
                <w:sz w:val="18"/>
                <w:szCs w:val="18"/>
              </w:rPr>
              <w:t>35,4</w:t>
            </w:r>
          </w:p>
        </w:tc>
        <w:tc>
          <w:tcPr>
            <w:tcW w:w="70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293F584" w14:textId="77777777" w:rsidR="003B5B5D" w:rsidRDefault="003B5B5D" w:rsidP="004F3BB9">
            <w:pPr>
              <w:spacing w:after="0" w:line="240" w:lineRule="auto"/>
              <w:ind w:right="-5" w:firstLine="0"/>
              <w:rPr>
                <w:rFonts w:eastAsia="Times New Roman" w:cs="Times New Roman"/>
                <w:sz w:val="18"/>
                <w:szCs w:val="18"/>
              </w:rPr>
            </w:pPr>
            <w:r>
              <w:rPr>
                <w:rFonts w:eastAsia="Times New Roman" w:cs="Times New Roman"/>
                <w:color w:val="000000"/>
                <w:sz w:val="18"/>
                <w:szCs w:val="18"/>
              </w:rPr>
              <w:t>372,1</w:t>
            </w:r>
          </w:p>
        </w:tc>
      </w:tr>
      <w:tr w:rsidR="003B5B5D" w14:paraId="53000FFD" w14:textId="77777777" w:rsidTr="004F3BB9">
        <w:trPr>
          <w:trHeight w:val="366"/>
        </w:trPr>
        <w:tc>
          <w:tcPr>
            <w:tcW w:w="127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95FE9C7" w14:textId="77777777" w:rsidR="003B5B5D" w:rsidRDefault="003B5B5D" w:rsidP="003B5B5D">
            <w:pPr>
              <w:spacing w:after="0" w:line="240" w:lineRule="auto"/>
              <w:ind w:right="60" w:firstLine="0"/>
              <w:rPr>
                <w:rFonts w:eastAsia="Times New Roman" w:cs="Times New Roman"/>
              </w:rPr>
            </w:pPr>
            <w:r>
              <w:rPr>
                <w:rFonts w:eastAsia="Times New Roman" w:cs="Times New Roman"/>
                <w:color w:val="000000"/>
                <w:sz w:val="20"/>
                <w:szCs w:val="20"/>
              </w:rPr>
              <w:t>Jurilovca</w:t>
            </w:r>
          </w:p>
        </w:tc>
        <w:tc>
          <w:tcPr>
            <w:tcW w:w="57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F9880C9" w14:textId="77777777" w:rsidR="003B5B5D" w:rsidRDefault="003B5B5D" w:rsidP="004F3BB9">
            <w:pPr>
              <w:spacing w:after="0" w:line="240" w:lineRule="auto"/>
              <w:ind w:right="20" w:firstLine="0"/>
              <w:rPr>
                <w:rFonts w:eastAsia="Times New Roman" w:cs="Times New Roman"/>
                <w:sz w:val="18"/>
                <w:szCs w:val="18"/>
              </w:rPr>
            </w:pPr>
            <w:r>
              <w:rPr>
                <w:rFonts w:eastAsia="Times New Roman" w:cs="Times New Roman"/>
                <w:color w:val="000000"/>
                <w:sz w:val="18"/>
                <w:szCs w:val="18"/>
              </w:rPr>
              <w:t>25,6</w:t>
            </w:r>
          </w:p>
        </w:tc>
        <w:tc>
          <w:tcPr>
            <w:tcW w:w="568"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89184D9" w14:textId="77777777" w:rsidR="003B5B5D" w:rsidRDefault="003B5B5D" w:rsidP="004F3BB9">
            <w:pPr>
              <w:spacing w:after="0" w:line="240" w:lineRule="auto"/>
              <w:ind w:firstLine="0"/>
              <w:rPr>
                <w:rFonts w:eastAsia="Times New Roman" w:cs="Times New Roman"/>
                <w:sz w:val="18"/>
                <w:szCs w:val="18"/>
              </w:rPr>
            </w:pPr>
            <w:r>
              <w:rPr>
                <w:rFonts w:eastAsia="Times New Roman" w:cs="Times New Roman"/>
                <w:color w:val="000000"/>
                <w:sz w:val="18"/>
                <w:szCs w:val="18"/>
              </w:rPr>
              <w:t>20,9</w:t>
            </w:r>
          </w:p>
        </w:tc>
        <w:tc>
          <w:tcPr>
            <w:tcW w:w="588"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1A24CFB" w14:textId="77777777" w:rsidR="003B5B5D" w:rsidRDefault="003B5B5D" w:rsidP="004F3BB9">
            <w:pPr>
              <w:spacing w:after="0" w:line="240" w:lineRule="auto"/>
              <w:ind w:right="40" w:firstLine="0"/>
              <w:rPr>
                <w:rFonts w:eastAsia="Times New Roman" w:cs="Times New Roman"/>
                <w:sz w:val="18"/>
                <w:szCs w:val="18"/>
              </w:rPr>
            </w:pPr>
            <w:r>
              <w:rPr>
                <w:rFonts w:eastAsia="Times New Roman" w:cs="Times New Roman"/>
                <w:color w:val="000000"/>
                <w:sz w:val="18"/>
                <w:szCs w:val="18"/>
              </w:rPr>
              <w:t>25,7</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A6FEBFD" w14:textId="77777777" w:rsidR="003B5B5D" w:rsidRDefault="003B5B5D" w:rsidP="004F3BB9">
            <w:pPr>
              <w:spacing w:after="0" w:line="240" w:lineRule="auto"/>
              <w:ind w:firstLine="0"/>
              <w:rPr>
                <w:rFonts w:eastAsia="Times New Roman" w:cs="Times New Roman"/>
                <w:sz w:val="18"/>
                <w:szCs w:val="18"/>
              </w:rPr>
            </w:pPr>
            <w:r>
              <w:rPr>
                <w:rFonts w:eastAsia="Times New Roman" w:cs="Times New Roman"/>
                <w:color w:val="000000"/>
                <w:sz w:val="18"/>
                <w:szCs w:val="18"/>
              </w:rPr>
              <w:t>29,4</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2BD023B" w14:textId="77777777" w:rsidR="003B5B5D" w:rsidRDefault="003B5B5D" w:rsidP="004F3BB9">
            <w:pPr>
              <w:spacing w:after="0" w:line="240" w:lineRule="auto"/>
              <w:ind w:right="20" w:firstLine="0"/>
              <w:rPr>
                <w:rFonts w:eastAsia="Times New Roman" w:cs="Times New Roman"/>
                <w:sz w:val="18"/>
                <w:szCs w:val="18"/>
              </w:rPr>
            </w:pPr>
            <w:r>
              <w:rPr>
                <w:rFonts w:eastAsia="Times New Roman" w:cs="Times New Roman"/>
                <w:color w:val="000000"/>
                <w:sz w:val="18"/>
                <w:szCs w:val="18"/>
              </w:rPr>
              <w:t>36,0</w:t>
            </w:r>
          </w:p>
        </w:tc>
        <w:tc>
          <w:tcPr>
            <w:tcW w:w="56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80B698D" w14:textId="77777777" w:rsidR="003B5B5D" w:rsidRDefault="003B5B5D" w:rsidP="004F3BB9">
            <w:pPr>
              <w:spacing w:after="0" w:line="240" w:lineRule="auto"/>
              <w:ind w:right="20" w:firstLine="0"/>
              <w:rPr>
                <w:rFonts w:eastAsia="Times New Roman" w:cs="Times New Roman"/>
                <w:sz w:val="18"/>
                <w:szCs w:val="18"/>
              </w:rPr>
            </w:pPr>
            <w:r>
              <w:rPr>
                <w:rFonts w:eastAsia="Times New Roman" w:cs="Times New Roman"/>
                <w:color w:val="000000"/>
                <w:sz w:val="18"/>
                <w:szCs w:val="18"/>
              </w:rPr>
              <w:t>45,0</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8DD1114" w14:textId="77777777" w:rsidR="003B5B5D" w:rsidRDefault="003B5B5D" w:rsidP="004F3BB9">
            <w:pPr>
              <w:spacing w:after="0" w:line="240" w:lineRule="auto"/>
              <w:ind w:right="20" w:firstLine="0"/>
              <w:rPr>
                <w:rFonts w:eastAsia="Times New Roman" w:cs="Times New Roman"/>
                <w:sz w:val="18"/>
                <w:szCs w:val="18"/>
              </w:rPr>
            </w:pPr>
            <w:r>
              <w:rPr>
                <w:rFonts w:eastAsia="Times New Roman" w:cs="Times New Roman"/>
                <w:color w:val="000000"/>
                <w:sz w:val="18"/>
                <w:szCs w:val="18"/>
              </w:rPr>
              <w:t>32,9</w:t>
            </w:r>
          </w:p>
        </w:tc>
        <w:tc>
          <w:tcPr>
            <w:tcW w:w="663"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3E4F159" w14:textId="77777777" w:rsidR="003B5B5D" w:rsidRDefault="003B5B5D" w:rsidP="004F3BB9">
            <w:pPr>
              <w:spacing w:after="0" w:line="240" w:lineRule="auto"/>
              <w:ind w:firstLine="0"/>
              <w:rPr>
                <w:rFonts w:eastAsia="Times New Roman" w:cs="Times New Roman"/>
                <w:sz w:val="18"/>
                <w:szCs w:val="18"/>
              </w:rPr>
            </w:pPr>
            <w:r>
              <w:rPr>
                <w:rFonts w:eastAsia="Times New Roman" w:cs="Times New Roman"/>
                <w:color w:val="000000"/>
                <w:sz w:val="18"/>
                <w:szCs w:val="18"/>
              </w:rPr>
              <w:t>30,1</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10BCF4E" w14:textId="77777777" w:rsidR="003B5B5D" w:rsidRDefault="003B5B5D" w:rsidP="004F3BB9">
            <w:pPr>
              <w:spacing w:after="0" w:line="240" w:lineRule="auto"/>
              <w:ind w:right="40" w:firstLine="0"/>
              <w:rPr>
                <w:rFonts w:eastAsia="Times New Roman" w:cs="Times New Roman"/>
                <w:sz w:val="18"/>
                <w:szCs w:val="18"/>
              </w:rPr>
            </w:pPr>
            <w:r>
              <w:rPr>
                <w:rFonts w:eastAsia="Times New Roman" w:cs="Times New Roman"/>
                <w:color w:val="000000"/>
                <w:sz w:val="18"/>
                <w:szCs w:val="18"/>
              </w:rPr>
              <w:t>38,5</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D1CB35B" w14:textId="77777777" w:rsidR="003B5B5D" w:rsidRDefault="003B5B5D" w:rsidP="004F3BB9">
            <w:pPr>
              <w:spacing w:after="0" w:line="240" w:lineRule="auto"/>
              <w:ind w:right="40" w:firstLine="0"/>
              <w:rPr>
                <w:rFonts w:eastAsia="Times New Roman" w:cs="Times New Roman"/>
                <w:sz w:val="18"/>
                <w:szCs w:val="18"/>
              </w:rPr>
            </w:pPr>
            <w:r>
              <w:rPr>
                <w:rFonts w:eastAsia="Times New Roman" w:cs="Times New Roman"/>
                <w:color w:val="000000"/>
                <w:sz w:val="18"/>
                <w:szCs w:val="18"/>
              </w:rPr>
              <w:t>32,9</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119A9F6" w14:textId="77777777" w:rsidR="003B5B5D" w:rsidRDefault="003B5B5D" w:rsidP="004F3BB9">
            <w:pPr>
              <w:spacing w:after="0" w:line="240" w:lineRule="auto"/>
              <w:ind w:right="40" w:firstLine="0"/>
              <w:rPr>
                <w:rFonts w:eastAsia="Times New Roman" w:cs="Times New Roman"/>
                <w:sz w:val="18"/>
                <w:szCs w:val="18"/>
              </w:rPr>
            </w:pPr>
            <w:r>
              <w:rPr>
                <w:rFonts w:eastAsia="Times New Roman" w:cs="Times New Roman"/>
                <w:color w:val="000000"/>
                <w:sz w:val="18"/>
                <w:szCs w:val="18"/>
              </w:rPr>
              <w:t>32,6</w:t>
            </w:r>
          </w:p>
        </w:tc>
        <w:tc>
          <w:tcPr>
            <w:tcW w:w="59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09A1E9A" w14:textId="77777777" w:rsidR="003B5B5D" w:rsidRDefault="003B5B5D" w:rsidP="004F3BB9">
            <w:pPr>
              <w:spacing w:after="0" w:line="240" w:lineRule="auto"/>
              <w:ind w:right="20" w:firstLine="0"/>
              <w:rPr>
                <w:rFonts w:eastAsia="Times New Roman" w:cs="Times New Roman"/>
                <w:sz w:val="18"/>
                <w:szCs w:val="18"/>
              </w:rPr>
            </w:pPr>
            <w:r>
              <w:rPr>
                <w:rFonts w:eastAsia="Times New Roman" w:cs="Times New Roman"/>
                <w:color w:val="000000"/>
                <w:sz w:val="18"/>
                <w:szCs w:val="18"/>
              </w:rPr>
              <w:t>30,6</w:t>
            </w:r>
          </w:p>
        </w:tc>
        <w:tc>
          <w:tcPr>
            <w:tcW w:w="70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394EACA" w14:textId="77777777" w:rsidR="003B5B5D" w:rsidRDefault="003B5B5D" w:rsidP="004F3BB9">
            <w:pPr>
              <w:spacing w:after="0" w:line="240" w:lineRule="auto"/>
              <w:ind w:right="-5" w:firstLine="0"/>
              <w:rPr>
                <w:rFonts w:eastAsia="Times New Roman" w:cs="Times New Roman"/>
                <w:sz w:val="18"/>
                <w:szCs w:val="18"/>
              </w:rPr>
            </w:pPr>
            <w:r>
              <w:rPr>
                <w:rFonts w:eastAsia="Times New Roman" w:cs="Times New Roman"/>
                <w:color w:val="000000"/>
                <w:sz w:val="18"/>
                <w:szCs w:val="18"/>
              </w:rPr>
              <w:t>361,6</w:t>
            </w:r>
          </w:p>
        </w:tc>
      </w:tr>
      <w:tr w:rsidR="003B5B5D" w14:paraId="5C8F7188" w14:textId="77777777" w:rsidTr="004F3BB9">
        <w:trPr>
          <w:trHeight w:val="346"/>
        </w:trPr>
        <w:tc>
          <w:tcPr>
            <w:tcW w:w="127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4723720" w14:textId="77777777" w:rsidR="003B5B5D" w:rsidRDefault="003B5B5D" w:rsidP="003B5B5D">
            <w:pPr>
              <w:spacing w:after="0" w:line="240" w:lineRule="auto"/>
              <w:ind w:right="60" w:firstLine="0"/>
              <w:rPr>
                <w:rFonts w:eastAsia="Times New Roman" w:cs="Times New Roman"/>
              </w:rPr>
            </w:pPr>
            <w:r>
              <w:rPr>
                <w:rFonts w:eastAsia="Times New Roman" w:cs="Times New Roman"/>
                <w:color w:val="000000"/>
                <w:sz w:val="20"/>
                <w:szCs w:val="20"/>
              </w:rPr>
              <w:t>Mangalia</w:t>
            </w:r>
          </w:p>
        </w:tc>
        <w:tc>
          <w:tcPr>
            <w:tcW w:w="57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CB994C6" w14:textId="77777777" w:rsidR="003B5B5D" w:rsidRDefault="003B5B5D" w:rsidP="004F3BB9">
            <w:pPr>
              <w:spacing w:after="0" w:line="240" w:lineRule="auto"/>
              <w:ind w:right="20" w:firstLine="0"/>
              <w:rPr>
                <w:rFonts w:eastAsia="Times New Roman" w:cs="Times New Roman"/>
                <w:sz w:val="18"/>
                <w:szCs w:val="18"/>
              </w:rPr>
            </w:pPr>
            <w:r>
              <w:rPr>
                <w:rFonts w:eastAsia="Times New Roman" w:cs="Times New Roman"/>
                <w:color w:val="000000"/>
                <w:sz w:val="18"/>
                <w:szCs w:val="18"/>
              </w:rPr>
              <w:t>37,9</w:t>
            </w:r>
          </w:p>
        </w:tc>
        <w:tc>
          <w:tcPr>
            <w:tcW w:w="568"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68D5B14" w14:textId="77777777" w:rsidR="003B5B5D" w:rsidRDefault="003B5B5D" w:rsidP="004F3BB9">
            <w:pPr>
              <w:spacing w:after="0" w:line="240" w:lineRule="auto"/>
              <w:ind w:right="20" w:firstLine="0"/>
              <w:rPr>
                <w:rFonts w:eastAsia="Times New Roman" w:cs="Times New Roman"/>
                <w:sz w:val="18"/>
                <w:szCs w:val="18"/>
              </w:rPr>
            </w:pPr>
            <w:r>
              <w:rPr>
                <w:rFonts w:eastAsia="Times New Roman" w:cs="Times New Roman"/>
                <w:color w:val="000000"/>
                <w:sz w:val="18"/>
                <w:szCs w:val="18"/>
              </w:rPr>
              <w:t>24,5</w:t>
            </w:r>
          </w:p>
        </w:tc>
        <w:tc>
          <w:tcPr>
            <w:tcW w:w="588"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7EBDE84" w14:textId="77777777" w:rsidR="003B5B5D" w:rsidRDefault="003B5B5D" w:rsidP="004F3BB9">
            <w:pPr>
              <w:spacing w:after="0" w:line="240" w:lineRule="auto"/>
              <w:ind w:right="40" w:firstLine="0"/>
              <w:rPr>
                <w:rFonts w:eastAsia="Times New Roman" w:cs="Times New Roman"/>
                <w:sz w:val="18"/>
                <w:szCs w:val="18"/>
              </w:rPr>
            </w:pPr>
            <w:r>
              <w:rPr>
                <w:rFonts w:eastAsia="Times New Roman" w:cs="Times New Roman"/>
                <w:color w:val="000000"/>
                <w:sz w:val="18"/>
                <w:szCs w:val="18"/>
              </w:rPr>
              <w:t>32,2</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EC43609" w14:textId="77777777" w:rsidR="003B5B5D" w:rsidRDefault="003B5B5D" w:rsidP="004F3BB9">
            <w:pPr>
              <w:spacing w:after="0" w:line="240" w:lineRule="auto"/>
              <w:ind w:firstLine="0"/>
              <w:rPr>
                <w:rFonts w:eastAsia="Times New Roman" w:cs="Times New Roman"/>
                <w:sz w:val="18"/>
                <w:szCs w:val="18"/>
              </w:rPr>
            </w:pPr>
            <w:r>
              <w:rPr>
                <w:rFonts w:eastAsia="Times New Roman" w:cs="Times New Roman"/>
                <w:color w:val="000000"/>
                <w:sz w:val="18"/>
                <w:szCs w:val="18"/>
              </w:rPr>
              <w:t>29,4</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859C711" w14:textId="77777777" w:rsidR="003B5B5D" w:rsidRDefault="003B5B5D" w:rsidP="004F3BB9">
            <w:pPr>
              <w:spacing w:after="0" w:line="240" w:lineRule="auto"/>
              <w:ind w:right="20" w:firstLine="0"/>
              <w:rPr>
                <w:rFonts w:eastAsia="Times New Roman" w:cs="Times New Roman"/>
                <w:sz w:val="18"/>
                <w:szCs w:val="18"/>
              </w:rPr>
            </w:pPr>
            <w:r>
              <w:rPr>
                <w:rFonts w:eastAsia="Times New Roman" w:cs="Times New Roman"/>
                <w:color w:val="000000"/>
                <w:sz w:val="18"/>
                <w:szCs w:val="18"/>
              </w:rPr>
              <w:t>42,7</w:t>
            </w:r>
          </w:p>
        </w:tc>
        <w:tc>
          <w:tcPr>
            <w:tcW w:w="56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736C22D" w14:textId="77777777" w:rsidR="003B5B5D" w:rsidRDefault="003B5B5D" w:rsidP="004F3BB9">
            <w:pPr>
              <w:spacing w:after="0" w:line="240" w:lineRule="auto"/>
              <w:ind w:right="20" w:firstLine="0"/>
              <w:rPr>
                <w:rFonts w:eastAsia="Times New Roman" w:cs="Times New Roman"/>
                <w:sz w:val="18"/>
                <w:szCs w:val="18"/>
              </w:rPr>
            </w:pPr>
            <w:r>
              <w:rPr>
                <w:rFonts w:eastAsia="Times New Roman" w:cs="Times New Roman"/>
                <w:color w:val="000000"/>
                <w:sz w:val="18"/>
                <w:szCs w:val="18"/>
              </w:rPr>
              <w:t>43,0</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AC3FA82" w14:textId="77777777" w:rsidR="003B5B5D" w:rsidRDefault="003B5B5D" w:rsidP="004F3BB9">
            <w:pPr>
              <w:spacing w:after="0" w:line="240" w:lineRule="auto"/>
              <w:ind w:right="20" w:firstLine="0"/>
              <w:rPr>
                <w:rFonts w:eastAsia="Times New Roman" w:cs="Times New Roman"/>
                <w:sz w:val="18"/>
                <w:szCs w:val="18"/>
              </w:rPr>
            </w:pPr>
            <w:r>
              <w:rPr>
                <w:rFonts w:eastAsia="Times New Roman" w:cs="Times New Roman"/>
                <w:color w:val="000000"/>
                <w:sz w:val="18"/>
                <w:szCs w:val="18"/>
              </w:rPr>
              <w:t>41,0</w:t>
            </w:r>
          </w:p>
        </w:tc>
        <w:tc>
          <w:tcPr>
            <w:tcW w:w="663"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B6E35FA" w14:textId="77777777" w:rsidR="003B5B5D" w:rsidRDefault="003B5B5D" w:rsidP="004F3BB9">
            <w:pPr>
              <w:spacing w:after="0" w:line="240" w:lineRule="auto"/>
              <w:ind w:firstLine="0"/>
              <w:rPr>
                <w:rFonts w:eastAsia="Times New Roman" w:cs="Times New Roman"/>
                <w:sz w:val="18"/>
                <w:szCs w:val="18"/>
              </w:rPr>
            </w:pPr>
            <w:r>
              <w:rPr>
                <w:rFonts w:eastAsia="Times New Roman" w:cs="Times New Roman"/>
                <w:color w:val="000000"/>
                <w:sz w:val="18"/>
                <w:szCs w:val="18"/>
              </w:rPr>
              <w:t>31,6</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E198F1D" w14:textId="77777777" w:rsidR="003B5B5D" w:rsidRDefault="003B5B5D" w:rsidP="004F3BB9">
            <w:pPr>
              <w:spacing w:after="0" w:line="240" w:lineRule="auto"/>
              <w:ind w:right="40" w:firstLine="0"/>
              <w:rPr>
                <w:rFonts w:eastAsia="Times New Roman" w:cs="Times New Roman"/>
                <w:sz w:val="18"/>
                <w:szCs w:val="18"/>
              </w:rPr>
            </w:pPr>
            <w:r>
              <w:rPr>
                <w:rFonts w:eastAsia="Times New Roman" w:cs="Times New Roman"/>
                <w:color w:val="000000"/>
                <w:sz w:val="18"/>
                <w:szCs w:val="18"/>
              </w:rPr>
              <w:t>58,3</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5941676" w14:textId="77777777" w:rsidR="003B5B5D" w:rsidRDefault="003B5B5D" w:rsidP="004F3BB9">
            <w:pPr>
              <w:spacing w:after="0" w:line="240" w:lineRule="auto"/>
              <w:ind w:right="40" w:firstLine="0"/>
              <w:rPr>
                <w:rFonts w:eastAsia="Times New Roman" w:cs="Times New Roman"/>
                <w:sz w:val="18"/>
                <w:szCs w:val="18"/>
              </w:rPr>
            </w:pPr>
            <w:r>
              <w:rPr>
                <w:rFonts w:eastAsia="Times New Roman" w:cs="Times New Roman"/>
                <w:color w:val="000000"/>
                <w:sz w:val="18"/>
                <w:szCs w:val="18"/>
              </w:rPr>
              <w:t>48,2</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D2E9F48" w14:textId="77777777" w:rsidR="003B5B5D" w:rsidRDefault="003B5B5D" w:rsidP="004F3BB9">
            <w:pPr>
              <w:spacing w:after="0" w:line="240" w:lineRule="auto"/>
              <w:ind w:right="20" w:firstLine="0"/>
              <w:rPr>
                <w:rFonts w:eastAsia="Times New Roman" w:cs="Times New Roman"/>
                <w:sz w:val="18"/>
                <w:szCs w:val="18"/>
              </w:rPr>
            </w:pPr>
            <w:r>
              <w:rPr>
                <w:rFonts w:eastAsia="Times New Roman" w:cs="Times New Roman"/>
                <w:color w:val="000000"/>
                <w:sz w:val="18"/>
                <w:szCs w:val="18"/>
              </w:rPr>
              <w:t>37,4</w:t>
            </w:r>
          </w:p>
        </w:tc>
        <w:tc>
          <w:tcPr>
            <w:tcW w:w="59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0A17516" w14:textId="77777777" w:rsidR="003B5B5D" w:rsidRDefault="003B5B5D" w:rsidP="004F3BB9">
            <w:pPr>
              <w:spacing w:after="0" w:line="240" w:lineRule="auto"/>
              <w:ind w:right="20" w:firstLine="0"/>
              <w:rPr>
                <w:rFonts w:eastAsia="Times New Roman" w:cs="Times New Roman"/>
                <w:sz w:val="18"/>
                <w:szCs w:val="18"/>
              </w:rPr>
            </w:pPr>
            <w:r>
              <w:rPr>
                <w:rFonts w:eastAsia="Times New Roman" w:cs="Times New Roman"/>
                <w:color w:val="000000"/>
                <w:sz w:val="18"/>
                <w:szCs w:val="18"/>
              </w:rPr>
              <w:t>37,9</w:t>
            </w:r>
          </w:p>
        </w:tc>
        <w:tc>
          <w:tcPr>
            <w:tcW w:w="70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D157DFF" w14:textId="77777777" w:rsidR="003B5B5D" w:rsidRDefault="003B5B5D" w:rsidP="004F3BB9">
            <w:pPr>
              <w:spacing w:after="0" w:line="240" w:lineRule="auto"/>
              <w:ind w:right="-5" w:firstLine="0"/>
              <w:rPr>
                <w:rFonts w:eastAsia="Times New Roman" w:cs="Times New Roman"/>
                <w:sz w:val="18"/>
                <w:szCs w:val="18"/>
              </w:rPr>
            </w:pPr>
            <w:r>
              <w:rPr>
                <w:rFonts w:eastAsia="Times New Roman" w:cs="Times New Roman"/>
                <w:color w:val="000000"/>
                <w:sz w:val="18"/>
                <w:szCs w:val="18"/>
              </w:rPr>
              <w:t>464,3</w:t>
            </w:r>
          </w:p>
        </w:tc>
      </w:tr>
      <w:tr w:rsidR="003B5B5D" w14:paraId="4DF38569" w14:textId="77777777" w:rsidTr="004F3BB9">
        <w:trPr>
          <w:trHeight w:val="368"/>
        </w:trPr>
        <w:tc>
          <w:tcPr>
            <w:tcW w:w="127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6035CB4" w14:textId="77777777" w:rsidR="003B5B5D" w:rsidRDefault="003B5B5D" w:rsidP="004F3BB9">
            <w:pPr>
              <w:spacing w:after="0" w:line="240" w:lineRule="auto"/>
              <w:ind w:firstLine="0"/>
              <w:rPr>
                <w:rFonts w:eastAsia="Times New Roman" w:cs="Times New Roman"/>
              </w:rPr>
            </w:pPr>
            <w:r>
              <w:rPr>
                <w:rFonts w:eastAsia="Times New Roman" w:cs="Times New Roman"/>
                <w:color w:val="000000"/>
                <w:sz w:val="20"/>
                <w:szCs w:val="20"/>
              </w:rPr>
              <w:t>Sf.Gheorghe </w:t>
            </w:r>
          </w:p>
        </w:tc>
        <w:tc>
          <w:tcPr>
            <w:tcW w:w="57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A082741" w14:textId="77777777" w:rsidR="003B5B5D" w:rsidRDefault="003B5B5D" w:rsidP="004F3BB9">
            <w:pPr>
              <w:spacing w:after="0" w:line="240" w:lineRule="auto"/>
              <w:ind w:firstLine="0"/>
              <w:rPr>
                <w:rFonts w:eastAsia="Times New Roman" w:cs="Times New Roman"/>
                <w:sz w:val="18"/>
                <w:szCs w:val="18"/>
              </w:rPr>
            </w:pPr>
            <w:r>
              <w:rPr>
                <w:rFonts w:eastAsia="Times New Roman" w:cs="Times New Roman"/>
                <w:color w:val="000000"/>
                <w:sz w:val="18"/>
                <w:szCs w:val="18"/>
              </w:rPr>
              <w:t>24,2</w:t>
            </w:r>
          </w:p>
        </w:tc>
        <w:tc>
          <w:tcPr>
            <w:tcW w:w="568"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5D6B57E" w14:textId="77777777" w:rsidR="003B5B5D" w:rsidRDefault="003B5B5D" w:rsidP="004F3BB9">
            <w:pPr>
              <w:spacing w:after="0" w:line="240" w:lineRule="auto"/>
              <w:ind w:firstLine="0"/>
              <w:rPr>
                <w:rFonts w:eastAsia="Times New Roman" w:cs="Times New Roman"/>
                <w:sz w:val="18"/>
                <w:szCs w:val="18"/>
              </w:rPr>
            </w:pPr>
            <w:r>
              <w:rPr>
                <w:rFonts w:eastAsia="Times New Roman" w:cs="Times New Roman"/>
                <w:color w:val="000000"/>
                <w:sz w:val="18"/>
                <w:szCs w:val="18"/>
              </w:rPr>
              <w:t>18,0</w:t>
            </w:r>
          </w:p>
        </w:tc>
        <w:tc>
          <w:tcPr>
            <w:tcW w:w="588"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8FD6431" w14:textId="77777777" w:rsidR="003B5B5D" w:rsidRDefault="003B5B5D" w:rsidP="004F3BB9">
            <w:pPr>
              <w:spacing w:after="0" w:line="240" w:lineRule="auto"/>
              <w:ind w:firstLine="0"/>
              <w:rPr>
                <w:rFonts w:eastAsia="Times New Roman" w:cs="Times New Roman"/>
                <w:sz w:val="18"/>
                <w:szCs w:val="18"/>
              </w:rPr>
            </w:pPr>
            <w:r>
              <w:rPr>
                <w:rFonts w:eastAsia="Times New Roman" w:cs="Times New Roman"/>
                <w:color w:val="000000"/>
                <w:sz w:val="18"/>
                <w:szCs w:val="18"/>
              </w:rPr>
              <w:t>21,8</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BF94EDD" w14:textId="77777777" w:rsidR="003B5B5D" w:rsidRDefault="003B5B5D" w:rsidP="004F3BB9">
            <w:pPr>
              <w:spacing w:after="0" w:line="240" w:lineRule="auto"/>
              <w:ind w:firstLine="0"/>
              <w:rPr>
                <w:rFonts w:eastAsia="Times New Roman" w:cs="Times New Roman"/>
                <w:sz w:val="18"/>
                <w:szCs w:val="18"/>
              </w:rPr>
            </w:pPr>
            <w:r>
              <w:rPr>
                <w:rFonts w:eastAsia="Times New Roman" w:cs="Times New Roman"/>
                <w:color w:val="000000"/>
                <w:sz w:val="18"/>
                <w:szCs w:val="18"/>
              </w:rPr>
              <w:t>22,9</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65374CA" w14:textId="77777777" w:rsidR="003B5B5D" w:rsidRDefault="003B5B5D" w:rsidP="004F3BB9">
            <w:pPr>
              <w:spacing w:after="0" w:line="240" w:lineRule="auto"/>
              <w:ind w:firstLine="0"/>
              <w:rPr>
                <w:rFonts w:eastAsia="Times New Roman" w:cs="Times New Roman"/>
                <w:sz w:val="18"/>
                <w:szCs w:val="18"/>
              </w:rPr>
            </w:pPr>
            <w:r>
              <w:rPr>
                <w:rFonts w:eastAsia="Times New Roman" w:cs="Times New Roman"/>
                <w:color w:val="000000"/>
                <w:sz w:val="18"/>
                <w:szCs w:val="18"/>
              </w:rPr>
              <w:t>24,2</w:t>
            </w:r>
          </w:p>
        </w:tc>
        <w:tc>
          <w:tcPr>
            <w:tcW w:w="56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AB430A3" w14:textId="77777777" w:rsidR="003B5B5D" w:rsidRDefault="003B5B5D" w:rsidP="004F3BB9">
            <w:pPr>
              <w:spacing w:after="0" w:line="240" w:lineRule="auto"/>
              <w:ind w:firstLine="0"/>
              <w:rPr>
                <w:rFonts w:eastAsia="Times New Roman" w:cs="Times New Roman"/>
                <w:sz w:val="18"/>
                <w:szCs w:val="18"/>
              </w:rPr>
            </w:pPr>
            <w:r>
              <w:rPr>
                <w:rFonts w:eastAsia="Times New Roman" w:cs="Times New Roman"/>
                <w:color w:val="000000"/>
                <w:sz w:val="18"/>
                <w:szCs w:val="18"/>
              </w:rPr>
              <w:t>29,4</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DBAD374" w14:textId="77777777" w:rsidR="003B5B5D" w:rsidRDefault="003B5B5D" w:rsidP="004F3BB9">
            <w:pPr>
              <w:spacing w:after="0" w:line="240" w:lineRule="auto"/>
              <w:ind w:firstLine="0"/>
              <w:rPr>
                <w:rFonts w:eastAsia="Times New Roman" w:cs="Times New Roman"/>
                <w:sz w:val="18"/>
                <w:szCs w:val="18"/>
              </w:rPr>
            </w:pPr>
            <w:r>
              <w:rPr>
                <w:rFonts w:eastAsia="Times New Roman" w:cs="Times New Roman"/>
                <w:color w:val="000000"/>
                <w:sz w:val="18"/>
                <w:szCs w:val="18"/>
              </w:rPr>
              <w:t>24,0</w:t>
            </w:r>
          </w:p>
        </w:tc>
        <w:tc>
          <w:tcPr>
            <w:tcW w:w="663"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34ED4BF" w14:textId="77777777" w:rsidR="003B5B5D" w:rsidRDefault="003B5B5D" w:rsidP="004F3BB9">
            <w:pPr>
              <w:spacing w:after="0" w:line="240" w:lineRule="auto"/>
              <w:ind w:firstLine="0"/>
              <w:rPr>
                <w:rFonts w:eastAsia="Times New Roman" w:cs="Times New Roman"/>
                <w:sz w:val="18"/>
                <w:szCs w:val="18"/>
              </w:rPr>
            </w:pPr>
            <w:r>
              <w:rPr>
                <w:rFonts w:eastAsia="Times New Roman" w:cs="Times New Roman"/>
                <w:color w:val="000000"/>
                <w:sz w:val="18"/>
                <w:szCs w:val="18"/>
              </w:rPr>
              <w:t>30,9</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244616E" w14:textId="77777777" w:rsidR="003B5B5D" w:rsidRDefault="003B5B5D" w:rsidP="004F3BB9">
            <w:pPr>
              <w:spacing w:after="0" w:line="240" w:lineRule="auto"/>
              <w:ind w:firstLine="0"/>
              <w:rPr>
                <w:rFonts w:eastAsia="Times New Roman" w:cs="Times New Roman"/>
                <w:sz w:val="18"/>
                <w:szCs w:val="18"/>
              </w:rPr>
            </w:pPr>
            <w:r>
              <w:rPr>
                <w:rFonts w:eastAsia="Times New Roman" w:cs="Times New Roman"/>
                <w:color w:val="000000"/>
                <w:sz w:val="18"/>
                <w:szCs w:val="18"/>
              </w:rPr>
              <w:t>38,3</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45A7BB9" w14:textId="77777777" w:rsidR="003B5B5D" w:rsidRDefault="003B5B5D" w:rsidP="004F3BB9">
            <w:pPr>
              <w:spacing w:after="0" w:line="240" w:lineRule="auto"/>
              <w:ind w:firstLine="0"/>
              <w:rPr>
                <w:rFonts w:eastAsia="Times New Roman" w:cs="Times New Roman"/>
                <w:sz w:val="18"/>
                <w:szCs w:val="18"/>
              </w:rPr>
            </w:pPr>
            <w:r>
              <w:rPr>
                <w:rFonts w:eastAsia="Times New Roman" w:cs="Times New Roman"/>
                <w:color w:val="000000"/>
                <w:sz w:val="18"/>
                <w:szCs w:val="18"/>
              </w:rPr>
              <w:t>36,6</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E493BFB" w14:textId="77777777" w:rsidR="003B5B5D" w:rsidRDefault="003B5B5D" w:rsidP="004F3BB9">
            <w:pPr>
              <w:spacing w:after="0" w:line="240" w:lineRule="auto"/>
              <w:ind w:firstLine="0"/>
              <w:rPr>
                <w:rFonts w:eastAsia="Times New Roman" w:cs="Times New Roman"/>
                <w:sz w:val="18"/>
                <w:szCs w:val="18"/>
              </w:rPr>
            </w:pPr>
            <w:r>
              <w:rPr>
                <w:rFonts w:eastAsia="Times New Roman" w:cs="Times New Roman"/>
                <w:color w:val="000000"/>
                <w:sz w:val="18"/>
                <w:szCs w:val="18"/>
              </w:rPr>
              <w:t>32,2</w:t>
            </w:r>
          </w:p>
        </w:tc>
        <w:tc>
          <w:tcPr>
            <w:tcW w:w="59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A8EC282" w14:textId="77777777" w:rsidR="003B5B5D" w:rsidRDefault="003B5B5D" w:rsidP="004F3BB9">
            <w:pPr>
              <w:spacing w:after="0" w:line="240" w:lineRule="auto"/>
              <w:ind w:firstLine="0"/>
              <w:rPr>
                <w:rFonts w:eastAsia="Times New Roman" w:cs="Times New Roman"/>
                <w:sz w:val="18"/>
                <w:szCs w:val="18"/>
              </w:rPr>
            </w:pPr>
            <w:r>
              <w:rPr>
                <w:rFonts w:eastAsia="Times New Roman" w:cs="Times New Roman"/>
                <w:color w:val="000000"/>
                <w:sz w:val="18"/>
                <w:szCs w:val="18"/>
              </w:rPr>
              <w:t>25,2</w:t>
            </w:r>
          </w:p>
        </w:tc>
        <w:tc>
          <w:tcPr>
            <w:tcW w:w="70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1C8C327" w14:textId="77777777" w:rsidR="003B5B5D" w:rsidRDefault="003B5B5D" w:rsidP="004F3BB9">
            <w:pPr>
              <w:spacing w:after="0" w:line="240" w:lineRule="auto"/>
              <w:ind w:right="-5" w:firstLine="0"/>
              <w:rPr>
                <w:rFonts w:eastAsia="Times New Roman" w:cs="Times New Roman"/>
                <w:sz w:val="18"/>
                <w:szCs w:val="18"/>
              </w:rPr>
            </w:pPr>
            <w:r>
              <w:rPr>
                <w:rFonts w:eastAsia="Times New Roman" w:cs="Times New Roman"/>
                <w:color w:val="000000"/>
                <w:sz w:val="18"/>
                <w:szCs w:val="18"/>
              </w:rPr>
              <w:t>329,8</w:t>
            </w:r>
          </w:p>
        </w:tc>
      </w:tr>
      <w:tr w:rsidR="003B5B5D" w14:paraId="5C69292D" w14:textId="77777777" w:rsidTr="004F3BB9">
        <w:trPr>
          <w:trHeight w:val="362"/>
        </w:trPr>
        <w:tc>
          <w:tcPr>
            <w:tcW w:w="127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251E99C" w14:textId="77777777" w:rsidR="003B5B5D" w:rsidRDefault="003B5B5D" w:rsidP="004F3BB9">
            <w:pPr>
              <w:spacing w:after="0" w:line="240" w:lineRule="auto"/>
              <w:ind w:right="60" w:firstLine="0"/>
              <w:rPr>
                <w:rFonts w:eastAsia="Times New Roman" w:cs="Times New Roman"/>
              </w:rPr>
            </w:pPr>
            <w:r>
              <w:rPr>
                <w:rFonts w:eastAsia="Times New Roman" w:cs="Times New Roman"/>
                <w:color w:val="000000"/>
                <w:sz w:val="20"/>
                <w:szCs w:val="20"/>
              </w:rPr>
              <w:t>Sulina</w:t>
            </w:r>
          </w:p>
        </w:tc>
        <w:tc>
          <w:tcPr>
            <w:tcW w:w="57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B7BBEB1" w14:textId="77777777" w:rsidR="003B5B5D" w:rsidRDefault="003B5B5D" w:rsidP="004F3BB9">
            <w:pPr>
              <w:spacing w:after="0" w:line="240" w:lineRule="auto"/>
              <w:ind w:right="20" w:firstLine="0"/>
              <w:rPr>
                <w:rFonts w:eastAsia="Times New Roman" w:cs="Times New Roman"/>
                <w:sz w:val="18"/>
                <w:szCs w:val="18"/>
              </w:rPr>
            </w:pPr>
            <w:r>
              <w:rPr>
                <w:rFonts w:eastAsia="Times New Roman" w:cs="Times New Roman"/>
                <w:color w:val="000000"/>
                <w:sz w:val="18"/>
                <w:szCs w:val="18"/>
              </w:rPr>
              <w:t>16,0</w:t>
            </w:r>
          </w:p>
        </w:tc>
        <w:tc>
          <w:tcPr>
            <w:tcW w:w="568"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54F6EE9" w14:textId="77777777" w:rsidR="003B5B5D" w:rsidRDefault="003B5B5D" w:rsidP="004F3BB9">
            <w:pPr>
              <w:spacing w:after="0" w:line="240" w:lineRule="auto"/>
              <w:ind w:right="20" w:firstLine="0"/>
              <w:rPr>
                <w:rFonts w:eastAsia="Times New Roman" w:cs="Times New Roman"/>
                <w:sz w:val="18"/>
                <w:szCs w:val="18"/>
              </w:rPr>
            </w:pPr>
            <w:r>
              <w:rPr>
                <w:rFonts w:eastAsia="Times New Roman" w:cs="Times New Roman"/>
                <w:color w:val="000000"/>
                <w:sz w:val="18"/>
                <w:szCs w:val="18"/>
              </w:rPr>
              <w:t>11,9</w:t>
            </w:r>
          </w:p>
        </w:tc>
        <w:tc>
          <w:tcPr>
            <w:tcW w:w="588"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35E959E" w14:textId="77777777" w:rsidR="003B5B5D" w:rsidRDefault="003B5B5D" w:rsidP="004F3BB9">
            <w:pPr>
              <w:spacing w:after="0" w:line="240" w:lineRule="auto"/>
              <w:ind w:right="20" w:firstLine="0"/>
              <w:rPr>
                <w:rFonts w:eastAsia="Times New Roman" w:cs="Times New Roman"/>
                <w:sz w:val="18"/>
                <w:szCs w:val="18"/>
              </w:rPr>
            </w:pPr>
            <w:r>
              <w:rPr>
                <w:rFonts w:eastAsia="Times New Roman" w:cs="Times New Roman"/>
                <w:color w:val="000000"/>
                <w:sz w:val="18"/>
                <w:szCs w:val="18"/>
              </w:rPr>
              <w:t>17,4</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E9EB858" w14:textId="77777777" w:rsidR="003B5B5D" w:rsidRDefault="003B5B5D" w:rsidP="004F3BB9">
            <w:pPr>
              <w:spacing w:after="0" w:line="240" w:lineRule="auto"/>
              <w:ind w:right="20" w:firstLine="0"/>
              <w:rPr>
                <w:rFonts w:eastAsia="Times New Roman" w:cs="Times New Roman"/>
                <w:sz w:val="18"/>
                <w:szCs w:val="18"/>
              </w:rPr>
            </w:pPr>
            <w:r>
              <w:rPr>
                <w:rFonts w:eastAsia="Times New Roman" w:cs="Times New Roman"/>
                <w:color w:val="000000"/>
                <w:sz w:val="18"/>
                <w:szCs w:val="18"/>
              </w:rPr>
              <w:t>14,0</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A130207" w14:textId="77777777" w:rsidR="003B5B5D" w:rsidRDefault="003B5B5D" w:rsidP="004F3BB9">
            <w:pPr>
              <w:spacing w:after="0" w:line="240" w:lineRule="auto"/>
              <w:ind w:right="20" w:firstLine="0"/>
              <w:rPr>
                <w:rFonts w:eastAsia="Times New Roman" w:cs="Times New Roman"/>
                <w:sz w:val="18"/>
                <w:szCs w:val="18"/>
              </w:rPr>
            </w:pPr>
            <w:r>
              <w:rPr>
                <w:rFonts w:eastAsia="Times New Roman" w:cs="Times New Roman"/>
                <w:color w:val="000000"/>
                <w:sz w:val="18"/>
                <w:szCs w:val="18"/>
              </w:rPr>
              <w:t>20,3</w:t>
            </w:r>
          </w:p>
        </w:tc>
        <w:tc>
          <w:tcPr>
            <w:tcW w:w="56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6419C56" w14:textId="77777777" w:rsidR="003B5B5D" w:rsidRDefault="003B5B5D" w:rsidP="004F3BB9">
            <w:pPr>
              <w:spacing w:after="0" w:line="240" w:lineRule="auto"/>
              <w:ind w:right="20" w:firstLine="0"/>
              <w:rPr>
                <w:rFonts w:eastAsia="Times New Roman" w:cs="Times New Roman"/>
                <w:sz w:val="18"/>
                <w:szCs w:val="18"/>
              </w:rPr>
            </w:pPr>
            <w:r>
              <w:rPr>
                <w:rFonts w:eastAsia="Times New Roman" w:cs="Times New Roman"/>
                <w:color w:val="000000"/>
                <w:sz w:val="18"/>
                <w:szCs w:val="18"/>
              </w:rPr>
              <w:t>28,3</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E176842" w14:textId="77777777" w:rsidR="003B5B5D" w:rsidRDefault="003B5B5D" w:rsidP="004F3BB9">
            <w:pPr>
              <w:spacing w:after="0" w:line="240" w:lineRule="auto"/>
              <w:ind w:right="20" w:firstLine="0"/>
              <w:rPr>
                <w:rFonts w:eastAsia="Times New Roman" w:cs="Times New Roman"/>
                <w:sz w:val="18"/>
                <w:szCs w:val="18"/>
              </w:rPr>
            </w:pPr>
            <w:r>
              <w:rPr>
                <w:rFonts w:eastAsia="Times New Roman" w:cs="Times New Roman"/>
                <w:color w:val="000000"/>
                <w:sz w:val="18"/>
                <w:szCs w:val="18"/>
              </w:rPr>
              <w:t>18,9</w:t>
            </w:r>
          </w:p>
        </w:tc>
        <w:tc>
          <w:tcPr>
            <w:tcW w:w="663"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3077DBA" w14:textId="77777777" w:rsidR="003B5B5D" w:rsidRDefault="003B5B5D" w:rsidP="004F3BB9">
            <w:pPr>
              <w:spacing w:after="0" w:line="240" w:lineRule="auto"/>
              <w:ind w:firstLine="0"/>
              <w:rPr>
                <w:rFonts w:eastAsia="Times New Roman" w:cs="Times New Roman"/>
                <w:sz w:val="18"/>
                <w:szCs w:val="18"/>
              </w:rPr>
            </w:pPr>
            <w:r>
              <w:rPr>
                <w:rFonts w:eastAsia="Times New Roman" w:cs="Times New Roman"/>
                <w:color w:val="000000"/>
                <w:sz w:val="18"/>
                <w:szCs w:val="18"/>
              </w:rPr>
              <w:t>23,5</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16F0290" w14:textId="77777777" w:rsidR="003B5B5D" w:rsidRDefault="003B5B5D" w:rsidP="004F3BB9">
            <w:pPr>
              <w:spacing w:after="0" w:line="240" w:lineRule="auto"/>
              <w:ind w:right="40" w:firstLine="0"/>
              <w:rPr>
                <w:rFonts w:eastAsia="Times New Roman" w:cs="Times New Roman"/>
                <w:sz w:val="18"/>
                <w:szCs w:val="18"/>
              </w:rPr>
            </w:pPr>
            <w:r>
              <w:rPr>
                <w:rFonts w:eastAsia="Times New Roman" w:cs="Times New Roman"/>
                <w:color w:val="000000"/>
                <w:sz w:val="18"/>
                <w:szCs w:val="18"/>
              </w:rPr>
              <w:t>21,5</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AC23EC8" w14:textId="77777777" w:rsidR="003B5B5D" w:rsidRDefault="003B5B5D" w:rsidP="004F3BB9">
            <w:pPr>
              <w:spacing w:after="0" w:line="240" w:lineRule="auto"/>
              <w:ind w:right="20" w:firstLine="0"/>
              <w:rPr>
                <w:rFonts w:eastAsia="Times New Roman" w:cs="Times New Roman"/>
                <w:sz w:val="18"/>
                <w:szCs w:val="18"/>
              </w:rPr>
            </w:pPr>
            <w:r>
              <w:rPr>
                <w:rFonts w:eastAsia="Times New Roman" w:cs="Times New Roman"/>
                <w:color w:val="000000"/>
                <w:sz w:val="18"/>
                <w:szCs w:val="18"/>
              </w:rPr>
              <w:t>24,3</w:t>
            </w:r>
          </w:p>
        </w:tc>
        <w:tc>
          <w:tcPr>
            <w:tcW w:w="58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8EF4ADC" w14:textId="77777777" w:rsidR="003B5B5D" w:rsidRDefault="003B5B5D" w:rsidP="004F3BB9">
            <w:pPr>
              <w:spacing w:after="0" w:line="240" w:lineRule="auto"/>
              <w:ind w:right="40" w:firstLine="0"/>
              <w:rPr>
                <w:rFonts w:eastAsia="Times New Roman" w:cs="Times New Roman"/>
                <w:sz w:val="18"/>
                <w:szCs w:val="18"/>
              </w:rPr>
            </w:pPr>
            <w:r>
              <w:rPr>
                <w:rFonts w:eastAsia="Times New Roman" w:cs="Times New Roman"/>
                <w:color w:val="000000"/>
                <w:sz w:val="18"/>
                <w:szCs w:val="18"/>
              </w:rPr>
              <w:t>22,7</w:t>
            </w:r>
          </w:p>
        </w:tc>
        <w:tc>
          <w:tcPr>
            <w:tcW w:w="59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F17A959" w14:textId="77777777" w:rsidR="003B5B5D" w:rsidRDefault="003B5B5D" w:rsidP="004F3BB9">
            <w:pPr>
              <w:spacing w:after="0" w:line="240" w:lineRule="auto"/>
              <w:ind w:right="20" w:firstLine="0"/>
              <w:rPr>
                <w:rFonts w:eastAsia="Times New Roman" w:cs="Times New Roman"/>
                <w:sz w:val="18"/>
                <w:szCs w:val="18"/>
              </w:rPr>
            </w:pPr>
            <w:r>
              <w:rPr>
                <w:rFonts w:eastAsia="Times New Roman" w:cs="Times New Roman"/>
                <w:color w:val="000000"/>
                <w:sz w:val="18"/>
                <w:szCs w:val="18"/>
              </w:rPr>
              <w:t>21,7</w:t>
            </w:r>
          </w:p>
        </w:tc>
        <w:tc>
          <w:tcPr>
            <w:tcW w:w="70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9C8837D" w14:textId="77777777" w:rsidR="003B5B5D" w:rsidRDefault="003B5B5D" w:rsidP="004F3BB9">
            <w:pPr>
              <w:spacing w:after="0" w:line="240" w:lineRule="auto"/>
              <w:ind w:right="-5" w:firstLine="0"/>
              <w:rPr>
                <w:rFonts w:eastAsia="Times New Roman" w:cs="Times New Roman"/>
                <w:sz w:val="18"/>
                <w:szCs w:val="18"/>
              </w:rPr>
            </w:pPr>
            <w:r>
              <w:rPr>
                <w:rFonts w:eastAsia="Times New Roman" w:cs="Times New Roman"/>
                <w:color w:val="000000"/>
                <w:sz w:val="18"/>
                <w:szCs w:val="18"/>
              </w:rPr>
              <w:t>240,5</w:t>
            </w:r>
          </w:p>
        </w:tc>
      </w:tr>
    </w:tbl>
    <w:p w14:paraId="248C959C" w14:textId="77777777" w:rsidR="003B5B5D" w:rsidRDefault="003B5B5D" w:rsidP="004F3BB9">
      <w:pPr>
        <w:ind w:firstLine="0"/>
        <w:rPr>
          <w:rFonts w:eastAsia="Times New Roman" w:cs="Times New Roman"/>
        </w:rPr>
      </w:pPr>
      <w:bookmarkStart w:id="57" w:name="_heading=h.3j2qqm3" w:colFirst="0" w:colLast="0"/>
      <w:bookmarkEnd w:id="57"/>
    </w:p>
    <w:p w14:paraId="40544089" w14:textId="61FF37B5" w:rsidR="003B5B5D" w:rsidRDefault="003B5B5D" w:rsidP="003B5B5D">
      <w:pPr>
        <w:ind w:firstLine="567"/>
        <w:rPr>
          <w:rFonts w:eastAsia="Times New Roman" w:cs="Times New Roman"/>
        </w:rPr>
      </w:pPr>
      <w:r>
        <w:rPr>
          <w:rFonts w:eastAsia="Times New Roman" w:cs="Times New Roman"/>
        </w:rPr>
        <w:t xml:space="preserve">Zona costieră este caracterizată prin viteze mari ale vântului datorită conexiunilor complexe stabilite între traiectoriile furtunilor venite din Atlantic, activitatea de ciclogeneza din bazinul Mării Mediterane și circulația atmosferică din bazinul Mării Negre. Un alt motiv al acestor valori mari ale vitezei vântului îl reprezintă și rugozitatea foarte scăzută a suprafeței apei. Viteza medie multianuală (1961-2021) a vântului de-a lungul coastei românești a Mării Negre are următoarele valori: Constanța – 12,3 m/s, Mangalia – 12,7 m/s și Sulina – 18,1 m/s. Cele mai puternice vânturi se înregistrează iarna (decembrie-februarie), preponderent din sector N și NE (Sulina) și N și V (Constanța și Mangalia), în timp ce vara, din iulie până în septembrie, intensitatea este mai redusă (Tabel </w:t>
      </w:r>
      <w:r w:rsidR="004F3BB9">
        <w:rPr>
          <w:rFonts w:eastAsia="Times New Roman" w:cs="Times New Roman"/>
        </w:rPr>
        <w:t>2.4.1.</w:t>
      </w:r>
      <w:r w:rsidR="008635C2">
        <w:rPr>
          <w:rFonts w:eastAsia="Times New Roman" w:cs="Times New Roman"/>
        </w:rPr>
        <w:t>1.</w:t>
      </w:r>
      <w:r>
        <w:rPr>
          <w:rFonts w:eastAsia="Times New Roman" w:cs="Times New Roman"/>
        </w:rPr>
        <w:t>3). Frecvența anuală a numărului de zile cu viteze ale vântului mai mari de 16 m/s este de 10–25 zile pe coasta Deltei Dunării și de 8–10 zile pe coasta sudică.</w:t>
      </w:r>
    </w:p>
    <w:p w14:paraId="7B3CB0D1" w14:textId="77777777" w:rsidR="003B5B5D" w:rsidRDefault="003B5B5D" w:rsidP="003B5B5D">
      <w:pPr>
        <w:ind w:firstLine="567"/>
        <w:rPr>
          <w:rFonts w:eastAsia="Times New Roman" w:cs="Times New Roman"/>
          <w:b/>
          <w:color w:val="000000"/>
        </w:rPr>
      </w:pPr>
    </w:p>
    <w:p w14:paraId="62583517" w14:textId="1709132B" w:rsidR="003B5B5D" w:rsidRDefault="004F3BB9" w:rsidP="003B5B5D">
      <w:pPr>
        <w:spacing w:line="240" w:lineRule="auto"/>
        <w:jc w:val="center"/>
        <w:rPr>
          <w:rFonts w:eastAsia="Times New Roman" w:cs="Times New Roman"/>
        </w:rPr>
      </w:pPr>
      <w:r>
        <w:rPr>
          <w:rFonts w:eastAsia="Times New Roman" w:cs="Times New Roman"/>
          <w:b/>
          <w:color w:val="000000"/>
        </w:rPr>
        <w:t>Tabel 2.4.1.</w:t>
      </w:r>
      <w:r w:rsidR="008635C2">
        <w:rPr>
          <w:rFonts w:eastAsia="Times New Roman" w:cs="Times New Roman"/>
          <w:b/>
          <w:color w:val="000000"/>
        </w:rPr>
        <w:t>1.</w:t>
      </w:r>
      <w:r w:rsidR="003B5B5D">
        <w:rPr>
          <w:rFonts w:eastAsia="Times New Roman" w:cs="Times New Roman"/>
          <w:b/>
          <w:color w:val="000000"/>
        </w:rPr>
        <w:t>3 Frecventa lunară și anuală a vântului (%) pe 8 direcții (perioada 1961 - 2021) la a) Sulina, b) Constanța și c) Mangalia (</w:t>
      </w:r>
      <w:r w:rsidR="003B5B5D">
        <w:rPr>
          <w:rFonts w:eastAsia="Times New Roman" w:cs="Times New Roman"/>
          <w:b/>
          <w:i/>
          <w:color w:val="000000"/>
        </w:rPr>
        <w:t xml:space="preserve">sursa </w:t>
      </w:r>
      <w:r>
        <w:rPr>
          <w:rFonts w:eastAsia="Times New Roman" w:cs="Times New Roman"/>
          <w:b/>
          <w:i/>
          <w:color w:val="000000"/>
        </w:rPr>
        <w:t>ANM</w:t>
      </w:r>
      <w:r w:rsidR="003B5B5D">
        <w:rPr>
          <w:rFonts w:eastAsia="Times New Roman" w:cs="Times New Roman"/>
          <w:b/>
          <w:i/>
          <w:color w:val="000000"/>
        </w:rPr>
        <w:t>)</w:t>
      </w:r>
    </w:p>
    <w:p w14:paraId="6CF9943C" w14:textId="77777777" w:rsidR="003B5B5D" w:rsidRDefault="003B5B5D" w:rsidP="003B5B5D">
      <w:pPr>
        <w:numPr>
          <w:ilvl w:val="1"/>
          <w:numId w:val="22"/>
        </w:numPr>
        <w:spacing w:after="240" w:line="240" w:lineRule="auto"/>
        <w:ind w:left="0" w:firstLine="0"/>
        <w:rPr>
          <w:rFonts w:eastAsia="Times New Roman" w:cs="Times New Roman"/>
        </w:rPr>
      </w:pPr>
      <w:r>
        <w:rPr>
          <w:rFonts w:eastAsia="Times New Roman" w:cs="Times New Roman"/>
          <w:color w:val="000000"/>
        </w:rPr>
        <w:t>Sulina</w:t>
      </w:r>
    </w:p>
    <w:tbl>
      <w:tblPr>
        <w:tblW w:w="7970" w:type="dxa"/>
        <w:jc w:val="center"/>
        <w:tblLayout w:type="fixed"/>
        <w:tblLook w:val="0400" w:firstRow="0" w:lastRow="0" w:firstColumn="0" w:lastColumn="0" w:noHBand="0" w:noVBand="1"/>
      </w:tblPr>
      <w:tblGrid>
        <w:gridCol w:w="736"/>
        <w:gridCol w:w="550"/>
        <w:gridCol w:w="550"/>
        <w:gridCol w:w="550"/>
        <w:gridCol w:w="550"/>
        <w:gridCol w:w="550"/>
        <w:gridCol w:w="550"/>
        <w:gridCol w:w="550"/>
        <w:gridCol w:w="550"/>
        <w:gridCol w:w="550"/>
        <w:gridCol w:w="550"/>
        <w:gridCol w:w="550"/>
        <w:gridCol w:w="550"/>
        <w:gridCol w:w="634"/>
      </w:tblGrid>
      <w:tr w:rsidR="003B5B5D" w14:paraId="12DCA7BF" w14:textId="77777777" w:rsidTr="003B5B5D">
        <w:trPr>
          <w:trHeight w:val="485"/>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DB8BCA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 </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32B34DA"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B9780A3"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II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E2EC75A"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III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3A2B53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IV</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40FD46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V</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E554FA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VI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9DED09B"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VII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3F590AA"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VIII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EBBB91A"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IX</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2B8F123"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X</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C07AB9F"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XI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D4FDFC7"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XII</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C48E095"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anual</w:t>
            </w:r>
          </w:p>
        </w:tc>
      </w:tr>
      <w:tr w:rsidR="003B5B5D" w14:paraId="6CE477EC" w14:textId="77777777" w:rsidTr="008635C2">
        <w:trPr>
          <w:trHeight w:val="219"/>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61C085A"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calm</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C7946D9"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0,9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39FF117"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0,9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9F0B56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0,6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26B22A8"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0,9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31D4765"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548C8A9"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4469C23"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3E0D304"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30C144C"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1738B44"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0,9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8B27983"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1EC46D9"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0,8</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066A569"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1,1</w:t>
            </w:r>
          </w:p>
        </w:tc>
      </w:tr>
      <w:tr w:rsidR="003B5B5D" w14:paraId="7D96A092" w14:textId="77777777" w:rsidTr="008635C2">
        <w:trPr>
          <w:trHeight w:val="229"/>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3D97D37"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E</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9A570CA"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4,7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AE4A5A2"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6,7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0B33728"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6,8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657C462"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015CF0C"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FB4EB54"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7,5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AB4EBE8"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7,1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9CAD675"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8,9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59222AA"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248BDA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B9FBC95"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A12539A"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5</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C1E32FC"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7,7</w:t>
            </w:r>
          </w:p>
        </w:tc>
      </w:tr>
      <w:tr w:rsidR="003B5B5D" w14:paraId="694427BF" w14:textId="77777777" w:rsidTr="008635C2">
        <w:trPr>
          <w:trHeight w:val="239"/>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69AF5A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N</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1CDED3D"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21,5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4132F80"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20,7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F122262"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19,6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5BDDE20"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FFF20E7"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14,3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99E2F5C"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48BB66A"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EE1B9C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22,4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49FF242"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17,7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71DC35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20,4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BDABF22"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17,4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1E36AD8"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20,8</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C86C519"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18,7</w:t>
            </w:r>
          </w:p>
        </w:tc>
      </w:tr>
      <w:tr w:rsidR="003B5B5D" w14:paraId="47353F69" w14:textId="77777777" w:rsidTr="008635C2">
        <w:trPr>
          <w:trHeight w:val="249"/>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6B5B827"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NE</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466B458"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3215754"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14,9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12016AC"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18,7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7128034"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15,4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BCD1BD0"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15,2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6B0DAFF"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12,2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9CE39B6"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13,9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788C320"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16,9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4B26B74"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14,8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BD13043"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15,6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3353C2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11,6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C5083E5"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9,4</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7E0D417"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14,1</w:t>
            </w:r>
          </w:p>
        </w:tc>
      </w:tr>
      <w:tr w:rsidR="003B5B5D" w14:paraId="51C365DE" w14:textId="77777777" w:rsidTr="008635C2">
        <w:trPr>
          <w:trHeight w:val="259"/>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0CE7CC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NV</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C96C69F"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18,7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F4EAF28"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14,3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8A272DD"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10,4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B1D6053"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8,8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1053A67"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8,8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09E4AA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12,3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3A1A15C"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15,2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AB819F7"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13,2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3C91258"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14,4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3D165F3"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12,7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3410D05"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15,3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19D4852"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18,8</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9EC1A8C"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13,6</w:t>
            </w:r>
          </w:p>
        </w:tc>
      </w:tr>
      <w:tr w:rsidR="003B5B5D" w14:paraId="1D481FA9" w14:textId="77777777" w:rsidTr="008635C2">
        <w:trPr>
          <w:trHeight w:val="283"/>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027DCE6"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lastRenderedPageBreak/>
              <w:t>S</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45248EF"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13,2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3C4C973"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15,6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F710557"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19,7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DE695CD"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25,3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20D9FFB"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25,3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FBF371A"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23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5B1AEE4"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18,2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C8F67D9"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14,4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48FD5F5"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16,7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D1007F2"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17,2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B0DB6FD"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831ED4B"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14,1</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E690094"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18,3</w:t>
            </w:r>
          </w:p>
        </w:tc>
      </w:tr>
      <w:tr w:rsidR="003B5B5D" w14:paraId="70269796" w14:textId="77777777" w:rsidTr="008635C2">
        <w:trPr>
          <w:trHeight w:val="307"/>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2F34D77"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SE</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AEFBB79"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5,7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9F80ADD"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6,9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BC5AE82"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9C46C20"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12,5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F74B242"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10,9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AE7756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8,7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C8ED73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6,2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EE23B2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8053F62"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8,1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C5D6D3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732BB6D"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7,3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04D4180"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4,8</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ED6C3E9"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7,9</w:t>
            </w:r>
          </w:p>
        </w:tc>
      </w:tr>
      <w:tr w:rsidR="003B5B5D" w14:paraId="389D20E0" w14:textId="77777777" w:rsidTr="008635C2">
        <w:trPr>
          <w:trHeight w:val="317"/>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3923C72"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SV</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C25AB1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C209A37"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10</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9C937A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769BFE4"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7,9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EF351B6"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8,2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792A2AF"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8,9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F77FF3F"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8,3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987EE67"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6,6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ED1A914"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7,9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C503EE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8,1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D8B020F"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10,6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8DACBD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12,3</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CCBFC5B"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w:t>
            </w:r>
          </w:p>
        </w:tc>
      </w:tr>
      <w:tr w:rsidR="003B5B5D" w14:paraId="4DFD7CF1" w14:textId="77777777" w:rsidTr="008635C2">
        <w:trPr>
          <w:trHeight w:val="326"/>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F0307EA"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V</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2539458"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13,3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B6EC305"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10</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33C627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7,1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E9B6725"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6,2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AD0DB85"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7,1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9825882"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10</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88A28E0"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10,8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74EF550"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B25D309"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51DB300"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7,9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F68B95A"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10,7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F9B8DE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14</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DA0D44D"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9,6</w:t>
            </w:r>
          </w:p>
        </w:tc>
      </w:tr>
    </w:tbl>
    <w:p w14:paraId="10AF03D8" w14:textId="77777777" w:rsidR="003B5B5D" w:rsidRDefault="003B5B5D" w:rsidP="003B5B5D">
      <w:pPr>
        <w:spacing w:before="240" w:after="0" w:line="240" w:lineRule="auto"/>
        <w:rPr>
          <w:rFonts w:eastAsia="Times New Roman" w:cs="Times New Roman"/>
        </w:rPr>
      </w:pPr>
    </w:p>
    <w:p w14:paraId="2533243A" w14:textId="77777777" w:rsidR="003B5B5D" w:rsidRDefault="003B5B5D" w:rsidP="003B5B5D">
      <w:pPr>
        <w:spacing w:after="0" w:line="240" w:lineRule="auto"/>
        <w:rPr>
          <w:rFonts w:eastAsia="Times New Roman" w:cs="Times New Roman"/>
        </w:rPr>
      </w:pPr>
      <w:r>
        <w:rPr>
          <w:rFonts w:eastAsia="Times New Roman" w:cs="Times New Roman"/>
          <w:color w:val="000000"/>
        </w:rPr>
        <w:t>b) Constanța</w:t>
      </w:r>
    </w:p>
    <w:tbl>
      <w:tblPr>
        <w:tblW w:w="7970" w:type="dxa"/>
        <w:jc w:val="center"/>
        <w:tblLayout w:type="fixed"/>
        <w:tblLook w:val="0400" w:firstRow="0" w:lastRow="0" w:firstColumn="0" w:lastColumn="0" w:noHBand="0" w:noVBand="1"/>
      </w:tblPr>
      <w:tblGrid>
        <w:gridCol w:w="736"/>
        <w:gridCol w:w="550"/>
        <w:gridCol w:w="550"/>
        <w:gridCol w:w="550"/>
        <w:gridCol w:w="550"/>
        <w:gridCol w:w="550"/>
        <w:gridCol w:w="550"/>
        <w:gridCol w:w="550"/>
        <w:gridCol w:w="550"/>
        <w:gridCol w:w="550"/>
        <w:gridCol w:w="550"/>
        <w:gridCol w:w="550"/>
        <w:gridCol w:w="550"/>
        <w:gridCol w:w="634"/>
      </w:tblGrid>
      <w:tr w:rsidR="003B5B5D" w14:paraId="1CD7B1B7" w14:textId="77777777" w:rsidTr="003B5B5D">
        <w:trPr>
          <w:trHeight w:val="485"/>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60185BC"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 </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3744DC4"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FD85B8D"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II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A3D1A19"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III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51EFDCF"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IV</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0FBC80A"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V</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635F94D"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VI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FA9FEBB"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VII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79DF3E0"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VIII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1A184BB"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IX</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C6DE827"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X</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F70016C"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XI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6F38398"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XII</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70C459F"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anual</w:t>
            </w:r>
          </w:p>
        </w:tc>
      </w:tr>
      <w:tr w:rsidR="003B5B5D" w14:paraId="00AE49E5" w14:textId="77777777" w:rsidTr="008635C2">
        <w:trPr>
          <w:trHeight w:val="233"/>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9C981DD"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calm</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287C098"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CF461BC"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8,6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6562CF6"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3078DAC"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3D2AAB8"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12,2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3EC2744"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11,3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5AB450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12,5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684EC66"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13,8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46DD56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12,3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49FB94A"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10,9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E941790"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10,3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258B453"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7,9</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00A92CC"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10,6</w:t>
            </w:r>
          </w:p>
        </w:tc>
      </w:tr>
      <w:tr w:rsidR="003B5B5D" w14:paraId="59D6D1F9" w14:textId="77777777" w:rsidTr="008635C2">
        <w:trPr>
          <w:trHeight w:val="243"/>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95588F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E</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17557F6"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2,8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DBC3596"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3,5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8607E54"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6,3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8DB3742"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CE3912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1456003"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7,8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D8125CF"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8,1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E94646B"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DDD3E2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8,3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BA54923"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6,3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EF392B0"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5,2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14F5502"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2,6</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B7D1D39"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6,6</w:t>
            </w:r>
          </w:p>
        </w:tc>
      </w:tr>
      <w:tr w:rsidR="003B5B5D" w14:paraId="1AFCE29A" w14:textId="77777777" w:rsidTr="008635C2">
        <w:trPr>
          <w:trHeight w:val="253"/>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1421520"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N</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F313407"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DA5F4B8"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20,1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2A9FA35"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16,4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DF0820B"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10,1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EB9C215"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757613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E386C2B"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12,9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59A7F84"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13,1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31AD93F"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14,1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80D2E1C" w14:textId="0BD5335A"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18,3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CAEDB7C"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15,8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B2712CB"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18,5</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508BB0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14,8</w:t>
            </w:r>
          </w:p>
        </w:tc>
      </w:tr>
      <w:tr w:rsidR="003B5B5D" w14:paraId="2B65A7E3" w14:textId="77777777" w:rsidTr="008635C2">
        <w:trPr>
          <w:trHeight w:val="263"/>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28DF19A"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NE</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A7AA1F9"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DA49F34"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13,9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F7C6E40"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16,5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39E575B"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13,8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C8A0A2F"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6B59BE5"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10,3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02A6C77"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6900DFD"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13,2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F756704"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13,2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5FE08ED"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14,7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DA94B56"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2BBD08D"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7,7</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A3C6E70"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12,2</w:t>
            </w:r>
          </w:p>
        </w:tc>
      </w:tr>
      <w:tr w:rsidR="003B5B5D" w14:paraId="52C126DF" w14:textId="77777777" w:rsidTr="008635C2">
        <w:trPr>
          <w:trHeight w:val="273"/>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5E68A33"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NV</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850C575"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14,9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DB3E7F4"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9D65C4C"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8,8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F9FB596"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7,1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D061D7F"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7,5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EA68174"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10,5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4C123B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12,1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083345C"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11,9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47C9F5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BF89D7F"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BBEFE6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11,4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931C900"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15,8</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5F8BEEC"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10,8</w:t>
            </w:r>
          </w:p>
        </w:tc>
      </w:tr>
      <w:tr w:rsidR="003B5B5D" w14:paraId="2DF79E8E" w14:textId="77777777" w:rsidTr="008635C2">
        <w:trPr>
          <w:trHeight w:val="223"/>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6FD0942"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S</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459176C"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7,2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8E45A09"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B5ECFE7"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11,5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F5AB97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6890CCD"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2BCEBC4"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12,7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4AD892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10,2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072A967"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8,7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9D9BC44"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118739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218321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5457C75"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7,6</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5C47CE2"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10,4</w:t>
            </w:r>
          </w:p>
        </w:tc>
      </w:tr>
      <w:tr w:rsidR="003B5B5D" w14:paraId="6B5E897C" w14:textId="77777777" w:rsidTr="008635C2">
        <w:trPr>
          <w:trHeight w:val="318"/>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F8A66C2"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SE</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B94EAA8"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4,2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AFB022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6,4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A8D7052"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11,1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F1AECC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16,5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6FB6DC8"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17,3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6AF6E6B"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15,4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32BD3C4"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12,9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367D853"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12,3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1E2C4F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12,1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3ABF9C6"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10,2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799EEE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8,4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76FFDAB"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4,3</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E6387D4"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10,9</w:t>
            </w:r>
          </w:p>
        </w:tc>
      </w:tr>
      <w:tr w:rsidR="003B5B5D" w14:paraId="557914C3" w14:textId="77777777" w:rsidTr="008635C2">
        <w:trPr>
          <w:trHeight w:val="186"/>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4CD401A"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SV</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120E834"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8,4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6790D07"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7,7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CF57C04"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7,5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0A3815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6,3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BA4CE6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6,2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C9008CF"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7,1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CAEC58A"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5,6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7DD1EE4"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5,5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8F6EFEA"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6,1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45EAAB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7,8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EC9007B"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0245722"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9,8</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D2F952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7,2</w:t>
            </w:r>
          </w:p>
        </w:tc>
      </w:tr>
      <w:tr w:rsidR="003B5B5D" w14:paraId="5BCD7A8C" w14:textId="77777777" w:rsidTr="008635C2">
        <w:trPr>
          <w:trHeight w:val="196"/>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11E6DC2"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V</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7657B0D"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26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B2E77D0"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0B75B73"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12,3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53C3267"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12,5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1667B47"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11,8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3940ECF"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15,2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20907F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13,7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F849D0C"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12,4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D89C646"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14,9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988615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13,6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00C2963"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20,8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D9CBDCB"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25,8</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129CDEB"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16,5</w:t>
            </w:r>
          </w:p>
        </w:tc>
      </w:tr>
    </w:tbl>
    <w:p w14:paraId="74E34651" w14:textId="77777777" w:rsidR="003B5B5D" w:rsidRDefault="003B5B5D" w:rsidP="003B5B5D">
      <w:pPr>
        <w:spacing w:before="240" w:after="0" w:line="240" w:lineRule="auto"/>
        <w:ind w:left="1080"/>
        <w:rPr>
          <w:rFonts w:eastAsia="Times New Roman" w:cs="Times New Roman"/>
          <w:color w:val="000000"/>
        </w:rPr>
      </w:pPr>
    </w:p>
    <w:p w14:paraId="4E0D7C20" w14:textId="77777777" w:rsidR="003B5B5D" w:rsidRDefault="003B5B5D" w:rsidP="003B5B5D">
      <w:pPr>
        <w:spacing w:after="240" w:line="240" w:lineRule="auto"/>
        <w:rPr>
          <w:rFonts w:eastAsia="Times New Roman" w:cs="Times New Roman"/>
        </w:rPr>
      </w:pPr>
      <w:r>
        <w:rPr>
          <w:rFonts w:eastAsia="Times New Roman" w:cs="Times New Roman"/>
          <w:color w:val="000000"/>
        </w:rPr>
        <w:t>c) Mangalia</w:t>
      </w:r>
    </w:p>
    <w:tbl>
      <w:tblPr>
        <w:tblW w:w="7970" w:type="dxa"/>
        <w:jc w:val="center"/>
        <w:tblLayout w:type="fixed"/>
        <w:tblLook w:val="0400" w:firstRow="0" w:lastRow="0" w:firstColumn="0" w:lastColumn="0" w:noHBand="0" w:noVBand="1"/>
      </w:tblPr>
      <w:tblGrid>
        <w:gridCol w:w="736"/>
        <w:gridCol w:w="550"/>
        <w:gridCol w:w="550"/>
        <w:gridCol w:w="550"/>
        <w:gridCol w:w="550"/>
        <w:gridCol w:w="550"/>
        <w:gridCol w:w="550"/>
        <w:gridCol w:w="550"/>
        <w:gridCol w:w="550"/>
        <w:gridCol w:w="529"/>
        <w:gridCol w:w="571"/>
        <w:gridCol w:w="550"/>
        <w:gridCol w:w="550"/>
        <w:gridCol w:w="634"/>
      </w:tblGrid>
      <w:tr w:rsidR="003B5B5D" w14:paraId="74AB6C45" w14:textId="77777777" w:rsidTr="004F3BB9">
        <w:trPr>
          <w:trHeight w:val="485"/>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65FA446" w14:textId="77777777" w:rsidR="003B5B5D" w:rsidRDefault="003B5B5D" w:rsidP="008635C2">
            <w:pPr>
              <w:spacing w:before="0" w:after="0" w:line="240" w:lineRule="auto"/>
              <w:rPr>
                <w:rFonts w:eastAsia="Times New Roman" w:cs="Times New Roman"/>
              </w:rPr>
            </w:pPr>
            <w:r>
              <w:rPr>
                <w:rFonts w:eastAsia="Times New Roman" w:cs="Times New Roman"/>
                <w:color w:val="000000"/>
                <w:sz w:val="20"/>
                <w:szCs w:val="20"/>
              </w:rPr>
              <w:t> </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E2E0AAA"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75BF1B3"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II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D5446FA"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III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533D4B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IV</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073451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V</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12F804A"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VI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6598268"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VII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2EC9C6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VIII</w:t>
            </w:r>
          </w:p>
        </w:tc>
        <w:tc>
          <w:tcPr>
            <w:tcW w:w="52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A3A213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IX</w:t>
            </w:r>
          </w:p>
        </w:tc>
        <w:tc>
          <w:tcPr>
            <w:tcW w:w="571"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318511C"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X</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6EC5FD5"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XI</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5256537"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XII</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6A8CC1D"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anual</w:t>
            </w:r>
          </w:p>
        </w:tc>
      </w:tr>
      <w:tr w:rsidR="003B5B5D" w14:paraId="7FBC0C61" w14:textId="77777777" w:rsidTr="008635C2">
        <w:trPr>
          <w:trHeight w:val="242"/>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F6576F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calm</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29100B3"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11,2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FD4A453"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12,1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BB0E11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11,4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BB705A5"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76054D2"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14,8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5A2D9E0"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13,3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38D3B3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13,1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C24B852"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11,6</w:t>
            </w:r>
          </w:p>
        </w:tc>
        <w:tc>
          <w:tcPr>
            <w:tcW w:w="52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7BFDC74"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9,6</w:t>
            </w:r>
          </w:p>
        </w:tc>
        <w:tc>
          <w:tcPr>
            <w:tcW w:w="571"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67956F6"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8,5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809E8EB"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10</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F395923"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10,3</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61D5E6C"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13</w:t>
            </w:r>
          </w:p>
        </w:tc>
      </w:tr>
      <w:tr w:rsidR="003B5B5D" w14:paraId="4C2A8858" w14:textId="77777777" w:rsidTr="008635C2">
        <w:trPr>
          <w:trHeight w:val="219"/>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C33D973"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E</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C2A067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4,2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347D10A"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4,9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52B2820"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5,4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3AF3602"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6,8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3B7B12A"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6,9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91441D9"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7,1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92ECE0A" w14:textId="0D1FC257" w:rsidR="003B5B5D" w:rsidRDefault="004F3BB9" w:rsidP="008635C2">
            <w:pPr>
              <w:spacing w:before="0" w:after="0" w:line="240" w:lineRule="auto"/>
              <w:ind w:firstLine="0"/>
              <w:rPr>
                <w:rFonts w:eastAsia="Times New Roman" w:cs="Times New Roman"/>
              </w:rPr>
            </w:pPr>
            <w:r>
              <w:rPr>
                <w:rFonts w:eastAsia="Times New Roman" w:cs="Times New Roman"/>
                <w:color w:val="000000"/>
                <w:sz w:val="20"/>
                <w:szCs w:val="20"/>
              </w:rPr>
              <w:t xml:space="preserve"> </w:t>
            </w:r>
            <w:r w:rsidR="003B5B5D">
              <w:rPr>
                <w:rFonts w:eastAsia="Times New Roman" w:cs="Times New Roman"/>
                <w:color w:val="000000"/>
                <w:sz w:val="20"/>
                <w:szCs w:val="20"/>
              </w:rPr>
              <w:t>7,6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3A335EA"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9,4</w:t>
            </w:r>
          </w:p>
        </w:tc>
        <w:tc>
          <w:tcPr>
            <w:tcW w:w="52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7583B8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9,4</w:t>
            </w:r>
          </w:p>
        </w:tc>
        <w:tc>
          <w:tcPr>
            <w:tcW w:w="571"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EEFBA7A"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7,5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DD1A268"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6,5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E501938"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4,3</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1E43DFB"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6,2</w:t>
            </w:r>
          </w:p>
        </w:tc>
      </w:tr>
      <w:tr w:rsidR="003B5B5D" w14:paraId="48D4EFE1" w14:textId="77777777" w:rsidTr="008635C2">
        <w:trPr>
          <w:trHeight w:val="481"/>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6BD80B9"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N</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EFFEA22"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11,8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AC60BA5"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14,8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AB984F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14,8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A2FEC20"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11,2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B825806"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277B433"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6,7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548D016" w14:textId="09306D90" w:rsidR="003B5B5D" w:rsidRDefault="004F3BB9" w:rsidP="008635C2">
            <w:pPr>
              <w:spacing w:before="0" w:after="0" w:line="240" w:lineRule="auto"/>
              <w:ind w:firstLine="0"/>
              <w:rPr>
                <w:rFonts w:eastAsia="Times New Roman" w:cs="Times New Roman"/>
              </w:rPr>
            </w:pPr>
            <w:r>
              <w:rPr>
                <w:rFonts w:eastAsia="Times New Roman" w:cs="Times New Roman"/>
                <w:color w:val="000000"/>
                <w:sz w:val="20"/>
                <w:szCs w:val="20"/>
              </w:rPr>
              <w:t xml:space="preserve">       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563A16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8,3</w:t>
            </w:r>
          </w:p>
        </w:tc>
        <w:tc>
          <w:tcPr>
            <w:tcW w:w="52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A32C15A"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7</w:t>
            </w:r>
          </w:p>
        </w:tc>
        <w:tc>
          <w:tcPr>
            <w:tcW w:w="571"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830A5F7"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D5BA968"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8,4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07EC8DB"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10,3</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AEC5DBD"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9,6</w:t>
            </w:r>
          </w:p>
        </w:tc>
      </w:tr>
      <w:tr w:rsidR="003B5B5D" w14:paraId="7EBBBB17" w14:textId="77777777" w:rsidTr="004F3BB9">
        <w:trPr>
          <w:trHeight w:val="485"/>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C036ADF"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NE</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A27C894"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34687E6"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3D82386"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13,9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5D7A286"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12,8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C82CD2A"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12,9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1059FF8"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11,7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FD6D385"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13,2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F7D7AC5"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15,6</w:t>
            </w:r>
          </w:p>
        </w:tc>
        <w:tc>
          <w:tcPr>
            <w:tcW w:w="52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BDBAF29"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14,2</w:t>
            </w:r>
          </w:p>
        </w:tc>
        <w:tc>
          <w:tcPr>
            <w:tcW w:w="571"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5DB7855"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13,6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FA436CF"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8,5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9D78C8D"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6,2</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D37BF89"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11,5</w:t>
            </w:r>
          </w:p>
        </w:tc>
      </w:tr>
      <w:tr w:rsidR="003B5B5D" w14:paraId="074B5298" w14:textId="77777777" w:rsidTr="004F3BB9">
        <w:trPr>
          <w:trHeight w:val="485"/>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30556C6"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NV</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EDE8F5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21,9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B2D08C5"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17,2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9B63F2A"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12,4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FA200AD"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8,8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500E58F"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8,5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E736A66"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10,6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CC5C7E3"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12,6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A921A9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14,8</w:t>
            </w:r>
          </w:p>
        </w:tc>
        <w:tc>
          <w:tcPr>
            <w:tcW w:w="52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214005C"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12,7</w:t>
            </w:r>
          </w:p>
        </w:tc>
        <w:tc>
          <w:tcPr>
            <w:tcW w:w="571"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45E7E8C"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15,5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829926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17,6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DE1850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22,2</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FBA408D"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14,9</w:t>
            </w:r>
          </w:p>
        </w:tc>
      </w:tr>
      <w:tr w:rsidR="003B5B5D" w14:paraId="6B1326A8" w14:textId="77777777" w:rsidTr="008635C2">
        <w:trPr>
          <w:trHeight w:val="255"/>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FAC3DE0"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S</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DCE9E1B"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6,7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A9442A8"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8,1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4CE007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DF5DD54"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C38CD82"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8,9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A30E6F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7,8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11888FD"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6,6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54C18CB"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4,2</w:t>
            </w:r>
          </w:p>
        </w:tc>
        <w:tc>
          <w:tcPr>
            <w:tcW w:w="52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35FF725"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5,6</w:t>
            </w:r>
          </w:p>
        </w:tc>
        <w:tc>
          <w:tcPr>
            <w:tcW w:w="571"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3990049"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6,7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FACD30C"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8,4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4296E18"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6,2</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4715693"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6,8</w:t>
            </w:r>
          </w:p>
        </w:tc>
      </w:tr>
      <w:tr w:rsidR="003B5B5D" w14:paraId="706B794C" w14:textId="77777777" w:rsidTr="004F3BB9">
        <w:trPr>
          <w:trHeight w:val="485"/>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8BEF264"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SE</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065CDC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6,4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C952BC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9,1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1BC75BD"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13,4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5FD9959"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18,7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CF09BF5"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18,8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59C01C9"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18,5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CFD588F"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14,4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E3B25F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12</w:t>
            </w:r>
          </w:p>
        </w:tc>
        <w:tc>
          <w:tcPr>
            <w:tcW w:w="52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E2B46AD"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15,4</w:t>
            </w:r>
          </w:p>
        </w:tc>
        <w:tc>
          <w:tcPr>
            <w:tcW w:w="571"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D431033"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13,8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0D13498"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11,6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4DB6A4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8,1</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08A304B"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13,6</w:t>
            </w:r>
          </w:p>
        </w:tc>
      </w:tr>
      <w:tr w:rsidR="003B5B5D" w14:paraId="462943BD" w14:textId="77777777" w:rsidTr="008635C2">
        <w:trPr>
          <w:trHeight w:val="275"/>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6194075"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lastRenderedPageBreak/>
              <w:t>SV</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1CABF6A"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4,4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A1E2977"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4,8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22979B2"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3,4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C2E75BC"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3,4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D677F7F"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692E893"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3,2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CF14D81"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2,2</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03742AD"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2,2</w:t>
            </w:r>
          </w:p>
        </w:tc>
        <w:tc>
          <w:tcPr>
            <w:tcW w:w="52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305C794"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2,6</w:t>
            </w:r>
          </w:p>
        </w:tc>
        <w:tc>
          <w:tcPr>
            <w:tcW w:w="571"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FC665B6"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938D527"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4,4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456116F"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4,6</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4E7A81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3,8</w:t>
            </w:r>
          </w:p>
        </w:tc>
      </w:tr>
      <w:tr w:rsidR="003B5B5D" w14:paraId="708567B4" w14:textId="77777777" w:rsidTr="004F3BB9">
        <w:trPr>
          <w:trHeight w:val="500"/>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8189662"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V</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24DF695"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26,4</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3F988D3"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19,8</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702C033"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16,3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F942B2E"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15,7</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2498EED"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16,9</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AFD06D2"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21,1</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7FB6F59"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22,3</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3EB60A0"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21,9</w:t>
            </w:r>
          </w:p>
        </w:tc>
        <w:tc>
          <w:tcPr>
            <w:tcW w:w="52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7E6DC47"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23,5</w:t>
            </w:r>
          </w:p>
        </w:tc>
        <w:tc>
          <w:tcPr>
            <w:tcW w:w="571"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E9D56E6"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21,5</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51B9DDB"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24,6</w:t>
            </w:r>
          </w:p>
        </w:tc>
        <w:tc>
          <w:tcPr>
            <w:tcW w:w="55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F83AE68"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27,8</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9C68913" w14:textId="77777777" w:rsidR="003B5B5D" w:rsidRDefault="003B5B5D" w:rsidP="008635C2">
            <w:pPr>
              <w:spacing w:before="0" w:after="0" w:line="240" w:lineRule="auto"/>
              <w:ind w:firstLine="0"/>
              <w:rPr>
                <w:rFonts w:eastAsia="Times New Roman" w:cs="Times New Roman"/>
              </w:rPr>
            </w:pPr>
            <w:r>
              <w:rPr>
                <w:rFonts w:eastAsia="Times New Roman" w:cs="Times New Roman"/>
                <w:color w:val="000000"/>
                <w:sz w:val="20"/>
                <w:szCs w:val="20"/>
              </w:rPr>
              <w:t>20,6</w:t>
            </w:r>
          </w:p>
        </w:tc>
      </w:tr>
    </w:tbl>
    <w:p w14:paraId="48E8615F" w14:textId="77777777" w:rsidR="003B5B5D" w:rsidRDefault="003B5B5D" w:rsidP="003B5B5D">
      <w:pPr>
        <w:rPr>
          <w:rFonts w:eastAsia="Times New Roman" w:cs="Times New Roman"/>
        </w:rPr>
      </w:pPr>
    </w:p>
    <w:p w14:paraId="15EC5274" w14:textId="77777777" w:rsidR="003B5B5D" w:rsidRDefault="003B5B5D" w:rsidP="008635C2">
      <w:pPr>
        <w:spacing w:before="0"/>
        <w:ind w:firstLine="567"/>
        <w:rPr>
          <w:rFonts w:eastAsia="Times New Roman" w:cs="Times New Roman"/>
        </w:rPr>
      </w:pPr>
      <w:r>
        <w:rPr>
          <w:rFonts w:eastAsia="Times New Roman" w:cs="Times New Roman"/>
        </w:rPr>
        <w:t xml:space="preserve">Pe coastă se manifestă și fenomenul de briză, datorită diferențelor de temperatură între mare și uscat. Acest fenomen este mai pregnant între lunile mai și septembrie, când se înregistrează temperaturi mai ridicate la nivelul uscatului. Tot în perioada caldă a anului se remarcă o variație diurnă a direcțiilor vântului cu un pronunțat caracter periodic. Aceasta nu constă într-o simplă alternare între mare și uscat, ci într-o rotire completă a direcției vântului în sensul acelor de ceasornic. </w:t>
      </w:r>
    </w:p>
    <w:p w14:paraId="2622A81C" w14:textId="59EF27B4" w:rsidR="008635C2" w:rsidRDefault="008635C2" w:rsidP="008635C2">
      <w:pPr>
        <w:pStyle w:val="Heading4"/>
      </w:pPr>
      <w:bookmarkStart w:id="58" w:name="_Toc169625119"/>
      <w:r>
        <w:t>2.4.1.2 Geologie</w:t>
      </w:r>
      <w:bookmarkEnd w:id="58"/>
    </w:p>
    <w:p w14:paraId="1A9811FE" w14:textId="7A30400B" w:rsidR="008635C2" w:rsidRDefault="008635C2" w:rsidP="008635C2">
      <w:pPr>
        <w:ind w:firstLine="567"/>
        <w:rPr>
          <w:rFonts w:eastAsia="Times New Roman" w:cs="Times New Roman"/>
        </w:rPr>
      </w:pPr>
      <w:r>
        <w:rPr>
          <w:rFonts w:eastAsia="Times New Roman" w:cs="Times New Roman"/>
        </w:rPr>
        <w:t>Din punct de vedere geologic teritoriul dobrogean este suprapus peste următoarele mari unități tectonice: Platforma Sud Dobrogeană, Masivul Central Dobrogean, Orogenul Nord Dobrogean, Depresiunea Predobrogeană (Fig. 4.1.1.2.1).</w:t>
      </w:r>
    </w:p>
    <w:p w14:paraId="56F6EC41" w14:textId="77777777" w:rsidR="008635C2" w:rsidRDefault="008635C2" w:rsidP="008635C2">
      <w:pPr>
        <w:ind w:firstLine="567"/>
        <w:rPr>
          <w:rFonts w:eastAsia="Times New Roman" w:cs="Times New Roman"/>
        </w:rPr>
      </w:pPr>
    </w:p>
    <w:p w14:paraId="59D24F2E" w14:textId="77777777" w:rsidR="008635C2" w:rsidRDefault="008635C2" w:rsidP="008635C2">
      <w:pPr>
        <w:spacing w:after="200"/>
        <w:jc w:val="center"/>
        <w:rPr>
          <w:rFonts w:eastAsia="Times New Roman" w:cs="Times New Roman"/>
          <w:b/>
          <w:i/>
        </w:rPr>
      </w:pPr>
      <w:r>
        <w:rPr>
          <w:rFonts w:eastAsia="Times New Roman" w:cs="Times New Roman"/>
          <w:b/>
          <w:i/>
          <w:noProof/>
        </w:rPr>
        <w:drawing>
          <wp:inline distT="0" distB="0" distL="0" distR="0" wp14:anchorId="54479B0E" wp14:editId="5A145AE0">
            <wp:extent cx="2798314" cy="2936502"/>
            <wp:effectExtent l="0" t="0" r="0" b="0"/>
            <wp:docPr id="214140196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7"/>
                    <a:srcRect/>
                    <a:stretch>
                      <a:fillRect/>
                    </a:stretch>
                  </pic:blipFill>
                  <pic:spPr>
                    <a:xfrm>
                      <a:off x="0" y="0"/>
                      <a:ext cx="2798314" cy="2936502"/>
                    </a:xfrm>
                    <a:prstGeom prst="rect">
                      <a:avLst/>
                    </a:prstGeom>
                    <a:ln/>
                  </pic:spPr>
                </pic:pic>
              </a:graphicData>
            </a:graphic>
          </wp:inline>
        </w:drawing>
      </w:r>
    </w:p>
    <w:p w14:paraId="7434822E" w14:textId="2815D81D" w:rsidR="008635C2" w:rsidRDefault="008635C2" w:rsidP="008635C2">
      <w:pPr>
        <w:jc w:val="center"/>
        <w:rPr>
          <w:rFonts w:eastAsia="Times New Roman" w:cs="Times New Roman"/>
          <w:b/>
        </w:rPr>
      </w:pPr>
      <w:r>
        <w:rPr>
          <w:rFonts w:eastAsia="Times New Roman" w:cs="Times New Roman"/>
          <w:b/>
        </w:rPr>
        <w:t>Fig. 2.4.1.1.2 Schița tectonică a Dobrogei (conform Mutihac, 2007)</w:t>
      </w:r>
    </w:p>
    <w:p w14:paraId="1D732330" w14:textId="77777777" w:rsidR="008635C2" w:rsidRDefault="008635C2" w:rsidP="008635C2">
      <w:pPr>
        <w:jc w:val="center"/>
        <w:rPr>
          <w:rFonts w:eastAsia="Times New Roman" w:cs="Times New Roman"/>
          <w:b/>
        </w:rPr>
      </w:pPr>
    </w:p>
    <w:p w14:paraId="6519A14E" w14:textId="77777777" w:rsidR="008635C2" w:rsidRDefault="008635C2" w:rsidP="008635C2">
      <w:pPr>
        <w:spacing w:after="200"/>
        <w:rPr>
          <w:rFonts w:eastAsia="Times New Roman" w:cs="Times New Roman"/>
          <w:i/>
        </w:rPr>
      </w:pPr>
      <w:r>
        <w:rPr>
          <w:rFonts w:eastAsia="Times New Roman" w:cs="Times New Roman"/>
          <w:i/>
        </w:rPr>
        <w:t>Dobrogea de nord</w:t>
      </w:r>
    </w:p>
    <w:p w14:paraId="234E285F" w14:textId="77777777" w:rsidR="008635C2" w:rsidRDefault="008635C2" w:rsidP="008635C2">
      <w:pPr>
        <w:spacing w:before="0"/>
        <w:ind w:firstLine="567"/>
        <w:rPr>
          <w:rFonts w:eastAsia="Times New Roman" w:cs="Times New Roman"/>
        </w:rPr>
      </w:pPr>
      <w:r>
        <w:rPr>
          <w:rFonts w:eastAsia="Times New Roman" w:cs="Times New Roman"/>
        </w:rPr>
        <w:t>Depresiunea predobrogeană este alcătuită dintr-un fundament magmatic proterozoic superior acoperit, discordant, de depozite siliciclastice marine și continentale paleozoic inferioare și de depozite groase carbonatice devonian mediu – carbonifer inferioare. Urmează complexe vulcanogen-sedimentare permo-triasice, asociate unui bazin de rift. Succesiunea este încheiată de depozite mezozoice și neozoice.</w:t>
      </w:r>
    </w:p>
    <w:p w14:paraId="086F81BB" w14:textId="77777777" w:rsidR="008635C2" w:rsidRDefault="008635C2" w:rsidP="008635C2">
      <w:pPr>
        <w:spacing w:before="0"/>
        <w:ind w:firstLine="567"/>
        <w:rPr>
          <w:rFonts w:eastAsia="Times New Roman" w:cs="Times New Roman"/>
        </w:rPr>
      </w:pPr>
      <w:r>
        <w:rPr>
          <w:rFonts w:eastAsia="Times New Roman" w:cs="Times New Roman"/>
        </w:rPr>
        <w:lastRenderedPageBreak/>
        <w:t>La sud de Depresiunea Predobrogeană, Orogenul Nord-Dobrogean reprezintă o zonă îngustă, deformată chimeric (Murgoci, 1914), cu orientare NV-SE. Orogenul Nord-Dobrogean vine în contact cu Depresiunea Predobrogeană de-a lungul Faliei Sfântu Gheorghe, iar la sud cu sectorul estic al Platformei Moesice, de-a lungul Faliei Pecineaga-Camena.</w:t>
      </w:r>
    </w:p>
    <w:p w14:paraId="38D0A5C5" w14:textId="77777777" w:rsidR="008635C2" w:rsidRDefault="008635C2" w:rsidP="008635C2">
      <w:pPr>
        <w:spacing w:before="0"/>
        <w:ind w:firstLine="567"/>
        <w:rPr>
          <w:rFonts w:eastAsia="Times New Roman" w:cs="Times New Roman"/>
        </w:rPr>
      </w:pPr>
      <w:r>
        <w:rPr>
          <w:rFonts w:eastAsia="Times New Roman" w:cs="Times New Roman"/>
        </w:rPr>
        <w:t>În sectorul său nordic, zona litorală românească reprezintă frontul Deltei Dunării și a complexului Razim-Sinoe. Depozitele din zona litorală, ca și cele deltaice și lacustre din vecinătatea țărmului aparțin Cuaternarului. Delta Dunării, ca unitate sedimentară, acoperă o suprafață mai mare de 12.600 km</w:t>
      </w:r>
      <w:r>
        <w:rPr>
          <w:rFonts w:eastAsia="Times New Roman" w:cs="Times New Roman"/>
          <w:vertAlign w:val="superscript"/>
        </w:rPr>
        <w:t>2</w:t>
      </w:r>
      <w:r>
        <w:rPr>
          <w:rFonts w:eastAsia="Times New Roman" w:cs="Times New Roman"/>
        </w:rPr>
        <w:t>, din care aproape jumătate se află în zona submersă marină. Geomorfologia actuală a Deltei Dunării este rezultatul interacțiunii permanente dintre fluviu și mare în timpul Holocenului (Panin, 1996).</w:t>
      </w:r>
    </w:p>
    <w:p w14:paraId="3774514E" w14:textId="77777777" w:rsidR="008635C2" w:rsidRDefault="008635C2" w:rsidP="008635C2">
      <w:pPr>
        <w:spacing w:before="0"/>
        <w:ind w:firstLine="567"/>
        <w:rPr>
          <w:rFonts w:eastAsia="Times New Roman" w:cs="Times New Roman"/>
        </w:rPr>
      </w:pPr>
      <w:r>
        <w:rPr>
          <w:rFonts w:eastAsia="Times New Roman" w:cs="Times New Roman"/>
        </w:rPr>
        <w:t>Câmpia deltaică, cu o suprafața totală de circa 5.800 km</w:t>
      </w:r>
      <w:r>
        <w:rPr>
          <w:rFonts w:eastAsia="Times New Roman" w:cs="Times New Roman"/>
          <w:vertAlign w:val="superscript"/>
        </w:rPr>
        <w:t>2</w:t>
      </w:r>
      <w:r>
        <w:rPr>
          <w:rFonts w:eastAsia="Times New Roman" w:cs="Times New Roman"/>
        </w:rPr>
        <w:t>, începe de la Ceatalul Izmail, unde Dunărea se separă în două brațe, respectiv Chilia și Tulcea. 4.000 km</w:t>
      </w:r>
      <w:r>
        <w:rPr>
          <w:rFonts w:eastAsia="Times New Roman" w:cs="Times New Roman"/>
          <w:vertAlign w:val="superscript"/>
        </w:rPr>
        <w:t>2</w:t>
      </w:r>
      <w:r>
        <w:rPr>
          <w:rFonts w:eastAsia="Times New Roman" w:cs="Times New Roman"/>
        </w:rPr>
        <w:t xml:space="preserve"> din această suprafață o reprezintă câmpia deltaică fluviatilă, în timp ce 1.800 km</w:t>
      </w:r>
      <w:r>
        <w:rPr>
          <w:rFonts w:eastAsia="Times New Roman" w:cs="Times New Roman"/>
          <w:vertAlign w:val="superscript"/>
        </w:rPr>
        <w:t>2</w:t>
      </w:r>
      <w:r>
        <w:rPr>
          <w:rFonts w:eastAsia="Times New Roman" w:cs="Times New Roman"/>
        </w:rPr>
        <w:t xml:space="preserve"> reprezintă câmpia deltaică marină. Limita de separație între cele două subdomenii urmărește aliniamentul Jibrieni (Ucraina)-Letea-Răducu-Ceamurlia-Caraorman. Câmpia deltaică marină este caracterizată prin prezența a numeroase grinduri marine, foste acumulări de nisip de plajă care au fost înglobate în câmpia deltaică pe măsură ce delta a progradat. Grindurile marine pot fi regăsite izolate sau juxtapuse, alcătuind așa numitele formațiuni de acumulare. Câteva astfel de formațiuni sunt Sărăturile, Letea, Perișor și Chituc.</w:t>
      </w:r>
    </w:p>
    <w:p w14:paraId="045FF5E8" w14:textId="77777777" w:rsidR="008635C2" w:rsidRDefault="008635C2" w:rsidP="008635C2">
      <w:pPr>
        <w:spacing w:before="0"/>
        <w:ind w:firstLine="567"/>
        <w:rPr>
          <w:rFonts w:eastAsia="Times New Roman" w:cs="Times New Roman"/>
        </w:rPr>
      </w:pPr>
      <w:r>
        <w:rPr>
          <w:rFonts w:eastAsia="Times New Roman" w:cs="Times New Roman"/>
        </w:rPr>
        <w:t>Frontul deltaic, cu o suprafață de circa 1.300 km</w:t>
      </w:r>
      <w:r>
        <w:rPr>
          <w:rFonts w:eastAsia="Times New Roman" w:cs="Times New Roman"/>
          <w:vertAlign w:val="superscript"/>
        </w:rPr>
        <w:t>2</w:t>
      </w:r>
      <w:r>
        <w:rPr>
          <w:rFonts w:eastAsia="Times New Roman" w:cs="Times New Roman"/>
        </w:rPr>
        <w:t xml:space="preserve"> cuprinde platforma frontului deltaic și panta frontului deltaic. Morfologia de detaliu a frontului deltaic variază în fața gurii de vărsare a fiecărui braț, fiind în strânsă legătură cu cantitatea de sedimente transportată de fiecare distributar și, implicit, cu evoluția lobilor deltei.</w:t>
      </w:r>
    </w:p>
    <w:p w14:paraId="70696D37" w14:textId="77777777" w:rsidR="008635C2" w:rsidRDefault="008635C2" w:rsidP="008635C2">
      <w:pPr>
        <w:spacing w:before="0"/>
        <w:ind w:firstLine="567"/>
        <w:rPr>
          <w:rFonts w:eastAsia="Times New Roman" w:cs="Times New Roman"/>
        </w:rPr>
      </w:pPr>
      <w:r>
        <w:rPr>
          <w:rFonts w:eastAsia="Times New Roman" w:cs="Times New Roman"/>
        </w:rPr>
        <w:t>Prodelta ocupă mai mult de 5.500 km</w:t>
      </w:r>
      <w:r>
        <w:rPr>
          <w:rFonts w:eastAsia="Times New Roman" w:cs="Times New Roman"/>
          <w:vertAlign w:val="superscript"/>
        </w:rPr>
        <w:t>2</w:t>
      </w:r>
      <w:r>
        <w:rPr>
          <w:rFonts w:eastAsia="Times New Roman" w:cs="Times New Roman"/>
        </w:rPr>
        <w:t>, de la baza frontului deltaic până la adâncimi de 50-60 m. Limita estică a prodeltei este clară spre est, însă dificil de localizat spre sud, din cauza driftului litoral care dispersează pe o suprafață foarte mare sedimentele fine aduse de Dunăre în mare. Influența acestui material fin se simte pe tot platoul continental românesc al Mării Negre, până la sud de Constanta (Panin, 1989).</w:t>
      </w:r>
    </w:p>
    <w:p w14:paraId="178FD011" w14:textId="77777777" w:rsidR="008635C2" w:rsidRDefault="008635C2" w:rsidP="008635C2">
      <w:pPr>
        <w:spacing w:before="0"/>
        <w:rPr>
          <w:rFonts w:eastAsia="Times New Roman" w:cs="Times New Roman"/>
          <w:i/>
        </w:rPr>
      </w:pPr>
      <w:r>
        <w:rPr>
          <w:rFonts w:eastAsia="Times New Roman" w:cs="Times New Roman"/>
          <w:i/>
        </w:rPr>
        <w:t>Dobrogea centrală</w:t>
      </w:r>
    </w:p>
    <w:p w14:paraId="032DE409" w14:textId="77777777" w:rsidR="008635C2" w:rsidRDefault="008635C2" w:rsidP="008635C2">
      <w:pPr>
        <w:spacing w:before="0"/>
        <w:ind w:firstLine="567"/>
        <w:rPr>
          <w:rFonts w:eastAsia="Times New Roman" w:cs="Times New Roman"/>
        </w:rPr>
      </w:pPr>
      <w:r>
        <w:rPr>
          <w:rFonts w:eastAsia="Times New Roman" w:cs="Times New Roman"/>
        </w:rPr>
        <w:t>Fundamentul metamorfozat Neoproterozoic-Cambrian inferior aflorează pe arii extinse, fiind acoperit local de formațiuni calcaroase de vârstă jurasică aflate în axul unor structuri sinclinale largi, foarte erodate. Pătura de formațiuni cuaternare este subțire și lipsită de continuitate.</w:t>
      </w:r>
    </w:p>
    <w:p w14:paraId="1291E82B" w14:textId="77777777" w:rsidR="008635C2" w:rsidRDefault="008635C2" w:rsidP="008635C2">
      <w:pPr>
        <w:spacing w:before="0"/>
        <w:rPr>
          <w:rFonts w:eastAsia="Times New Roman" w:cs="Times New Roman"/>
          <w:i/>
        </w:rPr>
      </w:pPr>
      <w:r>
        <w:rPr>
          <w:rFonts w:eastAsia="Times New Roman" w:cs="Times New Roman"/>
          <w:i/>
        </w:rPr>
        <w:t>Dobrogea de Sud</w:t>
      </w:r>
    </w:p>
    <w:p w14:paraId="02846443" w14:textId="77777777" w:rsidR="008635C2" w:rsidRDefault="008635C2" w:rsidP="008635C2">
      <w:pPr>
        <w:spacing w:before="0"/>
        <w:ind w:firstLine="567"/>
        <w:rPr>
          <w:rFonts w:eastAsia="Times New Roman" w:cs="Times New Roman"/>
        </w:rPr>
      </w:pPr>
      <w:r>
        <w:rPr>
          <w:rFonts w:eastAsia="Times New Roman" w:cs="Times New Roman"/>
        </w:rPr>
        <w:t xml:space="preserve">Platforma Sud Dobrogeană se dezvoltă la sud de falia Capidava-Ovidiu. Alcătuirea sa geologică este cea a unei platforme tipice, cu un fundament cristalin Precambrian, peste care se dispun formațiuni sedimentare care acoperă intervalul stratigrafic Paleozoic-Cuaternar, fiind întrerupt de câteva lacune de sedimentare. Cuvertura sedimentară acoperă intervalul stratigrafic Paleozoic-Neozoic, fiind prezente numeroase discontinuități și lacune de sedimentare. Formațiunile geologice aparțin următoarelor cicluri de sedimentare: </w:t>
      </w:r>
    </w:p>
    <w:p w14:paraId="2C071005" w14:textId="77777777" w:rsidR="008635C2" w:rsidRDefault="008635C2" w:rsidP="008635C2">
      <w:pPr>
        <w:spacing w:before="0"/>
        <w:ind w:left="567"/>
        <w:rPr>
          <w:rFonts w:eastAsia="Times New Roman" w:cs="Times New Roman"/>
        </w:rPr>
      </w:pPr>
      <w:r>
        <w:rPr>
          <w:rFonts w:eastAsia="Times New Roman" w:cs="Times New Roman"/>
        </w:rPr>
        <w:lastRenderedPageBreak/>
        <w:t>•</w:t>
      </w:r>
      <w:r>
        <w:rPr>
          <w:rFonts w:eastAsia="Times New Roman" w:cs="Times New Roman"/>
        </w:rPr>
        <w:tab/>
        <w:t>Ciclul Paleozoic, care include roci terigene de origine marină din intervalul Cambrian superior-Devonian inferior, precum și depozite carbonatice și serii paralice cu cărbuni în intervalul Devonian mediu –Carbonifer inferior;</w:t>
      </w:r>
    </w:p>
    <w:p w14:paraId="25FE53B5" w14:textId="77777777" w:rsidR="008635C2" w:rsidRDefault="008635C2" w:rsidP="008635C2">
      <w:pPr>
        <w:spacing w:before="0"/>
        <w:ind w:left="567"/>
        <w:rPr>
          <w:rFonts w:eastAsia="Times New Roman" w:cs="Times New Roman"/>
        </w:rPr>
      </w:pPr>
      <w:r>
        <w:rPr>
          <w:rFonts w:eastAsia="Times New Roman" w:cs="Times New Roman"/>
        </w:rPr>
        <w:t>•</w:t>
      </w:r>
      <w:r>
        <w:rPr>
          <w:rFonts w:eastAsia="Times New Roman" w:cs="Times New Roman"/>
        </w:rPr>
        <w:tab/>
        <w:t>Ciclu Permo-Triasic în facies germanic cu secvențe inferioare și superioare detritice separate printr-o formațiuni carbonatice;</w:t>
      </w:r>
    </w:p>
    <w:p w14:paraId="28DE009A" w14:textId="77777777" w:rsidR="008635C2" w:rsidRDefault="008635C2" w:rsidP="008635C2">
      <w:pPr>
        <w:spacing w:before="0"/>
        <w:ind w:left="567"/>
        <w:rPr>
          <w:rFonts w:eastAsia="Times New Roman" w:cs="Times New Roman"/>
        </w:rPr>
      </w:pPr>
      <w:r>
        <w:rPr>
          <w:rFonts w:eastAsia="Times New Roman" w:cs="Times New Roman"/>
        </w:rPr>
        <w:t>•</w:t>
      </w:r>
      <w:r>
        <w:rPr>
          <w:rFonts w:eastAsia="Times New Roman" w:cs="Times New Roman"/>
        </w:rPr>
        <w:tab/>
        <w:t>Ciclul Jurasic și Cretacic reprezentat prin Jurasicul mediu–detritic; Jurasic superior–Barremian, dominant carbonatic și Cretacicul superior care este calcaros-marnos;</w:t>
      </w:r>
    </w:p>
    <w:p w14:paraId="67C9D01C" w14:textId="77777777" w:rsidR="008635C2" w:rsidRDefault="008635C2" w:rsidP="008635C2">
      <w:pPr>
        <w:spacing w:before="0"/>
        <w:ind w:left="567"/>
        <w:rPr>
          <w:rFonts w:eastAsia="Times New Roman" w:cs="Times New Roman"/>
        </w:rPr>
      </w:pPr>
      <w:r>
        <w:rPr>
          <w:rFonts w:eastAsia="Times New Roman" w:cs="Times New Roman"/>
        </w:rPr>
        <w:t>•</w:t>
      </w:r>
      <w:r>
        <w:rPr>
          <w:rFonts w:eastAsia="Times New Roman" w:cs="Times New Roman"/>
        </w:rPr>
        <w:tab/>
        <w:t>Ciclul Badenian – Pleistocen reprezentat prin depozite predominant detritice care reflectă evoluția bazinului, de la un bazin marin de mică adâncime, la unul continental (excepție fac calcarele eocene).</w:t>
      </w:r>
    </w:p>
    <w:p w14:paraId="4441BCE8" w14:textId="77777777" w:rsidR="008635C2" w:rsidRDefault="008635C2" w:rsidP="008635C2">
      <w:pPr>
        <w:spacing w:before="0"/>
        <w:rPr>
          <w:rFonts w:eastAsia="Times New Roman" w:cs="Times New Roman"/>
          <w:i/>
        </w:rPr>
      </w:pPr>
      <w:r>
        <w:rPr>
          <w:rFonts w:eastAsia="Times New Roman" w:cs="Times New Roman"/>
          <w:i/>
        </w:rPr>
        <w:t>Formațiunile geologice întâlnite în zona litorală sudică</w:t>
      </w:r>
    </w:p>
    <w:p w14:paraId="28F8D7FD" w14:textId="77777777" w:rsidR="008635C2" w:rsidRDefault="008635C2" w:rsidP="008635C2">
      <w:pPr>
        <w:spacing w:before="0"/>
        <w:ind w:firstLine="567"/>
        <w:rPr>
          <w:rFonts w:eastAsia="Times New Roman" w:cs="Times New Roman"/>
        </w:rPr>
      </w:pPr>
      <w:r>
        <w:rPr>
          <w:rFonts w:eastAsia="Times New Roman" w:cs="Times New Roman"/>
        </w:rPr>
        <w:t>De la Capul Midia spre sud, până la Vama Veche și chiar mai departe, pe teritoriul Bulgariei, în zona litorală aflorează depozite antecuaternare. Astfel, șisturile verzi ale Dobrogei centrale, de vârsta precambrian superior, aflorează la Cetatea Histria, lângă satul Vadu, în faleza sudică a lacului Tașaul, precum și la țărmul mării, la baza falezei Capului Clisargic. Jurasicul superior calcaros (Oxfordian și Kimmeridgian) aflorează la Cap Midia și pe malul lacului Siutghiol (Chiriac, 1960; Drăgănescu, 1976). Tot în zona lacului Siutghiol apar și depozite cretacice aparținând Barremianului, Aptianului și Senonianului (Chiriac, 1960).</w:t>
      </w:r>
    </w:p>
    <w:p w14:paraId="6D82D83A" w14:textId="77777777" w:rsidR="008635C2" w:rsidRDefault="008635C2" w:rsidP="008635C2">
      <w:pPr>
        <w:spacing w:before="0"/>
        <w:ind w:firstLine="567"/>
        <w:rPr>
          <w:rFonts w:eastAsia="Times New Roman" w:cs="Times New Roman"/>
        </w:rPr>
      </w:pPr>
      <w:r>
        <w:rPr>
          <w:rFonts w:eastAsia="Times New Roman" w:cs="Times New Roman"/>
        </w:rPr>
        <w:t>Sarmatianul reprezintă formațiunea cea mai răspândită. Calcarele de vârsta Sarmatian mediu (Bassarabian) și Sarmatian superior (Kersonian) alcătuiesc baza falezei marine (Chiriac,1960) de pe litoralul sudic. Deasupra calcarelor sarmatiene se întâlnesc depozite argiloase de vârsta Pleistocen inferior.</w:t>
      </w:r>
    </w:p>
    <w:p w14:paraId="4FAE28AC" w14:textId="77777777" w:rsidR="008635C2" w:rsidRDefault="008635C2" w:rsidP="008635C2">
      <w:pPr>
        <w:spacing w:before="0"/>
        <w:ind w:firstLine="567"/>
        <w:rPr>
          <w:rFonts w:eastAsia="Times New Roman" w:cs="Times New Roman"/>
        </w:rPr>
      </w:pPr>
      <w:r>
        <w:rPr>
          <w:rFonts w:eastAsia="Times New Roman" w:cs="Times New Roman"/>
        </w:rPr>
        <w:t>Pleistocenul mediu și superior este reprezentat prin depozite groase de loess, care reprezintă o rocă slab consolidată, friabilă, alcătuită din material detritic de granulație siltică și subordonat nisipos foarte fină, depuse eolian. Loessurile au intercalate 7 grupe de paleosoluri.</w:t>
      </w:r>
    </w:p>
    <w:p w14:paraId="675B3536" w14:textId="77777777" w:rsidR="008635C2" w:rsidRDefault="008635C2" w:rsidP="008635C2">
      <w:pPr>
        <w:spacing w:before="0"/>
        <w:rPr>
          <w:rFonts w:eastAsia="Times New Roman" w:cs="Times New Roman"/>
          <w:i/>
        </w:rPr>
      </w:pPr>
      <w:r>
        <w:rPr>
          <w:rFonts w:eastAsia="Times New Roman" w:cs="Times New Roman"/>
          <w:i/>
        </w:rPr>
        <w:t>Hidrogeologia sectorului litoral</w:t>
      </w:r>
    </w:p>
    <w:p w14:paraId="31153395" w14:textId="77777777" w:rsidR="008635C2" w:rsidRDefault="008635C2" w:rsidP="008635C2">
      <w:pPr>
        <w:spacing w:before="0"/>
        <w:rPr>
          <w:rFonts w:eastAsia="Times New Roman" w:cs="Times New Roman"/>
        </w:rPr>
      </w:pPr>
      <w:r>
        <w:rPr>
          <w:rFonts w:eastAsia="Times New Roman" w:cs="Times New Roman"/>
        </w:rPr>
        <w:t>Delta Dunării</w:t>
      </w:r>
    </w:p>
    <w:p w14:paraId="1568A23D" w14:textId="77777777" w:rsidR="008635C2" w:rsidRDefault="008635C2" w:rsidP="008635C2">
      <w:pPr>
        <w:spacing w:before="0"/>
        <w:ind w:firstLine="567"/>
        <w:rPr>
          <w:rFonts w:eastAsia="Times New Roman" w:cs="Times New Roman"/>
        </w:rPr>
      </w:pPr>
      <w:r>
        <w:rPr>
          <w:rFonts w:eastAsia="Times New Roman" w:cs="Times New Roman"/>
        </w:rPr>
        <w:t>În sectorul nordic al zonei costiere, apa subterană este prezentă sub forma unui acvifer superficial, cantonat în depozitele fluviatile și deltaice cvasiprezente și are caracteristicile unui acvifer cu nivel liber. Acviferul este în legătură hidraulică directă atât cu Dunărea, cât și cu Marea Neagră, variațiile de nivel ale acestuia fiind influențate în mod principal de regimul hidrologic al acestora și doar secundar de regimul precipitațiilor. Contactul hidrogeologic între apele sărate ale Mării Negre și cele ale Dunării este variabil spațial și în timp, fiind determinat de raportul nivelurilor piezometrice ale celor două entități. Până în prezent nu se cunosc relatări asupra prezenței acviferelor de adâncime în sectorul de nord.</w:t>
      </w:r>
    </w:p>
    <w:p w14:paraId="6A24C018" w14:textId="77777777" w:rsidR="008635C2" w:rsidRDefault="008635C2" w:rsidP="008635C2">
      <w:pPr>
        <w:spacing w:before="0"/>
        <w:rPr>
          <w:rFonts w:eastAsia="Times New Roman" w:cs="Times New Roman"/>
        </w:rPr>
      </w:pPr>
      <w:r>
        <w:rPr>
          <w:rFonts w:eastAsia="Times New Roman" w:cs="Times New Roman"/>
        </w:rPr>
        <w:t>Masivul Central Dobrogean</w:t>
      </w:r>
    </w:p>
    <w:p w14:paraId="1EEA52EE" w14:textId="77777777" w:rsidR="008635C2" w:rsidRDefault="008635C2" w:rsidP="008635C2">
      <w:pPr>
        <w:spacing w:before="0"/>
        <w:ind w:firstLine="567"/>
        <w:rPr>
          <w:rFonts w:eastAsia="Times New Roman" w:cs="Times New Roman"/>
        </w:rPr>
      </w:pPr>
      <w:r>
        <w:rPr>
          <w:rFonts w:eastAsia="Times New Roman" w:cs="Times New Roman"/>
        </w:rPr>
        <w:t xml:space="preserve">Formațiunea șisturile verzi reprezintă o formațiune de orogen, considerată de unii autori ca formațiune de flis, afectată de un metamorfism regional, care a produs suficiente </w:t>
      </w:r>
      <w:r>
        <w:rPr>
          <w:rFonts w:eastAsia="Times New Roman" w:cs="Times New Roman"/>
        </w:rPr>
        <w:lastRenderedPageBreak/>
        <w:t>transformări de structură și textură a rocilor, făcându-le impermeabile. În zona costieră a Dobrogei Centrale, formațiunea șisturilor verzi aflorează la baza falezei de la Capul Clisargic, din dreptul comunei Corbu, peste care s-au intersectat în foraje, fie calcare jurasice, fie petice de nisipuri aptiene, capabile să rețină volume relativ mici de apă potabilă. Pompările excesive favorizează infiltrarea apei marine.</w:t>
      </w:r>
    </w:p>
    <w:p w14:paraId="1E7C31C1" w14:textId="77777777" w:rsidR="008635C2" w:rsidRDefault="008635C2" w:rsidP="008635C2">
      <w:pPr>
        <w:spacing w:before="0"/>
        <w:rPr>
          <w:rFonts w:eastAsia="Times New Roman" w:cs="Times New Roman"/>
        </w:rPr>
      </w:pPr>
      <w:r>
        <w:rPr>
          <w:rFonts w:eastAsia="Times New Roman" w:cs="Times New Roman"/>
        </w:rPr>
        <w:t>Dobrogea de Sud</w:t>
      </w:r>
    </w:p>
    <w:p w14:paraId="1D8D82EC" w14:textId="77777777" w:rsidR="008635C2" w:rsidRDefault="008635C2" w:rsidP="008635C2">
      <w:pPr>
        <w:spacing w:before="0"/>
        <w:ind w:firstLine="567"/>
        <w:rPr>
          <w:rFonts w:eastAsia="Times New Roman" w:cs="Times New Roman"/>
        </w:rPr>
      </w:pPr>
      <w:r>
        <w:rPr>
          <w:rFonts w:eastAsia="Times New Roman" w:cs="Times New Roman"/>
        </w:rPr>
        <w:t>Pe arealul Dobrogei de Sud se evidențiază două acvifere majore suprapuse, cu dezvoltare regională, respectiv un acviferul superior, cantonat în depozite calcaroase de vărsta sarmatian, având grosimi de până la 150 m și nivel liber și un acvifer inferior, sub presiune, cantonat în calcare și dolomite aparținând Jurasicului superior și Cretacicului inferior, cu grosimi de 200–1200 m. La scara întregului teritoriu al Dobrogei de Sud există numeroase interferențe între apele de suprafață, reprezentate în special de sistemul lacustru ce bordează litoralul românesc, canalul Dunăre–Marea Neagră, canalul Poarta Albă-Midia Năvodari și canalele pentru irigații și apele subterane cantonate în cele doua acvifere amintite.</w:t>
      </w:r>
    </w:p>
    <w:p w14:paraId="58E447FD" w14:textId="53E13B2D" w:rsidR="008635C2" w:rsidRDefault="008635C2" w:rsidP="008635C2">
      <w:pPr>
        <w:pStyle w:val="Heading4"/>
      </w:pPr>
      <w:bookmarkStart w:id="59" w:name="_Toc169625120"/>
      <w:r>
        <w:t>2.4.1.3 Hidrologie</w:t>
      </w:r>
      <w:bookmarkEnd w:id="59"/>
    </w:p>
    <w:p w14:paraId="48AA8DDA" w14:textId="77777777" w:rsidR="008635C2" w:rsidRDefault="008635C2" w:rsidP="008635C2">
      <w:pPr>
        <w:spacing w:before="0"/>
        <w:ind w:firstLine="567"/>
        <w:rPr>
          <w:rFonts w:eastAsia="Times New Roman" w:cs="Times New Roman"/>
        </w:rPr>
      </w:pPr>
      <w:r>
        <w:rPr>
          <w:rFonts w:eastAsia="Times New Roman" w:cs="Times New Roman"/>
        </w:rPr>
        <w:t>Apele curgătoare sunt reprezentate în zona deltei de brațele principale ale Dunării, canale cu circulație activă a apei, canale şi gârle din zone naturale cu regim liber și canale şi gârle din interiorul incintelor amenajate cu circulaţia apei controlată sau fără circulaţie a apei (ex. incinta Murighiol).</w:t>
      </w:r>
    </w:p>
    <w:p w14:paraId="5210AEF9" w14:textId="77777777" w:rsidR="008635C2" w:rsidRDefault="008635C2" w:rsidP="008635C2">
      <w:pPr>
        <w:spacing w:before="0"/>
        <w:ind w:firstLine="567"/>
        <w:rPr>
          <w:rFonts w:eastAsia="Times New Roman" w:cs="Times New Roman"/>
        </w:rPr>
      </w:pPr>
      <w:r>
        <w:rPr>
          <w:rFonts w:eastAsia="Times New Roman" w:cs="Times New Roman"/>
        </w:rPr>
        <w:t xml:space="preserve"> Brațul Chilia este cel mai tânăr și mai lung (120 km) și transportă cea mai mare cantitate de apă. În zona costieră, brațul Chilia este localizat începând din dreptul localităţii Periprava, până la gura de vărsare a brațului Musura. Brațul Sulina, localizat în zona costieră de la Mila 10 până la vărsarea în mare, este deversorul central al Dunării și este singurul braț navigabil, cu o lungime de 83,8 km. Brațul Sfântul Gheorghe, localizat în zona costieră aproximativ din dreptul localităţii Murighiol până la vărsare, este cel mai sudic și mai vechi braț din Delta Dunării, cu o lungime de 108 km, suferind și el, de-a lungul timpului, modificări prin rectificarea meandrelor sale (Tiron, 2010). Înainte de vărsare, din brațul Sfântu Gheorghe se desprinde un alt braț, pe partea dreaptă, care, la rândul său, se bifurcă în Gârla de Mijloc și Gârla Turcească, ambele debușând într-un golf - Meleaua Sacalin.</w:t>
      </w:r>
    </w:p>
    <w:p w14:paraId="65156AEF" w14:textId="77777777" w:rsidR="008635C2" w:rsidRDefault="008635C2" w:rsidP="008635C2">
      <w:pPr>
        <w:spacing w:before="0"/>
        <w:ind w:firstLine="567"/>
        <w:rPr>
          <w:rFonts w:eastAsia="Times New Roman" w:cs="Times New Roman"/>
        </w:rPr>
      </w:pPr>
      <w:r>
        <w:rPr>
          <w:rFonts w:eastAsia="Times New Roman" w:cs="Times New Roman"/>
        </w:rPr>
        <w:t>Canalele cu circulaţie activă a apei sunt reprezentate de Dunavăţ, Dranov, Lipoveni, etc., în timp ce canalele și gârlele din zone naturale cu regim liber sunt reprezentate, printre altele, de Ivancea, Crasnicol, Tărâţă-Belciug, Lejai, Palade, Buhaz-Zăton, Vătafu-Împuţita, canalul Japşa Vătafu, Gârla Macovei, Perişor, centura Lipoveni-Dranov, canal între canalele Dunavăţ şi Dranov paralel cu brațul Sfântul Gheorghe.</w:t>
      </w:r>
    </w:p>
    <w:p w14:paraId="01B442EC" w14:textId="77777777" w:rsidR="008635C2" w:rsidRDefault="008635C2" w:rsidP="008635C2">
      <w:pPr>
        <w:spacing w:before="0"/>
        <w:ind w:firstLine="567"/>
        <w:rPr>
          <w:rFonts w:eastAsia="Times New Roman" w:cs="Times New Roman"/>
        </w:rPr>
      </w:pPr>
      <w:r>
        <w:rPr>
          <w:rFonts w:eastAsia="Times New Roman" w:cs="Times New Roman"/>
        </w:rPr>
        <w:t xml:space="preserve">În ceea ce privește râurile din zona costieră, marea lor majoritate au văi înguste şi caracter intermitent şi se termină în lacuri de tip liman. Cursurile de apă mai importante din zona de studiu sunt: râul Casimcea care se varsă în lacul Taşaul şi canalul Carasu în lungul căruia s-a realizat cea mai mare parte a canalului Dunăre - Marea Neagră. </w:t>
      </w:r>
    </w:p>
    <w:p w14:paraId="7B780104" w14:textId="77777777" w:rsidR="008635C2" w:rsidRDefault="008635C2" w:rsidP="008635C2">
      <w:pPr>
        <w:spacing w:before="0"/>
        <w:ind w:firstLine="567"/>
        <w:rPr>
          <w:rFonts w:eastAsia="Times New Roman" w:cs="Times New Roman"/>
        </w:rPr>
      </w:pPr>
      <w:r>
        <w:rPr>
          <w:rFonts w:eastAsia="Times New Roman" w:cs="Times New Roman"/>
        </w:rPr>
        <w:lastRenderedPageBreak/>
        <w:t>Apele stagnante includ lacurile, apele costiere, lagune conectate la mare şi golfurile parţial închise. În zona deltei şi a complexului Razim-Sinoe cele mai importante lacuri sunt următoarele:</w:t>
      </w:r>
    </w:p>
    <w:p w14:paraId="45CBF9E1" w14:textId="77777777" w:rsidR="008635C2" w:rsidRDefault="008635C2" w:rsidP="008635C2">
      <w:pPr>
        <w:spacing w:before="0"/>
        <w:ind w:firstLine="567"/>
        <w:rPr>
          <w:rFonts w:eastAsia="Times New Roman" w:cs="Times New Roman"/>
        </w:rPr>
      </w:pPr>
      <w:r>
        <w:rPr>
          <w:rFonts w:eastAsia="Times New Roman" w:cs="Times New Roman"/>
        </w:rPr>
        <w:t>•</w:t>
      </w:r>
      <w:r>
        <w:rPr>
          <w:rFonts w:eastAsia="Times New Roman" w:cs="Times New Roman"/>
        </w:rPr>
        <w:tab/>
        <w:t>Complexul acvatic Roşu-Puiu: lacurile Roșu, Roșuleț, Lumina, Rotund-Puiuleţ, Vătafu, Erenciuc, Bondarului, Potcoava 2;</w:t>
      </w:r>
    </w:p>
    <w:p w14:paraId="3D3E0E38" w14:textId="77777777" w:rsidR="008635C2" w:rsidRDefault="008635C2" w:rsidP="008635C2">
      <w:pPr>
        <w:spacing w:before="0"/>
        <w:ind w:firstLine="567"/>
        <w:rPr>
          <w:rFonts w:eastAsia="Times New Roman" w:cs="Times New Roman"/>
        </w:rPr>
      </w:pPr>
      <w:r>
        <w:rPr>
          <w:rFonts w:eastAsia="Times New Roman" w:cs="Times New Roman"/>
        </w:rPr>
        <w:t>•</w:t>
      </w:r>
      <w:r>
        <w:rPr>
          <w:rFonts w:eastAsia="Times New Roman" w:cs="Times New Roman"/>
        </w:rPr>
        <w:tab/>
        <w:t>Complexul acvatic Gorgova-Uzlina: lacurile Uzlina, Isac, Isăcel, Cuibul cu Lebede, Pojarnia, Taranova;</w:t>
      </w:r>
    </w:p>
    <w:p w14:paraId="10B46040" w14:textId="77777777" w:rsidR="008635C2" w:rsidRDefault="008635C2" w:rsidP="008635C2">
      <w:pPr>
        <w:spacing w:before="0"/>
        <w:ind w:firstLine="567"/>
        <w:rPr>
          <w:rFonts w:eastAsia="Times New Roman" w:cs="Times New Roman"/>
        </w:rPr>
      </w:pPr>
      <w:r>
        <w:rPr>
          <w:rFonts w:eastAsia="Times New Roman" w:cs="Times New Roman"/>
        </w:rPr>
        <w:t>•</w:t>
      </w:r>
      <w:r>
        <w:rPr>
          <w:rFonts w:eastAsia="Times New Roman" w:cs="Times New Roman"/>
        </w:rPr>
        <w:tab/>
        <w:t>Complexul acvatic Dunavăţ-Dranov: lacurile Dranov, Belciug, Zătonul Mare (lagună conectată la mare);</w:t>
      </w:r>
    </w:p>
    <w:p w14:paraId="72DD2BEC" w14:textId="77777777" w:rsidR="008635C2" w:rsidRDefault="008635C2" w:rsidP="008635C2">
      <w:pPr>
        <w:spacing w:before="0"/>
        <w:ind w:firstLine="567"/>
        <w:rPr>
          <w:rFonts w:eastAsia="Times New Roman" w:cs="Times New Roman"/>
        </w:rPr>
      </w:pPr>
      <w:r>
        <w:rPr>
          <w:rFonts w:eastAsia="Times New Roman" w:cs="Times New Roman"/>
        </w:rPr>
        <w:t>•</w:t>
      </w:r>
      <w:r>
        <w:rPr>
          <w:rFonts w:eastAsia="Times New Roman" w:cs="Times New Roman"/>
        </w:rPr>
        <w:tab/>
        <w:t>Lacul Răducului;</w:t>
      </w:r>
    </w:p>
    <w:p w14:paraId="29EAF12D" w14:textId="77777777" w:rsidR="008635C2" w:rsidRDefault="008635C2" w:rsidP="008635C2">
      <w:pPr>
        <w:spacing w:before="0"/>
        <w:ind w:firstLine="567"/>
        <w:rPr>
          <w:rFonts w:eastAsia="Times New Roman" w:cs="Times New Roman"/>
        </w:rPr>
      </w:pPr>
      <w:r>
        <w:rPr>
          <w:rFonts w:eastAsia="Times New Roman" w:cs="Times New Roman"/>
        </w:rPr>
        <w:t>•</w:t>
      </w:r>
      <w:r>
        <w:rPr>
          <w:rFonts w:eastAsia="Times New Roman" w:cs="Times New Roman"/>
        </w:rPr>
        <w:tab/>
        <w:t>Complexul acvatic Razim-Sinoie: lacurile Razim, Sinoe (lagună conectată la mare) cu lacurile Istria, Nuntași și Tuzla, lacul Zmeica.</w:t>
      </w:r>
    </w:p>
    <w:p w14:paraId="35330950" w14:textId="77777777" w:rsidR="008635C2" w:rsidRDefault="008635C2" w:rsidP="008635C2">
      <w:pPr>
        <w:spacing w:before="0"/>
        <w:ind w:firstLine="567"/>
        <w:rPr>
          <w:rFonts w:eastAsia="Times New Roman" w:cs="Times New Roman"/>
        </w:rPr>
      </w:pPr>
      <w:r>
        <w:rPr>
          <w:rFonts w:eastAsia="Times New Roman" w:cs="Times New Roman"/>
        </w:rPr>
        <w:t>Cele mai importante sisteme hidrografice din sudul zonei costiere sunt: Lacul Siutghiol (S=19,56 km²; V=90-215 mil. m³), Limanul Tăbăcăria (S=10,68 km²; V=2,032 mil. m³), Limanul Agigea (S=0,35 km²) care are un bazin de recepție de 42,2 km², Limanul Techirghiol (S=10,68 Km²; V=50 mil. m³; h=9 m) este cel mai întins liman fluvio-marin din zona de litoral, Limanul Tatlageac (S=1,41 km</w:t>
      </w:r>
      <w:r>
        <w:rPr>
          <w:rFonts w:eastAsia="Times New Roman" w:cs="Times New Roman"/>
          <w:vertAlign w:val="superscript"/>
        </w:rPr>
        <w:t>2</w:t>
      </w:r>
      <w:r>
        <w:rPr>
          <w:rFonts w:eastAsia="Times New Roman" w:cs="Times New Roman"/>
        </w:rPr>
        <w:t>, V=2,2 mil.m</w:t>
      </w:r>
      <w:r>
        <w:rPr>
          <w:rFonts w:eastAsia="Times New Roman" w:cs="Times New Roman"/>
          <w:vertAlign w:val="superscript"/>
        </w:rPr>
        <w:t>3</w:t>
      </w:r>
      <w:r>
        <w:rPr>
          <w:rFonts w:eastAsia="Times New Roman" w:cs="Times New Roman"/>
        </w:rPr>
        <w:t>) și limanul Mangalia (S=2,61 km</w:t>
      </w:r>
      <w:r>
        <w:rPr>
          <w:rFonts w:eastAsia="Times New Roman" w:cs="Times New Roman"/>
          <w:vertAlign w:val="superscript"/>
        </w:rPr>
        <w:t>2</w:t>
      </w:r>
      <w:r>
        <w:rPr>
          <w:rFonts w:eastAsia="Times New Roman" w:cs="Times New Roman"/>
        </w:rPr>
        <w:t>, V=15 mil.m</w:t>
      </w:r>
      <w:r>
        <w:rPr>
          <w:rFonts w:eastAsia="Times New Roman" w:cs="Times New Roman"/>
          <w:vertAlign w:val="superscript"/>
        </w:rPr>
        <w:t>3</w:t>
      </w:r>
      <w:r>
        <w:rPr>
          <w:rFonts w:eastAsia="Times New Roman" w:cs="Times New Roman"/>
        </w:rPr>
        <w:t>).</w:t>
      </w:r>
    </w:p>
    <w:p w14:paraId="01F92439" w14:textId="77777777" w:rsidR="008635C2" w:rsidRDefault="008635C2" w:rsidP="008635C2">
      <w:pPr>
        <w:spacing w:before="0"/>
        <w:ind w:firstLine="567"/>
        <w:rPr>
          <w:rFonts w:eastAsia="Times New Roman" w:cs="Times New Roman"/>
        </w:rPr>
      </w:pPr>
      <w:r>
        <w:rPr>
          <w:rFonts w:eastAsia="Times New Roman" w:cs="Times New Roman"/>
        </w:rPr>
        <w:t>Apele marine, exceptând Golful Musura şi Meleaua Sfântu Gheorghe (golfuri parţial închise) corespund platformei continentale românești. Partea marină a zonei costiere, așa cum este definită în cadrul acestui studiu, cuprinde apele teritoriale, de la linia de bază pâna la 12 mile marine în larg. Principalele caracteristici hidrologice:</w:t>
      </w:r>
    </w:p>
    <w:p w14:paraId="4DEF503C" w14:textId="77777777" w:rsidR="008635C2" w:rsidRDefault="008635C2" w:rsidP="008635C2">
      <w:pPr>
        <w:spacing w:before="0"/>
        <w:rPr>
          <w:rFonts w:eastAsia="Times New Roman" w:cs="Times New Roman"/>
          <w:i/>
        </w:rPr>
      </w:pPr>
      <w:r>
        <w:rPr>
          <w:rFonts w:eastAsia="Times New Roman" w:cs="Times New Roman"/>
          <w:i/>
        </w:rPr>
        <w:t>Curenții marini</w:t>
      </w:r>
    </w:p>
    <w:p w14:paraId="70E5EA1C" w14:textId="77777777" w:rsidR="008635C2" w:rsidRDefault="008635C2" w:rsidP="008635C2">
      <w:pPr>
        <w:spacing w:before="0"/>
        <w:ind w:firstLine="567"/>
        <w:rPr>
          <w:rFonts w:eastAsia="Times New Roman" w:cs="Times New Roman"/>
        </w:rPr>
      </w:pPr>
      <w:r>
        <w:rPr>
          <w:rFonts w:eastAsia="Times New Roman" w:cs="Times New Roman"/>
        </w:rPr>
        <w:t xml:space="preserve">Curenții de pe litoralul românesc al Mării Negre sunt generați de către vânt, de apele descărcate în mare la gurile Dunării, de morfologia fundului mării și, în apropierea țărmului, de către valuri. Forța pe care vântul o transmite prin frecare suprafeței mării, pune în mișcare masele de apă de suprafață sub forma unor curenți generați de vânt. La rândul lor, acești curenți sunt influențați de rotația Pământului prin accelerația Coriolis, care în emisfera nordică deviază curenții pe direcție orară (în sensul acelor de ceasornic). </w:t>
      </w:r>
    </w:p>
    <w:p w14:paraId="3F531C9F" w14:textId="77777777" w:rsidR="008635C2" w:rsidRDefault="008635C2" w:rsidP="008635C2">
      <w:pPr>
        <w:spacing w:before="0"/>
        <w:ind w:firstLine="567"/>
        <w:rPr>
          <w:rFonts w:eastAsia="Times New Roman" w:cs="Times New Roman"/>
        </w:rPr>
      </w:pPr>
      <w:r>
        <w:rPr>
          <w:rFonts w:eastAsia="Times New Roman" w:cs="Times New Roman"/>
        </w:rPr>
        <w:t xml:space="preserve">Pe timp calm, curenții de suprafață sunt generați de curenții fluviali din gurile Dunării. În aceste condiții curenții fluviali difuzează în mare sub formă de evantaiuri de jeturi de apă dulce, abătute spre dreapta de forța Coriolis, apărând astfel în stratul de suprafață al mării un câmp de curenți cu sensul de scurgere al apei orientat spre sud. Intensitatea curenților fluviali descrește pe măsură ce aceștia pătrund în mare, în urma amestecurilor maselor de apă (și, implicit, a depărtării de gurile Dunării), devenind practic nuli la câțiva kilometri depărtare de gurile de vărsare ale Dunării. </w:t>
      </w:r>
    </w:p>
    <w:p w14:paraId="727DE1B1" w14:textId="77777777" w:rsidR="008635C2" w:rsidRDefault="008635C2" w:rsidP="008635C2">
      <w:pPr>
        <w:spacing w:before="0"/>
        <w:ind w:firstLine="567"/>
        <w:rPr>
          <w:rFonts w:eastAsia="Times New Roman" w:cs="Times New Roman"/>
        </w:rPr>
      </w:pPr>
      <w:r>
        <w:rPr>
          <w:rFonts w:eastAsia="Times New Roman" w:cs="Times New Roman"/>
        </w:rPr>
        <w:t xml:space="preserve">În zona influențată de către curenții fluviali, în straturile mai adânci ale apei, se formează curenți slabi compensatori, de sens opus direcției curenților de suprafață. Regimul curenților compensatori este puternic influențat de diferențele de temperatură și salinitate în sezonul cald </w:t>
      </w:r>
      <w:r>
        <w:rPr>
          <w:rFonts w:eastAsia="Times New Roman" w:cs="Times New Roman"/>
        </w:rPr>
        <w:lastRenderedPageBreak/>
        <w:t>(lunile mai-septembrie). Dincolo de zona de influență a curenților fluviali, în perioadele de calm atmosferic, există un curent permanent dirijat spre sud cu viteze de circa 5-10 cm/s care se deplasează pe o fâșie litorală extinsă până la o distanță de circa 20-40 km. față de țărm. În această fâșie de larg, există concomitent un contracurent de fund mult mai slab față de cel de la suprafață, dirijat spre nord. Vânturile cu viteze mai mari de 5 m/s perturbă sistemul de curenți permanenți, formând curenți de vânt și curenți periodici. Durata de formare a curenților de vânt este foarte scurtă (câteva ore), după cum durata de stingere este ceva mai mare (de zeci de ore).</w:t>
      </w:r>
    </w:p>
    <w:p w14:paraId="62482CA6" w14:textId="77777777" w:rsidR="008635C2" w:rsidRDefault="008635C2" w:rsidP="008635C2">
      <w:pPr>
        <w:spacing w:before="0"/>
        <w:rPr>
          <w:rFonts w:eastAsia="Times New Roman" w:cs="Times New Roman"/>
          <w:i/>
        </w:rPr>
      </w:pPr>
      <w:r>
        <w:rPr>
          <w:rFonts w:eastAsia="Times New Roman" w:cs="Times New Roman"/>
          <w:i/>
        </w:rPr>
        <w:t>Valuri</w:t>
      </w:r>
    </w:p>
    <w:p w14:paraId="05E5C522" w14:textId="77777777" w:rsidR="008635C2" w:rsidRDefault="008635C2" w:rsidP="008635C2">
      <w:pPr>
        <w:spacing w:before="0"/>
        <w:ind w:firstLine="567"/>
        <w:rPr>
          <w:rFonts w:eastAsia="Times New Roman" w:cs="Times New Roman"/>
        </w:rPr>
      </w:pPr>
      <w:r>
        <w:rPr>
          <w:rFonts w:eastAsia="Times New Roman" w:cs="Times New Roman"/>
        </w:rPr>
        <w:t xml:space="preserve">Prin poziția sa geografică, zona costieră a litoralului românesc este expusă vânturilor producătoare de valuri. De asemenea, condițiile fizico-geografice ale zonei de larg, cu adâncimi de peste 30 m și cu întinderi libere de oglinzi de apă pe sute de kilometrii, permit producerea de valuri mari. Sub acest aspect, calmul atmosferic în zona litorală românească este în medie de circa 6,7 % din an (mai mare în sudul litoralului). Vânturile producătoare de valuri sunt cele cu viteze mai mari de 3 m/s. Aceste vânturi au o durată medie de circa 82 % din an. Sub acțiunea acestor vânturi se produc valuri de vânt și de hulă (rămase după diminuarea sau încetarea acțiunii vânturilor) în zona litorală românească. Calmul stării Mării Negre în zona litorală românească, este în medie de circa 1,9 % pe an, restul de timp fiind valuri de vânt circa 50,7 %, valuri de hulă cca 20,1 % și valuri combinate (de vânt și de hulă), circa 27,3 %. </w:t>
      </w:r>
    </w:p>
    <w:p w14:paraId="5AC8613F" w14:textId="77777777" w:rsidR="008635C2" w:rsidRDefault="008635C2" w:rsidP="008635C2">
      <w:pPr>
        <w:spacing w:before="0"/>
        <w:ind w:firstLine="567"/>
        <w:rPr>
          <w:rFonts w:eastAsia="Times New Roman" w:cs="Times New Roman"/>
        </w:rPr>
      </w:pPr>
      <w:r>
        <w:rPr>
          <w:rFonts w:eastAsia="Times New Roman" w:cs="Times New Roman"/>
        </w:rPr>
        <w:t>Înălțimea medie a valurilor de larg pe termen lung crește de la nord (0,85 m) la sud (0,95 m) în lungul coastei românești. Înălțimea maximă a valurilor este de asemenea mai mare în partea sudică decât în partea nordică a coastei. Direcțiile vântului și valurilor în larg sunt variabile în decursul anului. În orice caz, există diferențe în intensitatea vântului și în regimul valurilor pentru diferite anotimpuri. Cea mai calmă perioadă a anului este în lunile de vară în timp ce, cea mai agitată perioadă este în lunile de iarnă, perioada noiembrie-martie. Mai mult, valurile înalte din direcția sudică sunt în mod caracteristic asociate sezonului de iarnă.</w:t>
      </w:r>
    </w:p>
    <w:p w14:paraId="54DDFEBE" w14:textId="02CE433B" w:rsidR="008635C2" w:rsidRDefault="008635C2" w:rsidP="008635C2">
      <w:pPr>
        <w:pStyle w:val="Heading3"/>
      </w:pPr>
      <w:bookmarkStart w:id="60" w:name="_Toc150501464"/>
      <w:bookmarkStart w:id="61" w:name="_Toc169625121"/>
      <w:r>
        <w:t>2.4.2 Calitatea aerului, apelor și solurilor</w:t>
      </w:r>
      <w:bookmarkEnd w:id="60"/>
      <w:bookmarkEnd w:id="61"/>
    </w:p>
    <w:p w14:paraId="63829065" w14:textId="3DF5D5C5" w:rsidR="008635C2" w:rsidRDefault="008635C2" w:rsidP="008635C2">
      <w:pPr>
        <w:pStyle w:val="Heading4"/>
      </w:pPr>
      <w:bookmarkStart w:id="62" w:name="_Toc169625122"/>
      <w:r>
        <w:t>2.4.2.1 Aer</w:t>
      </w:r>
      <w:bookmarkEnd w:id="62"/>
    </w:p>
    <w:p w14:paraId="22EA5693" w14:textId="77777777" w:rsidR="008635C2" w:rsidRDefault="008635C2" w:rsidP="008635C2">
      <w:pPr>
        <w:spacing w:before="0"/>
        <w:ind w:firstLine="567"/>
        <w:rPr>
          <w:rFonts w:eastAsia="Times New Roman" w:cs="Times New Roman"/>
        </w:rPr>
      </w:pPr>
      <w:r>
        <w:rPr>
          <w:rFonts w:eastAsia="Times New Roman" w:cs="Times New Roman"/>
        </w:rPr>
        <w:t>Situația curentă a calității aerului este evaluată pe baza datelor furnizate de către Agențiile Județene de Protecție a Mediului Tulcea și Constanța. Dacă în partea de nord a zonei costiere nu există stații fixe de monitorizare a calității aerului, cele mai apropiate fiind amplasate la Tulcea (două stații), în partea de sud datele sunt furnizate de șase stații (trei în Constanța, două în Năvodari și una în Mangalia), care fac parte din Reţeaua Naţională de Monitorizare a Calităţii Aerului. Poluanţii monitorizaţi sunt cei prevăzuţi în legislaţia română, transpusă din cea europeană, valorile limită impuse prin Legea nr.104/2011 privind calitatea aerului înconjurător având scopul de a evita, preveni şi reduce efectele nocive asupra sănătăţii umane şi a mediului înconjurător.</w:t>
      </w:r>
    </w:p>
    <w:p w14:paraId="1307FDC0" w14:textId="77777777" w:rsidR="008635C2" w:rsidRDefault="008635C2" w:rsidP="008635C2">
      <w:pPr>
        <w:spacing w:before="0"/>
        <w:ind w:firstLine="567"/>
        <w:rPr>
          <w:rFonts w:eastAsia="Times New Roman" w:cs="Times New Roman"/>
        </w:rPr>
      </w:pPr>
      <w:r>
        <w:rPr>
          <w:rFonts w:eastAsia="Times New Roman" w:cs="Times New Roman"/>
        </w:rPr>
        <w:t>Datele furnizate de AJPM Constanța și Tulcea pentru anul 2021 arată că, în ceea ce privește dioxidul de sulf (SO</w:t>
      </w:r>
      <w:r>
        <w:rPr>
          <w:rFonts w:eastAsia="Times New Roman" w:cs="Times New Roman"/>
          <w:vertAlign w:val="subscript"/>
        </w:rPr>
        <w:t>2</w:t>
      </w:r>
      <w:r>
        <w:rPr>
          <w:rFonts w:eastAsia="Times New Roman" w:cs="Times New Roman"/>
        </w:rPr>
        <w:t>), mediile anuale în 2021 determinate în zonele monitorizate s-au situat între 5,52 și 8,85 μg/m</w:t>
      </w:r>
      <w:r>
        <w:rPr>
          <w:rFonts w:eastAsia="Times New Roman" w:cs="Times New Roman"/>
          <w:vertAlign w:val="superscript"/>
        </w:rPr>
        <w:t>3</w:t>
      </w:r>
      <w:r>
        <w:rPr>
          <w:rFonts w:eastAsia="Times New Roman" w:cs="Times New Roman"/>
        </w:rPr>
        <w:t xml:space="preserve">, mai ridicate în partea sudică a litoralului, dar fără a exista depășiri ale valorilor orare și a celor zilnice admise (350 μg, respectiv 125 μg). </w:t>
      </w:r>
    </w:p>
    <w:p w14:paraId="349E7901" w14:textId="77777777" w:rsidR="008635C2" w:rsidRDefault="008635C2" w:rsidP="008635C2">
      <w:pPr>
        <w:spacing w:before="0"/>
        <w:ind w:firstLine="567"/>
        <w:rPr>
          <w:rFonts w:eastAsia="Times New Roman" w:cs="Times New Roman"/>
        </w:rPr>
      </w:pPr>
      <w:r>
        <w:rPr>
          <w:rFonts w:eastAsia="Times New Roman" w:cs="Times New Roman"/>
        </w:rPr>
        <w:lastRenderedPageBreak/>
        <w:t>Monoxidul de carbon (CO) a prezentat valori mai ridicate în perioada rece a anului datorită emisiilor provenite de la încălzirea rezidenţială şi din traficul rutier, dar şi stabilităţii atmosferice, care a împiedicat dispersia poluanţilor. Valorile medii anuale s-au situat între 0,03 și 0,45 mg/m</w:t>
      </w:r>
      <w:r>
        <w:rPr>
          <w:rFonts w:eastAsia="Times New Roman" w:cs="Times New Roman"/>
          <w:vertAlign w:val="superscript"/>
        </w:rPr>
        <w:t>3</w:t>
      </w:r>
      <w:r>
        <w:rPr>
          <w:rFonts w:eastAsia="Times New Roman" w:cs="Times New Roman"/>
        </w:rPr>
        <w:t>, semnificativ mai ridicate în județul Constanța. Valorile maxime zilnice ale mediei mobile pe 8 ore pentru CO înregistrate în anul 2021 au fost, în toate zonele monitorizate, mai mici decât valoarea limită de 10 mg/m</w:t>
      </w:r>
      <w:r>
        <w:rPr>
          <w:rFonts w:eastAsia="Times New Roman" w:cs="Times New Roman"/>
          <w:vertAlign w:val="superscript"/>
        </w:rPr>
        <w:t>3</w:t>
      </w:r>
      <w:r>
        <w:rPr>
          <w:rFonts w:eastAsia="Times New Roman" w:cs="Times New Roman"/>
        </w:rPr>
        <w:t>.</w:t>
      </w:r>
    </w:p>
    <w:p w14:paraId="3E94F56D" w14:textId="77777777" w:rsidR="008635C2" w:rsidRDefault="008635C2" w:rsidP="008635C2">
      <w:pPr>
        <w:spacing w:before="0"/>
        <w:ind w:firstLine="567"/>
        <w:rPr>
          <w:rFonts w:eastAsia="Times New Roman" w:cs="Times New Roman"/>
        </w:rPr>
      </w:pPr>
      <w:r>
        <w:rPr>
          <w:rFonts w:eastAsia="Times New Roman" w:cs="Times New Roman"/>
        </w:rPr>
        <w:t>Dioxidul de azot (NO</w:t>
      </w:r>
      <w:r>
        <w:rPr>
          <w:rFonts w:eastAsia="Times New Roman" w:cs="Times New Roman"/>
          <w:vertAlign w:val="subscript"/>
        </w:rPr>
        <w:t>2</w:t>
      </w:r>
      <w:r>
        <w:rPr>
          <w:rFonts w:eastAsia="Times New Roman" w:cs="Times New Roman"/>
        </w:rPr>
        <w:t>) a prezentat valori medii orare sub valoarea limită orară pentru protecția sănătății umane (200 μg/m</w:t>
      </w:r>
      <w:r>
        <w:rPr>
          <w:rFonts w:eastAsia="Times New Roman" w:cs="Times New Roman"/>
          <w:vertAlign w:val="superscript"/>
        </w:rPr>
        <w:t>3</w:t>
      </w:r>
      <w:r>
        <w:rPr>
          <w:rFonts w:eastAsia="Times New Roman" w:cs="Times New Roman"/>
        </w:rPr>
        <w:t>). Ca și în cazul celorlalți indicatori, valorile medii anuale măsurate în județul Constanța (15,91-30,03 μg/m</w:t>
      </w:r>
      <w:r>
        <w:rPr>
          <w:rFonts w:eastAsia="Times New Roman" w:cs="Times New Roman"/>
          <w:vertAlign w:val="superscript"/>
        </w:rPr>
        <w:t>3</w:t>
      </w:r>
      <w:r>
        <w:rPr>
          <w:rFonts w:eastAsia="Times New Roman" w:cs="Times New Roman"/>
        </w:rPr>
        <w:t>) sunt mai ridicate comparativ cu cele determinate în județul Tulcea (7,12-18,12 μg/m</w:t>
      </w:r>
      <w:r>
        <w:rPr>
          <w:rFonts w:eastAsia="Times New Roman" w:cs="Times New Roman"/>
          <w:vertAlign w:val="superscript"/>
        </w:rPr>
        <w:t>3</w:t>
      </w:r>
      <w:r>
        <w:rPr>
          <w:rFonts w:eastAsia="Times New Roman" w:cs="Times New Roman"/>
        </w:rPr>
        <w:t>), dar, totuși, sub limitele maxime admise pentru protecția sănătății umane (40 μg/m</w:t>
      </w:r>
      <w:r>
        <w:rPr>
          <w:rFonts w:eastAsia="Times New Roman" w:cs="Times New Roman"/>
          <w:vertAlign w:val="superscript"/>
        </w:rPr>
        <w:t>3</w:t>
      </w:r>
      <w:r>
        <w:rPr>
          <w:rFonts w:eastAsia="Times New Roman" w:cs="Times New Roman"/>
        </w:rPr>
        <w:t>) și protecția vegetației (30 μg/m</w:t>
      </w:r>
      <w:r>
        <w:rPr>
          <w:rFonts w:eastAsia="Times New Roman" w:cs="Times New Roman"/>
          <w:vertAlign w:val="superscript"/>
        </w:rPr>
        <w:t>3</w:t>
      </w:r>
      <w:r>
        <w:rPr>
          <w:rFonts w:eastAsia="Times New Roman" w:cs="Times New Roman"/>
        </w:rPr>
        <w:t>). Benzenul (C</w:t>
      </w:r>
      <w:r>
        <w:rPr>
          <w:rFonts w:eastAsia="Times New Roman" w:cs="Times New Roman"/>
          <w:vertAlign w:val="subscript"/>
        </w:rPr>
        <w:t>6</w:t>
      </w:r>
      <w:r>
        <w:rPr>
          <w:rFonts w:eastAsia="Times New Roman" w:cs="Times New Roman"/>
        </w:rPr>
        <w:t>H</w:t>
      </w:r>
      <w:r>
        <w:rPr>
          <w:rFonts w:eastAsia="Times New Roman" w:cs="Times New Roman"/>
          <w:vertAlign w:val="subscript"/>
        </w:rPr>
        <w:t>6</w:t>
      </w:r>
      <w:r>
        <w:rPr>
          <w:rFonts w:eastAsia="Times New Roman" w:cs="Times New Roman"/>
        </w:rPr>
        <w:t>) a prezentat în valori medii anuale cuprinse între 1,34 și 2,12 μg/m</w:t>
      </w:r>
      <w:r>
        <w:rPr>
          <w:rFonts w:eastAsia="Times New Roman" w:cs="Times New Roman"/>
          <w:vertAlign w:val="superscript"/>
        </w:rPr>
        <w:t>3</w:t>
      </w:r>
      <w:r>
        <w:rPr>
          <w:rFonts w:eastAsia="Times New Roman" w:cs="Times New Roman"/>
        </w:rPr>
        <w:t>, de asemenea, mult sub media anuală admisă (5 μg/m</w:t>
      </w:r>
      <w:r>
        <w:rPr>
          <w:rFonts w:eastAsia="Times New Roman" w:cs="Times New Roman"/>
          <w:vertAlign w:val="superscript"/>
        </w:rPr>
        <w:t>3</w:t>
      </w:r>
      <w:r>
        <w:rPr>
          <w:rFonts w:eastAsia="Times New Roman" w:cs="Times New Roman"/>
        </w:rPr>
        <w:t>).</w:t>
      </w:r>
    </w:p>
    <w:p w14:paraId="73983D2C" w14:textId="77777777" w:rsidR="008635C2" w:rsidRDefault="008635C2" w:rsidP="008635C2">
      <w:pPr>
        <w:spacing w:before="0"/>
        <w:ind w:firstLine="567"/>
        <w:rPr>
          <w:rFonts w:eastAsia="Times New Roman" w:cs="Times New Roman"/>
        </w:rPr>
      </w:pPr>
      <w:r>
        <w:rPr>
          <w:rFonts w:eastAsia="Times New Roman" w:cs="Times New Roman"/>
        </w:rPr>
        <w:t>Măsurătorile ozonului troposferic efectuate în 2021 nu au relevat probleme deosebite, valorile orare înregistrate nedepășind pragul de informare (180 μg/m</w:t>
      </w:r>
      <w:r>
        <w:rPr>
          <w:rFonts w:eastAsia="Times New Roman" w:cs="Times New Roman"/>
          <w:vertAlign w:val="superscript"/>
        </w:rPr>
        <w:t>3</w:t>
      </w:r>
      <w:r>
        <w:rPr>
          <w:rFonts w:eastAsia="Times New Roman" w:cs="Times New Roman"/>
        </w:rPr>
        <w:t>). În schimb, pulberile în suspensie-fracția PM10, au prezentat în 2021 unele depășiri ale valorii limită zilnică. Totuși, valorile medii anuale, cuprinse între 16,69 și 22,74 μg/m</w:t>
      </w:r>
      <w:r>
        <w:rPr>
          <w:rFonts w:eastAsia="Times New Roman" w:cs="Times New Roman"/>
          <w:vertAlign w:val="superscript"/>
        </w:rPr>
        <w:t>3</w:t>
      </w:r>
      <w:r>
        <w:rPr>
          <w:rFonts w:eastAsia="Times New Roman" w:cs="Times New Roman"/>
        </w:rPr>
        <w:t xml:space="preserve"> (ușor mai ridicate în județul Constanța) nu au depășit valoarea limită anuală pentru protecția sănătății umane (40 μg/m</w:t>
      </w:r>
      <w:r>
        <w:rPr>
          <w:rFonts w:eastAsia="Times New Roman" w:cs="Times New Roman"/>
          <w:vertAlign w:val="superscript"/>
        </w:rPr>
        <w:t>3</w:t>
      </w:r>
      <w:r>
        <w:rPr>
          <w:rFonts w:eastAsia="Times New Roman" w:cs="Times New Roman"/>
        </w:rPr>
        <w:t xml:space="preserve">). </w:t>
      </w:r>
    </w:p>
    <w:p w14:paraId="326FB460" w14:textId="77777777" w:rsidR="008635C2" w:rsidRDefault="008635C2" w:rsidP="008635C2">
      <w:pPr>
        <w:spacing w:before="0"/>
        <w:ind w:firstLine="567"/>
        <w:rPr>
          <w:rFonts w:eastAsia="Times New Roman" w:cs="Times New Roman"/>
        </w:rPr>
      </w:pPr>
      <w:r>
        <w:rPr>
          <w:rFonts w:eastAsia="Times New Roman" w:cs="Times New Roman"/>
        </w:rPr>
        <w:t>Metalele grele (Pb, As, Cd și Ni), prezente în aer sub forma de aerosoli, a căror dimensiuni influenţează posibilitatea de a fi transportate la distanţă, au înregistrat valori medii anuale (Pb - 0,05 - 0,06 μg/m</w:t>
      </w:r>
      <w:r>
        <w:rPr>
          <w:rFonts w:eastAsia="Times New Roman" w:cs="Times New Roman"/>
          <w:vertAlign w:val="superscript"/>
        </w:rPr>
        <w:t>3</w:t>
      </w:r>
      <w:r>
        <w:rPr>
          <w:rFonts w:eastAsia="Times New Roman" w:cs="Times New Roman"/>
        </w:rPr>
        <w:t>, As - 0,36 - 0,69 ng/m3, Cd - 0,27 - 0,35 ng/m</w:t>
      </w:r>
      <w:r>
        <w:rPr>
          <w:rFonts w:eastAsia="Times New Roman" w:cs="Times New Roman"/>
          <w:vertAlign w:val="superscript"/>
        </w:rPr>
        <w:t>3</w:t>
      </w:r>
      <w:r>
        <w:rPr>
          <w:rFonts w:eastAsia="Times New Roman" w:cs="Times New Roman"/>
        </w:rPr>
        <w:t xml:space="preserve"> și Ni - 1,80-2,36 ng/m</w:t>
      </w:r>
      <w:r>
        <w:rPr>
          <w:rFonts w:eastAsia="Times New Roman" w:cs="Times New Roman"/>
          <w:vertAlign w:val="superscript"/>
        </w:rPr>
        <w:t>3</w:t>
      </w:r>
      <w:r>
        <w:rPr>
          <w:rFonts w:eastAsia="Times New Roman" w:cs="Times New Roman"/>
        </w:rPr>
        <w:t>), cu mult sub valorile limită prevăzute în Legea nr. 104/2011 (Pb - 0,5 μg/m</w:t>
      </w:r>
      <w:r>
        <w:rPr>
          <w:rFonts w:eastAsia="Times New Roman" w:cs="Times New Roman"/>
          <w:vertAlign w:val="superscript"/>
        </w:rPr>
        <w:t>3</w:t>
      </w:r>
      <w:r>
        <w:rPr>
          <w:rFonts w:eastAsia="Times New Roman" w:cs="Times New Roman"/>
        </w:rPr>
        <w:t>, Cd - 5 ng/m</w:t>
      </w:r>
      <w:r>
        <w:rPr>
          <w:rFonts w:eastAsia="Times New Roman" w:cs="Times New Roman"/>
          <w:vertAlign w:val="superscript"/>
        </w:rPr>
        <w:t>3</w:t>
      </w:r>
      <w:r>
        <w:rPr>
          <w:rFonts w:eastAsia="Times New Roman" w:cs="Times New Roman"/>
        </w:rPr>
        <w:t>, As - 6 ng/m</w:t>
      </w:r>
      <w:r>
        <w:rPr>
          <w:rFonts w:eastAsia="Times New Roman" w:cs="Times New Roman"/>
          <w:vertAlign w:val="superscript"/>
        </w:rPr>
        <w:t>3</w:t>
      </w:r>
      <w:r>
        <w:rPr>
          <w:rFonts w:eastAsia="Times New Roman" w:cs="Times New Roman"/>
        </w:rPr>
        <w:t>și Ni - 20 ng/m</w:t>
      </w:r>
      <w:r>
        <w:rPr>
          <w:rFonts w:eastAsia="Times New Roman" w:cs="Times New Roman"/>
          <w:vertAlign w:val="superscript"/>
        </w:rPr>
        <w:t>3</w:t>
      </w:r>
      <w:r>
        <w:rPr>
          <w:rFonts w:eastAsia="Times New Roman" w:cs="Times New Roman"/>
        </w:rPr>
        <w:t>).</w:t>
      </w:r>
    </w:p>
    <w:p w14:paraId="0267963A" w14:textId="08D41A43" w:rsidR="008635C2" w:rsidRDefault="009766FF" w:rsidP="008635C2">
      <w:pPr>
        <w:spacing w:before="0"/>
        <w:ind w:firstLine="567"/>
        <w:rPr>
          <w:rFonts w:eastAsia="Times New Roman" w:cs="Times New Roman"/>
        </w:rPr>
      </w:pPr>
      <w:r>
        <w:rPr>
          <w:rFonts w:eastAsia="Times New Roman" w:cs="Times New Roman"/>
        </w:rPr>
        <w:t>D</w:t>
      </w:r>
      <w:r w:rsidR="008635C2">
        <w:rPr>
          <w:rFonts w:eastAsia="Times New Roman" w:cs="Times New Roman"/>
        </w:rPr>
        <w:t>in raportările Agențiilor Județene de Protecție a Mediului reiese, în unele cazuri, o lipsă de continuitate a măsurătorilor ceea ce alterează valorile medii anuale calculate, precum și modele de prognoză a dispersiei poluanților în atmosferă.</w:t>
      </w:r>
    </w:p>
    <w:p w14:paraId="5AFAF042" w14:textId="1B16CE46" w:rsidR="008635C2" w:rsidRDefault="008635C2" w:rsidP="008635C2">
      <w:pPr>
        <w:pStyle w:val="Heading4"/>
        <w:spacing w:before="0" w:after="120"/>
      </w:pPr>
      <w:bookmarkStart w:id="63" w:name="_Toc169625123"/>
      <w:r>
        <w:t>2.4.2.2 Ape</w:t>
      </w:r>
      <w:bookmarkEnd w:id="63"/>
    </w:p>
    <w:p w14:paraId="67DFEEDD" w14:textId="77777777" w:rsidR="008635C2" w:rsidRDefault="008635C2" w:rsidP="008635C2">
      <w:pPr>
        <w:spacing w:before="0"/>
        <w:rPr>
          <w:rFonts w:eastAsia="Times New Roman" w:cs="Times New Roman"/>
          <w:i/>
        </w:rPr>
      </w:pPr>
      <w:r>
        <w:rPr>
          <w:rFonts w:eastAsia="Times New Roman" w:cs="Times New Roman"/>
          <w:i/>
        </w:rPr>
        <w:t>Ape subterane</w:t>
      </w:r>
    </w:p>
    <w:p w14:paraId="14DB91CB" w14:textId="54F40688" w:rsidR="008635C2" w:rsidRDefault="008635C2" w:rsidP="008635C2">
      <w:pPr>
        <w:spacing w:before="0"/>
        <w:ind w:firstLine="567"/>
        <w:rPr>
          <w:rFonts w:eastAsia="Times New Roman" w:cs="Times New Roman"/>
        </w:rPr>
      </w:pPr>
      <w:r>
        <w:rPr>
          <w:rFonts w:eastAsia="Times New Roman" w:cs="Times New Roman"/>
        </w:rPr>
        <w:t xml:space="preserve">În zona costieră sunt prezente 7 corpuri de ape subterane din totalul celor 10 de la nivelul Dobrogei. </w:t>
      </w:r>
      <w:r>
        <w:rPr>
          <w:rFonts w:eastAsia="Times New Roman" w:cs="Times New Roman"/>
          <w:color w:val="000000"/>
        </w:rPr>
        <w:t xml:space="preserve">În Tabelul 2.4.2.2.1, sunt sintetizate, conform Planului de Management actualizat al fluviului Dunărea, Deltei Dunării, spațiului </w:t>
      </w:r>
      <w:r>
        <w:rPr>
          <w:rFonts w:eastAsia="Times New Roman" w:cs="Times New Roman"/>
        </w:rPr>
        <w:t>hidrografic</w:t>
      </w:r>
      <w:r>
        <w:rPr>
          <w:rFonts w:eastAsia="Times New Roman" w:cs="Times New Roman"/>
          <w:color w:val="000000"/>
        </w:rPr>
        <w:t xml:space="preserve"> Dobrogea și apele costiere (2022-2027) datele privind caracteristicile geologice/hidrogeologice, utilizarea apei, sursele de poluare și caracterul transfrontalier al corpurilor de apă subterane.</w:t>
      </w:r>
    </w:p>
    <w:p w14:paraId="4674D5BD" w14:textId="77777777" w:rsidR="008635C2" w:rsidRDefault="008635C2" w:rsidP="008635C2">
      <w:pPr>
        <w:ind w:firstLine="567"/>
        <w:rPr>
          <w:rFonts w:eastAsia="Times New Roman" w:cs="Times New Roman"/>
        </w:rPr>
      </w:pPr>
    </w:p>
    <w:p w14:paraId="0B3887F5" w14:textId="30AB649A" w:rsidR="008635C2" w:rsidRDefault="008635C2" w:rsidP="008635C2">
      <w:pPr>
        <w:jc w:val="center"/>
        <w:rPr>
          <w:rFonts w:eastAsia="Times New Roman" w:cs="Times New Roman"/>
        </w:rPr>
      </w:pPr>
      <w:bookmarkStart w:id="64" w:name="_heading=h.gjdgxs" w:colFirst="0" w:colLast="0"/>
      <w:bookmarkEnd w:id="64"/>
      <w:r>
        <w:rPr>
          <w:rFonts w:eastAsia="Times New Roman" w:cs="Times New Roman"/>
          <w:b/>
          <w:color w:val="000000"/>
        </w:rPr>
        <w:t>Tabel 2.4.2.2.1 Corpurile de apă subterane de la nivelul zonei costiere (</w:t>
      </w:r>
      <w:r>
        <w:rPr>
          <w:rFonts w:eastAsia="Times New Roman" w:cs="Times New Roman"/>
          <w:b/>
          <w:i/>
          <w:color w:val="000000"/>
        </w:rPr>
        <w:t xml:space="preserve">sursa Planul de Management actualizat al fluviului Dunărea, Deltei Dunării, spațiului </w:t>
      </w:r>
      <w:r>
        <w:rPr>
          <w:rFonts w:eastAsia="Times New Roman" w:cs="Times New Roman"/>
          <w:b/>
          <w:i/>
        </w:rPr>
        <w:t>hidrografic</w:t>
      </w:r>
      <w:r>
        <w:rPr>
          <w:rFonts w:eastAsia="Times New Roman" w:cs="Times New Roman"/>
          <w:b/>
          <w:i/>
          <w:color w:val="000000"/>
        </w:rPr>
        <w:t xml:space="preserve"> Dobrogea și apele costiere (2022-2027), aprobat prin HG 392/2023)</w:t>
      </w:r>
    </w:p>
    <w:tbl>
      <w:tblPr>
        <w:tblW w:w="9204" w:type="dxa"/>
        <w:tblLayout w:type="fixed"/>
        <w:tblLook w:val="0400" w:firstRow="0" w:lastRow="0" w:firstColumn="0" w:lastColumn="0" w:noHBand="0" w:noVBand="1"/>
      </w:tblPr>
      <w:tblGrid>
        <w:gridCol w:w="1833"/>
        <w:gridCol w:w="992"/>
        <w:gridCol w:w="618"/>
        <w:gridCol w:w="942"/>
        <w:gridCol w:w="992"/>
        <w:gridCol w:w="709"/>
        <w:gridCol w:w="992"/>
        <w:gridCol w:w="992"/>
        <w:gridCol w:w="1134"/>
      </w:tblGrid>
      <w:tr w:rsidR="008635C2" w14:paraId="5F659C23" w14:textId="77777777" w:rsidTr="00C90B98">
        <w:trPr>
          <w:trHeight w:val="645"/>
        </w:trPr>
        <w:tc>
          <w:tcPr>
            <w:tcW w:w="1833" w:type="dxa"/>
            <w:vMerge w:val="restart"/>
            <w:tcBorders>
              <w:top w:val="single" w:sz="8" w:space="0" w:color="000000"/>
              <w:left w:val="single" w:sz="8" w:space="0" w:color="000000"/>
              <w:bottom w:val="single" w:sz="8" w:space="0" w:color="000000"/>
              <w:right w:val="single" w:sz="8" w:space="0" w:color="000000"/>
            </w:tcBorders>
            <w:shd w:val="clear" w:color="auto" w:fill="FFFFFF"/>
            <w:vAlign w:val="center"/>
          </w:tcPr>
          <w:p w14:paraId="12C482BF" w14:textId="77777777" w:rsidR="008635C2" w:rsidRDefault="008635C2" w:rsidP="00C90B98">
            <w:pPr>
              <w:spacing w:after="0"/>
              <w:jc w:val="center"/>
              <w:rPr>
                <w:rFonts w:eastAsia="Times New Roman" w:cs="Times New Roman"/>
                <w:sz w:val="18"/>
                <w:szCs w:val="18"/>
              </w:rPr>
            </w:pPr>
            <w:r>
              <w:rPr>
                <w:rFonts w:eastAsia="Times New Roman" w:cs="Times New Roman"/>
                <w:b/>
                <w:color w:val="000000"/>
                <w:sz w:val="18"/>
                <w:szCs w:val="18"/>
              </w:rPr>
              <w:t>Cod/nume</w:t>
            </w:r>
          </w:p>
          <w:p w14:paraId="17D88A78" w14:textId="77777777" w:rsidR="008635C2" w:rsidRDefault="008635C2" w:rsidP="00C90B98">
            <w:pPr>
              <w:spacing w:after="240"/>
              <w:jc w:val="center"/>
              <w:rPr>
                <w:rFonts w:eastAsia="Times New Roman" w:cs="Times New Roman"/>
                <w:sz w:val="18"/>
                <w:szCs w:val="18"/>
              </w:rPr>
            </w:pPr>
          </w:p>
        </w:tc>
        <w:tc>
          <w:tcPr>
            <w:tcW w:w="992" w:type="dxa"/>
            <w:vMerge w:val="restart"/>
            <w:tcBorders>
              <w:top w:val="single" w:sz="8" w:space="0" w:color="000000"/>
              <w:left w:val="single" w:sz="8" w:space="0" w:color="000000"/>
              <w:bottom w:val="single" w:sz="8" w:space="0" w:color="000000"/>
              <w:right w:val="single" w:sz="8" w:space="0" w:color="000000"/>
            </w:tcBorders>
            <w:shd w:val="clear" w:color="auto" w:fill="FFFFFF"/>
            <w:vAlign w:val="center"/>
          </w:tcPr>
          <w:p w14:paraId="6944D018" w14:textId="77777777" w:rsidR="008635C2" w:rsidRDefault="008635C2" w:rsidP="008635C2">
            <w:pPr>
              <w:spacing w:after="0"/>
              <w:ind w:firstLine="0"/>
              <w:rPr>
                <w:rFonts w:eastAsia="Times New Roman" w:cs="Times New Roman"/>
                <w:sz w:val="18"/>
                <w:szCs w:val="18"/>
              </w:rPr>
            </w:pPr>
            <w:r>
              <w:rPr>
                <w:rFonts w:eastAsia="Times New Roman" w:cs="Times New Roman"/>
                <w:b/>
                <w:color w:val="000000"/>
                <w:sz w:val="18"/>
                <w:szCs w:val="18"/>
              </w:rPr>
              <w:lastRenderedPageBreak/>
              <w:t>Suprafața</w:t>
            </w:r>
          </w:p>
          <w:p w14:paraId="0FF012E5" w14:textId="77777777" w:rsidR="008635C2" w:rsidRDefault="008635C2" w:rsidP="00C90B98">
            <w:pPr>
              <w:spacing w:after="0"/>
              <w:jc w:val="center"/>
              <w:rPr>
                <w:rFonts w:eastAsia="Times New Roman" w:cs="Times New Roman"/>
                <w:sz w:val="18"/>
                <w:szCs w:val="18"/>
              </w:rPr>
            </w:pPr>
          </w:p>
        </w:tc>
        <w:tc>
          <w:tcPr>
            <w:tcW w:w="2552" w:type="dxa"/>
            <w:gridSpan w:val="3"/>
            <w:tcBorders>
              <w:top w:val="single" w:sz="8" w:space="0" w:color="000000"/>
              <w:left w:val="single" w:sz="8" w:space="0" w:color="000000"/>
              <w:bottom w:val="single" w:sz="8" w:space="0" w:color="000000"/>
              <w:right w:val="single" w:sz="8" w:space="0" w:color="000000"/>
            </w:tcBorders>
            <w:shd w:val="clear" w:color="auto" w:fill="FFFFFF"/>
            <w:vAlign w:val="center"/>
          </w:tcPr>
          <w:p w14:paraId="08119D6F" w14:textId="77777777" w:rsidR="008635C2" w:rsidRDefault="008635C2" w:rsidP="008635C2">
            <w:pPr>
              <w:spacing w:after="0"/>
              <w:ind w:firstLine="0"/>
              <w:rPr>
                <w:rFonts w:eastAsia="Times New Roman" w:cs="Times New Roman"/>
                <w:sz w:val="18"/>
                <w:szCs w:val="18"/>
              </w:rPr>
            </w:pPr>
            <w:r>
              <w:rPr>
                <w:rFonts w:eastAsia="Times New Roman" w:cs="Times New Roman"/>
                <w:b/>
                <w:color w:val="000000"/>
                <w:sz w:val="18"/>
                <w:szCs w:val="18"/>
              </w:rPr>
              <w:lastRenderedPageBreak/>
              <w:t>Caracteriz. geologică/ hidrogeologică.</w:t>
            </w:r>
          </w:p>
        </w:tc>
        <w:tc>
          <w:tcPr>
            <w:tcW w:w="709" w:type="dxa"/>
            <w:vMerge w:val="restart"/>
            <w:tcBorders>
              <w:top w:val="single" w:sz="8" w:space="0" w:color="000000"/>
              <w:left w:val="single" w:sz="8" w:space="0" w:color="000000"/>
              <w:bottom w:val="single" w:sz="8" w:space="0" w:color="000000"/>
              <w:right w:val="single" w:sz="8" w:space="0" w:color="000000"/>
            </w:tcBorders>
            <w:vAlign w:val="center"/>
          </w:tcPr>
          <w:p w14:paraId="26D14E51" w14:textId="77777777" w:rsidR="008635C2" w:rsidRDefault="008635C2" w:rsidP="00C90B98">
            <w:pPr>
              <w:spacing w:after="0"/>
              <w:jc w:val="center"/>
              <w:rPr>
                <w:rFonts w:eastAsia="Times New Roman" w:cs="Times New Roman"/>
                <w:sz w:val="18"/>
                <w:szCs w:val="18"/>
              </w:rPr>
            </w:pPr>
          </w:p>
          <w:p w14:paraId="46B64C99" w14:textId="77777777" w:rsidR="008635C2" w:rsidRDefault="008635C2" w:rsidP="008635C2">
            <w:pPr>
              <w:spacing w:after="0"/>
              <w:ind w:firstLine="0"/>
              <w:rPr>
                <w:rFonts w:eastAsia="Times New Roman" w:cs="Times New Roman"/>
                <w:sz w:val="18"/>
                <w:szCs w:val="18"/>
              </w:rPr>
            </w:pPr>
            <w:r>
              <w:rPr>
                <w:rFonts w:eastAsia="Times New Roman" w:cs="Times New Roman"/>
                <w:b/>
                <w:color w:val="000000"/>
                <w:sz w:val="18"/>
                <w:szCs w:val="18"/>
              </w:rPr>
              <w:lastRenderedPageBreak/>
              <w:t>Utiliz. apei</w:t>
            </w:r>
          </w:p>
          <w:p w14:paraId="5AA554E2" w14:textId="77777777" w:rsidR="008635C2" w:rsidRDefault="008635C2" w:rsidP="00C90B98">
            <w:pPr>
              <w:spacing w:after="0"/>
              <w:jc w:val="center"/>
              <w:rPr>
                <w:rFonts w:eastAsia="Times New Roman" w:cs="Times New Roman"/>
                <w:sz w:val="18"/>
                <w:szCs w:val="18"/>
              </w:rPr>
            </w:pPr>
          </w:p>
        </w:tc>
        <w:tc>
          <w:tcPr>
            <w:tcW w:w="992" w:type="dxa"/>
            <w:vMerge w:val="restart"/>
            <w:tcBorders>
              <w:top w:val="single" w:sz="8" w:space="0" w:color="000000"/>
              <w:left w:val="single" w:sz="8" w:space="0" w:color="000000"/>
              <w:bottom w:val="single" w:sz="8" w:space="0" w:color="000000"/>
              <w:right w:val="single" w:sz="8" w:space="0" w:color="000000"/>
            </w:tcBorders>
            <w:vAlign w:val="center"/>
          </w:tcPr>
          <w:p w14:paraId="13B65100" w14:textId="77777777" w:rsidR="008635C2" w:rsidRDefault="008635C2" w:rsidP="008635C2">
            <w:pPr>
              <w:spacing w:after="0"/>
              <w:ind w:firstLine="0"/>
              <w:rPr>
                <w:rFonts w:eastAsia="Times New Roman" w:cs="Times New Roman"/>
                <w:sz w:val="18"/>
                <w:szCs w:val="18"/>
              </w:rPr>
            </w:pPr>
            <w:r>
              <w:rPr>
                <w:rFonts w:eastAsia="Times New Roman" w:cs="Times New Roman"/>
                <w:b/>
                <w:color w:val="000000"/>
                <w:sz w:val="18"/>
                <w:szCs w:val="18"/>
              </w:rPr>
              <w:lastRenderedPageBreak/>
              <w:t>Poluatori</w:t>
            </w:r>
          </w:p>
          <w:p w14:paraId="544E19E2" w14:textId="77777777" w:rsidR="008635C2" w:rsidRDefault="008635C2" w:rsidP="00C90B98">
            <w:pPr>
              <w:spacing w:after="0"/>
              <w:jc w:val="center"/>
              <w:rPr>
                <w:rFonts w:eastAsia="Times New Roman" w:cs="Times New Roman"/>
                <w:sz w:val="18"/>
                <w:szCs w:val="18"/>
              </w:rPr>
            </w:pPr>
          </w:p>
        </w:tc>
        <w:tc>
          <w:tcPr>
            <w:tcW w:w="992" w:type="dxa"/>
            <w:vMerge w:val="restart"/>
            <w:tcBorders>
              <w:top w:val="single" w:sz="8" w:space="0" w:color="000000"/>
              <w:left w:val="single" w:sz="8" w:space="0" w:color="000000"/>
              <w:bottom w:val="single" w:sz="8" w:space="0" w:color="000000"/>
              <w:right w:val="single" w:sz="8" w:space="0" w:color="000000"/>
            </w:tcBorders>
            <w:vAlign w:val="center"/>
          </w:tcPr>
          <w:p w14:paraId="5343C55F" w14:textId="77777777" w:rsidR="008635C2" w:rsidRDefault="008635C2" w:rsidP="008635C2">
            <w:pPr>
              <w:spacing w:after="0"/>
              <w:ind w:firstLine="0"/>
              <w:rPr>
                <w:rFonts w:eastAsia="Times New Roman" w:cs="Times New Roman"/>
                <w:sz w:val="18"/>
                <w:szCs w:val="18"/>
              </w:rPr>
            </w:pPr>
            <w:r>
              <w:rPr>
                <w:rFonts w:eastAsia="Times New Roman" w:cs="Times New Roman"/>
                <w:b/>
                <w:color w:val="000000"/>
                <w:sz w:val="18"/>
                <w:szCs w:val="18"/>
              </w:rPr>
              <w:lastRenderedPageBreak/>
              <w:t>Grad de protecție globală</w:t>
            </w:r>
          </w:p>
        </w:tc>
        <w:tc>
          <w:tcPr>
            <w:tcW w:w="1134" w:type="dxa"/>
            <w:vMerge w:val="restart"/>
            <w:tcBorders>
              <w:top w:val="single" w:sz="8" w:space="0" w:color="000000"/>
              <w:left w:val="single" w:sz="8" w:space="0" w:color="000000"/>
              <w:bottom w:val="single" w:sz="8" w:space="0" w:color="000000"/>
              <w:right w:val="single" w:sz="8" w:space="0" w:color="000000"/>
            </w:tcBorders>
            <w:vAlign w:val="center"/>
          </w:tcPr>
          <w:p w14:paraId="69F7B848" w14:textId="77777777" w:rsidR="008635C2" w:rsidRDefault="008635C2" w:rsidP="008635C2">
            <w:pPr>
              <w:spacing w:after="0"/>
              <w:ind w:firstLine="0"/>
              <w:rPr>
                <w:rFonts w:eastAsia="Times New Roman" w:cs="Times New Roman"/>
                <w:sz w:val="18"/>
                <w:szCs w:val="18"/>
              </w:rPr>
            </w:pPr>
            <w:r>
              <w:rPr>
                <w:rFonts w:eastAsia="Times New Roman" w:cs="Times New Roman"/>
                <w:b/>
                <w:color w:val="000000"/>
                <w:sz w:val="18"/>
                <w:szCs w:val="18"/>
              </w:rPr>
              <w:t xml:space="preserve">Transfrontalier/ </w:t>
            </w:r>
            <w:r>
              <w:rPr>
                <w:rFonts w:eastAsia="Times New Roman" w:cs="Times New Roman"/>
                <w:b/>
                <w:sz w:val="18"/>
                <w:szCs w:val="18"/>
              </w:rPr>
              <w:t>țara</w:t>
            </w:r>
          </w:p>
        </w:tc>
      </w:tr>
      <w:tr w:rsidR="008635C2" w14:paraId="2DBD2ED3" w14:textId="77777777" w:rsidTr="00C90B98">
        <w:trPr>
          <w:trHeight w:val="754"/>
        </w:trPr>
        <w:tc>
          <w:tcPr>
            <w:tcW w:w="1833" w:type="dxa"/>
            <w:vMerge/>
            <w:tcBorders>
              <w:top w:val="single" w:sz="8" w:space="0" w:color="000000"/>
              <w:left w:val="single" w:sz="8" w:space="0" w:color="000000"/>
              <w:bottom w:val="single" w:sz="8" w:space="0" w:color="000000"/>
              <w:right w:val="single" w:sz="8" w:space="0" w:color="000000"/>
            </w:tcBorders>
            <w:shd w:val="clear" w:color="auto" w:fill="FFFFFF"/>
            <w:vAlign w:val="center"/>
          </w:tcPr>
          <w:p w14:paraId="5823DFD4" w14:textId="77777777" w:rsidR="008635C2" w:rsidRDefault="008635C2" w:rsidP="00C90B98">
            <w:pPr>
              <w:widowControl w:val="0"/>
              <w:pBdr>
                <w:top w:val="nil"/>
                <w:left w:val="nil"/>
                <w:bottom w:val="nil"/>
                <w:right w:val="nil"/>
                <w:between w:val="nil"/>
              </w:pBdr>
              <w:spacing w:after="0"/>
              <w:rPr>
                <w:rFonts w:eastAsia="Times New Roman" w:cs="Times New Roman"/>
                <w:sz w:val="18"/>
                <w:szCs w:val="18"/>
              </w:rPr>
            </w:pPr>
          </w:p>
        </w:tc>
        <w:tc>
          <w:tcPr>
            <w:tcW w:w="992" w:type="dxa"/>
            <w:vMerge/>
            <w:tcBorders>
              <w:top w:val="single" w:sz="8" w:space="0" w:color="000000"/>
              <w:left w:val="single" w:sz="8" w:space="0" w:color="000000"/>
              <w:bottom w:val="single" w:sz="8" w:space="0" w:color="000000"/>
              <w:right w:val="single" w:sz="8" w:space="0" w:color="000000"/>
            </w:tcBorders>
            <w:shd w:val="clear" w:color="auto" w:fill="FFFFFF"/>
            <w:vAlign w:val="center"/>
          </w:tcPr>
          <w:p w14:paraId="734E9E2E" w14:textId="77777777" w:rsidR="008635C2" w:rsidRDefault="008635C2" w:rsidP="00C90B98">
            <w:pPr>
              <w:widowControl w:val="0"/>
              <w:pBdr>
                <w:top w:val="nil"/>
                <w:left w:val="nil"/>
                <w:bottom w:val="nil"/>
                <w:right w:val="nil"/>
                <w:between w:val="nil"/>
              </w:pBdr>
              <w:spacing w:after="0"/>
              <w:rPr>
                <w:rFonts w:eastAsia="Times New Roman" w:cs="Times New Roman"/>
                <w:sz w:val="18"/>
                <w:szCs w:val="18"/>
              </w:rPr>
            </w:pPr>
          </w:p>
        </w:tc>
        <w:tc>
          <w:tcPr>
            <w:tcW w:w="618" w:type="dxa"/>
            <w:tcBorders>
              <w:top w:val="single" w:sz="8" w:space="0" w:color="000000"/>
              <w:left w:val="single" w:sz="8" w:space="0" w:color="000000"/>
              <w:bottom w:val="single" w:sz="8" w:space="0" w:color="000000"/>
              <w:right w:val="single" w:sz="8" w:space="0" w:color="000000"/>
            </w:tcBorders>
            <w:vAlign w:val="bottom"/>
          </w:tcPr>
          <w:p w14:paraId="2A174692" w14:textId="77777777" w:rsidR="008635C2" w:rsidRDefault="008635C2" w:rsidP="00C90B98">
            <w:pPr>
              <w:spacing w:after="0"/>
              <w:jc w:val="center"/>
              <w:rPr>
                <w:rFonts w:eastAsia="Times New Roman" w:cs="Times New Roman"/>
                <w:sz w:val="18"/>
                <w:szCs w:val="18"/>
              </w:rPr>
            </w:pPr>
            <w:r>
              <w:rPr>
                <w:rFonts w:eastAsia="Times New Roman" w:cs="Times New Roman"/>
                <w:b/>
                <w:color w:val="000000"/>
                <w:sz w:val="18"/>
                <w:szCs w:val="18"/>
              </w:rPr>
              <w:t xml:space="preserve"> Tip</w:t>
            </w:r>
          </w:p>
          <w:p w14:paraId="59FB0C41" w14:textId="77777777" w:rsidR="008635C2" w:rsidRDefault="008635C2" w:rsidP="00C90B98">
            <w:pPr>
              <w:spacing w:after="0"/>
              <w:rPr>
                <w:rFonts w:eastAsia="Times New Roman" w:cs="Times New Roman"/>
                <w:sz w:val="18"/>
                <w:szCs w:val="18"/>
              </w:rPr>
            </w:pPr>
          </w:p>
        </w:tc>
        <w:tc>
          <w:tcPr>
            <w:tcW w:w="942" w:type="dxa"/>
            <w:tcBorders>
              <w:top w:val="single" w:sz="8" w:space="0" w:color="000000"/>
              <w:left w:val="single" w:sz="8" w:space="0" w:color="000000"/>
              <w:bottom w:val="single" w:sz="8" w:space="0" w:color="000000"/>
              <w:right w:val="single" w:sz="8" w:space="0" w:color="000000"/>
            </w:tcBorders>
            <w:vAlign w:val="bottom"/>
          </w:tcPr>
          <w:p w14:paraId="0F1202D1" w14:textId="77777777" w:rsidR="008635C2" w:rsidRDefault="008635C2" w:rsidP="008635C2">
            <w:pPr>
              <w:spacing w:after="0"/>
              <w:ind w:firstLine="0"/>
              <w:rPr>
                <w:rFonts w:eastAsia="Times New Roman" w:cs="Times New Roman"/>
                <w:sz w:val="18"/>
                <w:szCs w:val="18"/>
              </w:rPr>
            </w:pPr>
            <w:r>
              <w:rPr>
                <w:rFonts w:eastAsia="Times New Roman" w:cs="Times New Roman"/>
                <w:b/>
                <w:color w:val="000000"/>
                <w:sz w:val="18"/>
                <w:szCs w:val="18"/>
              </w:rPr>
              <w:t>Sub presiune</w:t>
            </w:r>
          </w:p>
          <w:p w14:paraId="4102C04D" w14:textId="77777777" w:rsidR="008635C2" w:rsidRDefault="008635C2" w:rsidP="00C90B98">
            <w:pPr>
              <w:spacing w:after="0"/>
              <w:rPr>
                <w:rFonts w:eastAsia="Times New Roman" w:cs="Times New Roman"/>
                <w:sz w:val="18"/>
                <w:szCs w:val="18"/>
              </w:rPr>
            </w:pPr>
          </w:p>
        </w:tc>
        <w:tc>
          <w:tcPr>
            <w:tcW w:w="992" w:type="dxa"/>
            <w:tcBorders>
              <w:top w:val="single" w:sz="8" w:space="0" w:color="000000"/>
              <w:left w:val="single" w:sz="8" w:space="0" w:color="000000"/>
              <w:bottom w:val="single" w:sz="8" w:space="0" w:color="000000"/>
              <w:right w:val="single" w:sz="8" w:space="0" w:color="000000"/>
            </w:tcBorders>
            <w:vAlign w:val="bottom"/>
          </w:tcPr>
          <w:p w14:paraId="2198228A" w14:textId="77777777" w:rsidR="008635C2" w:rsidRDefault="008635C2" w:rsidP="008635C2">
            <w:pPr>
              <w:spacing w:after="0"/>
              <w:ind w:firstLine="0"/>
              <w:rPr>
                <w:rFonts w:eastAsia="Times New Roman" w:cs="Times New Roman"/>
                <w:sz w:val="18"/>
                <w:szCs w:val="18"/>
              </w:rPr>
            </w:pPr>
            <w:r>
              <w:rPr>
                <w:rFonts w:eastAsia="Times New Roman" w:cs="Times New Roman"/>
                <w:b/>
                <w:color w:val="000000"/>
                <w:sz w:val="18"/>
                <w:szCs w:val="18"/>
              </w:rPr>
              <w:t>Strate acop.</w:t>
            </w:r>
          </w:p>
          <w:p w14:paraId="6471D66E" w14:textId="77777777" w:rsidR="008635C2" w:rsidRDefault="008635C2" w:rsidP="00C90B98">
            <w:pPr>
              <w:spacing w:after="0"/>
              <w:rPr>
                <w:rFonts w:eastAsia="Times New Roman" w:cs="Times New Roman"/>
                <w:sz w:val="18"/>
                <w:szCs w:val="18"/>
              </w:rPr>
            </w:pPr>
          </w:p>
        </w:tc>
        <w:tc>
          <w:tcPr>
            <w:tcW w:w="709" w:type="dxa"/>
            <w:vMerge/>
            <w:tcBorders>
              <w:top w:val="single" w:sz="8" w:space="0" w:color="000000"/>
              <w:left w:val="single" w:sz="8" w:space="0" w:color="000000"/>
              <w:bottom w:val="single" w:sz="8" w:space="0" w:color="000000"/>
              <w:right w:val="single" w:sz="8" w:space="0" w:color="000000"/>
            </w:tcBorders>
            <w:vAlign w:val="center"/>
          </w:tcPr>
          <w:p w14:paraId="7E3C330B" w14:textId="77777777" w:rsidR="008635C2" w:rsidRDefault="008635C2" w:rsidP="00C90B98">
            <w:pPr>
              <w:widowControl w:val="0"/>
              <w:pBdr>
                <w:top w:val="nil"/>
                <w:left w:val="nil"/>
                <w:bottom w:val="nil"/>
                <w:right w:val="nil"/>
                <w:between w:val="nil"/>
              </w:pBdr>
              <w:spacing w:after="0"/>
              <w:rPr>
                <w:rFonts w:eastAsia="Times New Roman" w:cs="Times New Roman"/>
                <w:sz w:val="18"/>
                <w:szCs w:val="18"/>
              </w:rPr>
            </w:pPr>
          </w:p>
        </w:tc>
        <w:tc>
          <w:tcPr>
            <w:tcW w:w="992" w:type="dxa"/>
            <w:vMerge/>
            <w:tcBorders>
              <w:top w:val="single" w:sz="8" w:space="0" w:color="000000"/>
              <w:left w:val="single" w:sz="8" w:space="0" w:color="000000"/>
              <w:bottom w:val="single" w:sz="8" w:space="0" w:color="000000"/>
              <w:right w:val="single" w:sz="8" w:space="0" w:color="000000"/>
            </w:tcBorders>
            <w:vAlign w:val="center"/>
          </w:tcPr>
          <w:p w14:paraId="667F1B37" w14:textId="77777777" w:rsidR="008635C2" w:rsidRDefault="008635C2" w:rsidP="00C90B98">
            <w:pPr>
              <w:widowControl w:val="0"/>
              <w:pBdr>
                <w:top w:val="nil"/>
                <w:left w:val="nil"/>
                <w:bottom w:val="nil"/>
                <w:right w:val="nil"/>
                <w:between w:val="nil"/>
              </w:pBdr>
              <w:spacing w:after="0"/>
              <w:rPr>
                <w:rFonts w:eastAsia="Times New Roman" w:cs="Times New Roman"/>
                <w:sz w:val="18"/>
                <w:szCs w:val="18"/>
              </w:rPr>
            </w:pPr>
          </w:p>
        </w:tc>
        <w:tc>
          <w:tcPr>
            <w:tcW w:w="992" w:type="dxa"/>
            <w:vMerge/>
            <w:tcBorders>
              <w:top w:val="single" w:sz="8" w:space="0" w:color="000000"/>
              <w:left w:val="single" w:sz="8" w:space="0" w:color="000000"/>
              <w:bottom w:val="single" w:sz="8" w:space="0" w:color="000000"/>
              <w:right w:val="single" w:sz="8" w:space="0" w:color="000000"/>
            </w:tcBorders>
            <w:vAlign w:val="center"/>
          </w:tcPr>
          <w:p w14:paraId="3543EE50" w14:textId="77777777" w:rsidR="008635C2" w:rsidRDefault="008635C2" w:rsidP="00C90B98">
            <w:pPr>
              <w:widowControl w:val="0"/>
              <w:pBdr>
                <w:top w:val="nil"/>
                <w:left w:val="nil"/>
                <w:bottom w:val="nil"/>
                <w:right w:val="nil"/>
                <w:between w:val="nil"/>
              </w:pBdr>
              <w:spacing w:after="0"/>
              <w:rPr>
                <w:rFonts w:eastAsia="Times New Roman" w:cs="Times New Roman"/>
                <w:sz w:val="18"/>
                <w:szCs w:val="18"/>
              </w:rPr>
            </w:pPr>
          </w:p>
        </w:tc>
        <w:tc>
          <w:tcPr>
            <w:tcW w:w="1134" w:type="dxa"/>
            <w:vMerge/>
            <w:tcBorders>
              <w:top w:val="single" w:sz="8" w:space="0" w:color="000000"/>
              <w:left w:val="single" w:sz="8" w:space="0" w:color="000000"/>
              <w:bottom w:val="single" w:sz="8" w:space="0" w:color="000000"/>
              <w:right w:val="single" w:sz="8" w:space="0" w:color="000000"/>
            </w:tcBorders>
            <w:vAlign w:val="center"/>
          </w:tcPr>
          <w:p w14:paraId="0A1A4B08" w14:textId="77777777" w:rsidR="008635C2" w:rsidRDefault="008635C2" w:rsidP="00C90B98">
            <w:pPr>
              <w:widowControl w:val="0"/>
              <w:pBdr>
                <w:top w:val="nil"/>
                <w:left w:val="nil"/>
                <w:bottom w:val="nil"/>
                <w:right w:val="nil"/>
                <w:between w:val="nil"/>
              </w:pBdr>
              <w:spacing w:after="0"/>
              <w:rPr>
                <w:rFonts w:eastAsia="Times New Roman" w:cs="Times New Roman"/>
                <w:sz w:val="18"/>
                <w:szCs w:val="18"/>
              </w:rPr>
            </w:pPr>
          </w:p>
        </w:tc>
      </w:tr>
      <w:tr w:rsidR="008635C2" w14:paraId="2B52F51E" w14:textId="77777777" w:rsidTr="00C90B98">
        <w:trPr>
          <w:trHeight w:val="390"/>
        </w:trPr>
        <w:tc>
          <w:tcPr>
            <w:tcW w:w="1833" w:type="dxa"/>
            <w:tcBorders>
              <w:top w:val="single" w:sz="8" w:space="0" w:color="000000"/>
              <w:left w:val="single" w:sz="8" w:space="0" w:color="000000"/>
              <w:bottom w:val="single" w:sz="8" w:space="0" w:color="000000"/>
              <w:right w:val="single" w:sz="8" w:space="0" w:color="000000"/>
            </w:tcBorders>
            <w:vAlign w:val="bottom"/>
          </w:tcPr>
          <w:p w14:paraId="4DBA21FA"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RODL01/Tulcea</w:t>
            </w:r>
          </w:p>
        </w:tc>
        <w:tc>
          <w:tcPr>
            <w:tcW w:w="992" w:type="dxa"/>
            <w:tcBorders>
              <w:top w:val="single" w:sz="8" w:space="0" w:color="000000"/>
              <w:left w:val="single" w:sz="8" w:space="0" w:color="000000"/>
              <w:bottom w:val="single" w:sz="8" w:space="0" w:color="000000"/>
              <w:right w:val="single" w:sz="8" w:space="0" w:color="000000"/>
            </w:tcBorders>
            <w:vAlign w:val="bottom"/>
          </w:tcPr>
          <w:p w14:paraId="78B65F0A" w14:textId="77777777" w:rsidR="008635C2" w:rsidRDefault="008635C2" w:rsidP="00C90B98">
            <w:pPr>
              <w:spacing w:after="0"/>
              <w:rPr>
                <w:rFonts w:eastAsia="Times New Roman" w:cs="Times New Roman"/>
                <w:sz w:val="18"/>
                <w:szCs w:val="18"/>
              </w:rPr>
            </w:pPr>
            <w:r>
              <w:rPr>
                <w:rFonts w:eastAsia="Times New Roman" w:cs="Times New Roman"/>
                <w:color w:val="000000"/>
                <w:sz w:val="18"/>
                <w:szCs w:val="18"/>
              </w:rPr>
              <w:t xml:space="preserve"> 1.166</w:t>
            </w:r>
          </w:p>
        </w:tc>
        <w:tc>
          <w:tcPr>
            <w:tcW w:w="618" w:type="dxa"/>
            <w:tcBorders>
              <w:top w:val="single" w:sz="8" w:space="0" w:color="000000"/>
              <w:left w:val="single" w:sz="8" w:space="0" w:color="000000"/>
              <w:bottom w:val="single" w:sz="8" w:space="0" w:color="000000"/>
              <w:right w:val="single" w:sz="8" w:space="0" w:color="000000"/>
            </w:tcBorders>
            <w:vAlign w:val="bottom"/>
          </w:tcPr>
          <w:p w14:paraId="07690011" w14:textId="77777777" w:rsidR="008635C2" w:rsidRDefault="008635C2" w:rsidP="00C90B98">
            <w:pPr>
              <w:spacing w:after="0"/>
              <w:rPr>
                <w:rFonts w:eastAsia="Times New Roman" w:cs="Times New Roman"/>
                <w:sz w:val="18"/>
                <w:szCs w:val="18"/>
              </w:rPr>
            </w:pPr>
            <w:r>
              <w:rPr>
                <w:rFonts w:eastAsia="Times New Roman" w:cs="Times New Roman"/>
                <w:color w:val="000000"/>
                <w:sz w:val="18"/>
                <w:szCs w:val="18"/>
              </w:rPr>
              <w:t xml:space="preserve"> K</w:t>
            </w:r>
          </w:p>
        </w:tc>
        <w:tc>
          <w:tcPr>
            <w:tcW w:w="942" w:type="dxa"/>
            <w:tcBorders>
              <w:top w:val="single" w:sz="8" w:space="0" w:color="000000"/>
              <w:left w:val="single" w:sz="8" w:space="0" w:color="000000"/>
              <w:bottom w:val="single" w:sz="8" w:space="0" w:color="000000"/>
              <w:right w:val="single" w:sz="8" w:space="0" w:color="000000"/>
            </w:tcBorders>
            <w:vAlign w:val="bottom"/>
          </w:tcPr>
          <w:p w14:paraId="62344259"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Mixt</w:t>
            </w:r>
          </w:p>
        </w:tc>
        <w:tc>
          <w:tcPr>
            <w:tcW w:w="992" w:type="dxa"/>
            <w:tcBorders>
              <w:top w:val="single" w:sz="8" w:space="0" w:color="000000"/>
              <w:left w:val="single" w:sz="8" w:space="0" w:color="000000"/>
              <w:bottom w:val="single" w:sz="8" w:space="0" w:color="000000"/>
              <w:right w:val="single" w:sz="8" w:space="0" w:color="000000"/>
            </w:tcBorders>
            <w:vAlign w:val="bottom"/>
          </w:tcPr>
          <w:p w14:paraId="09E236B0"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0/variabilă</w:t>
            </w:r>
          </w:p>
        </w:tc>
        <w:tc>
          <w:tcPr>
            <w:tcW w:w="709" w:type="dxa"/>
            <w:tcBorders>
              <w:top w:val="single" w:sz="8" w:space="0" w:color="000000"/>
              <w:left w:val="single" w:sz="8" w:space="0" w:color="000000"/>
              <w:bottom w:val="single" w:sz="8" w:space="0" w:color="000000"/>
              <w:right w:val="single" w:sz="8" w:space="0" w:color="000000"/>
            </w:tcBorders>
            <w:vAlign w:val="bottom"/>
          </w:tcPr>
          <w:p w14:paraId="4658B60F"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PO,I,IR</w:t>
            </w:r>
          </w:p>
        </w:tc>
        <w:tc>
          <w:tcPr>
            <w:tcW w:w="992" w:type="dxa"/>
            <w:tcBorders>
              <w:top w:val="single" w:sz="8" w:space="0" w:color="000000"/>
              <w:left w:val="single" w:sz="8" w:space="0" w:color="000000"/>
              <w:bottom w:val="single" w:sz="8" w:space="0" w:color="000000"/>
              <w:right w:val="single" w:sz="8" w:space="0" w:color="000000"/>
            </w:tcBorders>
            <w:vAlign w:val="bottom"/>
          </w:tcPr>
          <w:p w14:paraId="544D3929" w14:textId="77777777" w:rsidR="008635C2" w:rsidRDefault="008635C2" w:rsidP="008635C2">
            <w:pPr>
              <w:spacing w:after="0"/>
              <w:ind w:firstLine="0"/>
              <w:rPr>
                <w:rFonts w:eastAsia="Times New Roman" w:cs="Times New Roman"/>
                <w:sz w:val="18"/>
                <w:szCs w:val="18"/>
              </w:rPr>
            </w:pPr>
            <w:r>
              <w:rPr>
                <w:rFonts w:eastAsia="Times New Roman" w:cs="Times New Roman"/>
                <w:sz w:val="18"/>
                <w:szCs w:val="18"/>
              </w:rPr>
              <w:t>I,M,D</w:t>
            </w:r>
          </w:p>
        </w:tc>
        <w:tc>
          <w:tcPr>
            <w:tcW w:w="992" w:type="dxa"/>
            <w:tcBorders>
              <w:top w:val="single" w:sz="8" w:space="0" w:color="000000"/>
              <w:left w:val="single" w:sz="8" w:space="0" w:color="000000"/>
              <w:bottom w:val="single" w:sz="8" w:space="0" w:color="000000"/>
              <w:right w:val="single" w:sz="8" w:space="0" w:color="000000"/>
            </w:tcBorders>
            <w:vAlign w:val="bottom"/>
          </w:tcPr>
          <w:p w14:paraId="3196C053"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PM</w:t>
            </w:r>
          </w:p>
        </w:tc>
        <w:tc>
          <w:tcPr>
            <w:tcW w:w="1134" w:type="dxa"/>
            <w:tcBorders>
              <w:top w:val="single" w:sz="8" w:space="0" w:color="000000"/>
              <w:left w:val="single" w:sz="8" w:space="0" w:color="000000"/>
              <w:bottom w:val="single" w:sz="8" w:space="0" w:color="000000"/>
              <w:right w:val="single" w:sz="8" w:space="0" w:color="000000"/>
            </w:tcBorders>
            <w:vAlign w:val="bottom"/>
          </w:tcPr>
          <w:p w14:paraId="7F5CEF3D"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Nu</w:t>
            </w:r>
          </w:p>
        </w:tc>
      </w:tr>
      <w:tr w:rsidR="008635C2" w14:paraId="4F283CA4" w14:textId="77777777" w:rsidTr="00C90B98">
        <w:trPr>
          <w:trHeight w:val="485"/>
        </w:trPr>
        <w:tc>
          <w:tcPr>
            <w:tcW w:w="1833" w:type="dxa"/>
            <w:tcBorders>
              <w:top w:val="single" w:sz="8" w:space="0" w:color="000000"/>
              <w:left w:val="single" w:sz="8" w:space="0" w:color="000000"/>
              <w:bottom w:val="single" w:sz="8" w:space="0" w:color="000000"/>
              <w:right w:val="single" w:sz="8" w:space="0" w:color="000000"/>
            </w:tcBorders>
            <w:vAlign w:val="bottom"/>
          </w:tcPr>
          <w:p w14:paraId="2892406A"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RODL04/Cobadin-Mangalia</w:t>
            </w:r>
          </w:p>
        </w:tc>
        <w:tc>
          <w:tcPr>
            <w:tcW w:w="992" w:type="dxa"/>
            <w:tcBorders>
              <w:top w:val="single" w:sz="8" w:space="0" w:color="000000"/>
              <w:left w:val="single" w:sz="8" w:space="0" w:color="000000"/>
              <w:bottom w:val="single" w:sz="8" w:space="0" w:color="000000"/>
              <w:right w:val="single" w:sz="8" w:space="0" w:color="000000"/>
            </w:tcBorders>
            <w:vAlign w:val="bottom"/>
          </w:tcPr>
          <w:p w14:paraId="0DBDE50C" w14:textId="77777777" w:rsidR="008635C2" w:rsidRDefault="008635C2" w:rsidP="00C90B98">
            <w:pPr>
              <w:spacing w:after="0"/>
              <w:rPr>
                <w:rFonts w:eastAsia="Times New Roman" w:cs="Times New Roman"/>
                <w:sz w:val="18"/>
                <w:szCs w:val="18"/>
              </w:rPr>
            </w:pPr>
            <w:r>
              <w:rPr>
                <w:rFonts w:eastAsia="Times New Roman" w:cs="Times New Roman"/>
                <w:color w:val="000000"/>
                <w:sz w:val="18"/>
                <w:szCs w:val="18"/>
              </w:rPr>
              <w:t xml:space="preserve"> 2.187</w:t>
            </w:r>
          </w:p>
        </w:tc>
        <w:tc>
          <w:tcPr>
            <w:tcW w:w="618" w:type="dxa"/>
            <w:tcBorders>
              <w:top w:val="single" w:sz="8" w:space="0" w:color="000000"/>
              <w:left w:val="single" w:sz="8" w:space="0" w:color="000000"/>
              <w:bottom w:val="single" w:sz="8" w:space="0" w:color="000000"/>
              <w:right w:val="single" w:sz="8" w:space="0" w:color="000000"/>
            </w:tcBorders>
            <w:vAlign w:val="bottom"/>
          </w:tcPr>
          <w:p w14:paraId="4908BC39" w14:textId="77777777" w:rsidR="008635C2" w:rsidRDefault="008635C2" w:rsidP="00C90B98">
            <w:pPr>
              <w:spacing w:after="0"/>
              <w:rPr>
                <w:rFonts w:eastAsia="Times New Roman" w:cs="Times New Roman"/>
                <w:sz w:val="18"/>
                <w:szCs w:val="18"/>
              </w:rPr>
            </w:pPr>
            <w:r>
              <w:rPr>
                <w:rFonts w:eastAsia="Times New Roman" w:cs="Times New Roman"/>
                <w:color w:val="000000"/>
                <w:sz w:val="18"/>
                <w:szCs w:val="18"/>
              </w:rPr>
              <w:t>F+K</w:t>
            </w:r>
          </w:p>
        </w:tc>
        <w:tc>
          <w:tcPr>
            <w:tcW w:w="942" w:type="dxa"/>
            <w:tcBorders>
              <w:top w:val="single" w:sz="8" w:space="0" w:color="000000"/>
              <w:left w:val="single" w:sz="8" w:space="0" w:color="000000"/>
              <w:bottom w:val="single" w:sz="8" w:space="0" w:color="000000"/>
              <w:right w:val="single" w:sz="8" w:space="0" w:color="000000"/>
            </w:tcBorders>
            <w:vAlign w:val="bottom"/>
          </w:tcPr>
          <w:p w14:paraId="6F29BFC1"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Da</w:t>
            </w:r>
          </w:p>
        </w:tc>
        <w:tc>
          <w:tcPr>
            <w:tcW w:w="992" w:type="dxa"/>
            <w:tcBorders>
              <w:top w:val="single" w:sz="8" w:space="0" w:color="000000"/>
              <w:left w:val="single" w:sz="8" w:space="0" w:color="000000"/>
              <w:bottom w:val="single" w:sz="8" w:space="0" w:color="000000"/>
              <w:right w:val="single" w:sz="8" w:space="0" w:color="000000"/>
            </w:tcBorders>
            <w:vAlign w:val="bottom"/>
          </w:tcPr>
          <w:p w14:paraId="2FAE4248"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0-20</w:t>
            </w:r>
          </w:p>
        </w:tc>
        <w:tc>
          <w:tcPr>
            <w:tcW w:w="709" w:type="dxa"/>
            <w:tcBorders>
              <w:top w:val="single" w:sz="8" w:space="0" w:color="000000"/>
              <w:left w:val="single" w:sz="8" w:space="0" w:color="000000"/>
              <w:bottom w:val="single" w:sz="8" w:space="0" w:color="000000"/>
              <w:right w:val="single" w:sz="8" w:space="0" w:color="000000"/>
            </w:tcBorders>
            <w:vAlign w:val="bottom"/>
          </w:tcPr>
          <w:p w14:paraId="4B317EAD" w14:textId="1A311543"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PO,I,IR,A, AL</w:t>
            </w:r>
          </w:p>
        </w:tc>
        <w:tc>
          <w:tcPr>
            <w:tcW w:w="992" w:type="dxa"/>
            <w:tcBorders>
              <w:top w:val="single" w:sz="8" w:space="0" w:color="000000"/>
              <w:left w:val="single" w:sz="8" w:space="0" w:color="000000"/>
              <w:bottom w:val="single" w:sz="8" w:space="0" w:color="000000"/>
              <w:right w:val="single" w:sz="8" w:space="0" w:color="000000"/>
            </w:tcBorders>
            <w:vAlign w:val="bottom"/>
          </w:tcPr>
          <w:p w14:paraId="44D5875E"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I,M,Z,D</w:t>
            </w:r>
          </w:p>
        </w:tc>
        <w:tc>
          <w:tcPr>
            <w:tcW w:w="992" w:type="dxa"/>
            <w:tcBorders>
              <w:top w:val="single" w:sz="8" w:space="0" w:color="000000"/>
              <w:left w:val="single" w:sz="8" w:space="0" w:color="000000"/>
              <w:bottom w:val="single" w:sz="8" w:space="0" w:color="000000"/>
              <w:right w:val="single" w:sz="8" w:space="0" w:color="000000"/>
            </w:tcBorders>
            <w:vAlign w:val="bottom"/>
          </w:tcPr>
          <w:p w14:paraId="4EB6F6CA"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PM,PG</w:t>
            </w:r>
          </w:p>
        </w:tc>
        <w:tc>
          <w:tcPr>
            <w:tcW w:w="1134" w:type="dxa"/>
            <w:tcBorders>
              <w:top w:val="single" w:sz="8" w:space="0" w:color="000000"/>
              <w:left w:val="single" w:sz="8" w:space="0" w:color="000000"/>
              <w:bottom w:val="single" w:sz="8" w:space="0" w:color="000000"/>
              <w:right w:val="single" w:sz="8" w:space="0" w:color="000000"/>
            </w:tcBorders>
            <w:vAlign w:val="bottom"/>
          </w:tcPr>
          <w:p w14:paraId="5C2694D3"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Da /Bulgaria</w:t>
            </w:r>
          </w:p>
        </w:tc>
      </w:tr>
      <w:tr w:rsidR="008635C2" w14:paraId="50C66687" w14:textId="77777777" w:rsidTr="00C90B98">
        <w:trPr>
          <w:trHeight w:val="626"/>
        </w:trPr>
        <w:tc>
          <w:tcPr>
            <w:tcW w:w="1833" w:type="dxa"/>
            <w:tcBorders>
              <w:top w:val="single" w:sz="8" w:space="0" w:color="000000"/>
              <w:left w:val="single" w:sz="8" w:space="0" w:color="000000"/>
              <w:bottom w:val="single" w:sz="8" w:space="0" w:color="000000"/>
              <w:right w:val="single" w:sz="8" w:space="0" w:color="000000"/>
            </w:tcBorders>
            <w:vAlign w:val="bottom"/>
          </w:tcPr>
          <w:p w14:paraId="55AB3F30"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RODL05/Dobrogea Centrala</w:t>
            </w:r>
          </w:p>
        </w:tc>
        <w:tc>
          <w:tcPr>
            <w:tcW w:w="992" w:type="dxa"/>
            <w:tcBorders>
              <w:top w:val="single" w:sz="8" w:space="0" w:color="000000"/>
              <w:left w:val="single" w:sz="8" w:space="0" w:color="000000"/>
              <w:bottom w:val="single" w:sz="8" w:space="0" w:color="000000"/>
              <w:right w:val="single" w:sz="8" w:space="0" w:color="000000"/>
            </w:tcBorders>
            <w:vAlign w:val="bottom"/>
          </w:tcPr>
          <w:p w14:paraId="25A3E596" w14:textId="77777777" w:rsidR="008635C2" w:rsidRDefault="008635C2" w:rsidP="00C90B98">
            <w:pPr>
              <w:spacing w:after="0"/>
              <w:rPr>
                <w:rFonts w:eastAsia="Times New Roman" w:cs="Times New Roman"/>
                <w:sz w:val="18"/>
                <w:szCs w:val="18"/>
              </w:rPr>
            </w:pPr>
            <w:r>
              <w:rPr>
                <w:rFonts w:eastAsia="Times New Roman" w:cs="Times New Roman"/>
                <w:color w:val="000000"/>
                <w:sz w:val="18"/>
                <w:szCs w:val="18"/>
              </w:rPr>
              <w:t xml:space="preserve"> 3.000</w:t>
            </w:r>
          </w:p>
        </w:tc>
        <w:tc>
          <w:tcPr>
            <w:tcW w:w="618" w:type="dxa"/>
            <w:tcBorders>
              <w:top w:val="single" w:sz="8" w:space="0" w:color="000000"/>
              <w:left w:val="single" w:sz="8" w:space="0" w:color="000000"/>
              <w:bottom w:val="single" w:sz="8" w:space="0" w:color="000000"/>
              <w:right w:val="single" w:sz="8" w:space="0" w:color="000000"/>
            </w:tcBorders>
            <w:vAlign w:val="bottom"/>
          </w:tcPr>
          <w:p w14:paraId="1BAB7A78" w14:textId="77777777" w:rsidR="008635C2" w:rsidRDefault="008635C2" w:rsidP="00C90B98">
            <w:pPr>
              <w:spacing w:after="0"/>
              <w:rPr>
                <w:rFonts w:eastAsia="Times New Roman" w:cs="Times New Roman"/>
                <w:sz w:val="18"/>
                <w:szCs w:val="18"/>
              </w:rPr>
            </w:pPr>
            <w:r>
              <w:rPr>
                <w:rFonts w:eastAsia="Times New Roman" w:cs="Times New Roman"/>
                <w:color w:val="000000"/>
                <w:sz w:val="18"/>
                <w:szCs w:val="18"/>
              </w:rPr>
              <w:t xml:space="preserve"> P</w:t>
            </w:r>
          </w:p>
        </w:tc>
        <w:tc>
          <w:tcPr>
            <w:tcW w:w="942" w:type="dxa"/>
            <w:tcBorders>
              <w:top w:val="single" w:sz="8" w:space="0" w:color="000000"/>
              <w:left w:val="single" w:sz="8" w:space="0" w:color="000000"/>
              <w:bottom w:val="single" w:sz="8" w:space="0" w:color="000000"/>
              <w:right w:val="single" w:sz="8" w:space="0" w:color="000000"/>
            </w:tcBorders>
            <w:vAlign w:val="bottom"/>
          </w:tcPr>
          <w:p w14:paraId="1C86124E"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Nu</w:t>
            </w:r>
          </w:p>
        </w:tc>
        <w:tc>
          <w:tcPr>
            <w:tcW w:w="992" w:type="dxa"/>
            <w:tcBorders>
              <w:top w:val="single" w:sz="8" w:space="0" w:color="000000"/>
              <w:left w:val="single" w:sz="8" w:space="0" w:color="000000"/>
              <w:bottom w:val="single" w:sz="8" w:space="0" w:color="000000"/>
              <w:right w:val="single" w:sz="8" w:space="0" w:color="000000"/>
            </w:tcBorders>
            <w:vAlign w:val="bottom"/>
          </w:tcPr>
          <w:p w14:paraId="5E790377"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0-0,5</w:t>
            </w:r>
          </w:p>
        </w:tc>
        <w:tc>
          <w:tcPr>
            <w:tcW w:w="709" w:type="dxa"/>
            <w:tcBorders>
              <w:top w:val="single" w:sz="8" w:space="0" w:color="000000"/>
              <w:left w:val="single" w:sz="8" w:space="0" w:color="000000"/>
              <w:bottom w:val="single" w:sz="8" w:space="0" w:color="000000"/>
              <w:right w:val="single" w:sz="8" w:space="0" w:color="000000"/>
            </w:tcBorders>
            <w:vAlign w:val="bottom"/>
          </w:tcPr>
          <w:p w14:paraId="6386D0DB"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PO,I,IR, Z, AL</w:t>
            </w:r>
          </w:p>
        </w:tc>
        <w:tc>
          <w:tcPr>
            <w:tcW w:w="992" w:type="dxa"/>
            <w:tcBorders>
              <w:top w:val="single" w:sz="8" w:space="0" w:color="000000"/>
              <w:left w:val="single" w:sz="8" w:space="0" w:color="000000"/>
              <w:bottom w:val="single" w:sz="8" w:space="0" w:color="000000"/>
              <w:right w:val="single" w:sz="8" w:space="0" w:color="000000"/>
            </w:tcBorders>
            <w:vAlign w:val="bottom"/>
          </w:tcPr>
          <w:p w14:paraId="46075F97"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I,M,Z,D</w:t>
            </w:r>
          </w:p>
        </w:tc>
        <w:tc>
          <w:tcPr>
            <w:tcW w:w="992" w:type="dxa"/>
            <w:tcBorders>
              <w:top w:val="single" w:sz="8" w:space="0" w:color="000000"/>
              <w:left w:val="single" w:sz="8" w:space="0" w:color="000000"/>
              <w:bottom w:val="single" w:sz="8" w:space="0" w:color="000000"/>
              <w:right w:val="single" w:sz="8" w:space="0" w:color="000000"/>
            </w:tcBorders>
            <w:vAlign w:val="bottom"/>
          </w:tcPr>
          <w:p w14:paraId="23EAEB44"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PM</w:t>
            </w:r>
          </w:p>
        </w:tc>
        <w:tc>
          <w:tcPr>
            <w:tcW w:w="1134" w:type="dxa"/>
            <w:tcBorders>
              <w:top w:val="single" w:sz="8" w:space="0" w:color="000000"/>
              <w:left w:val="single" w:sz="8" w:space="0" w:color="000000"/>
              <w:bottom w:val="single" w:sz="8" w:space="0" w:color="000000"/>
              <w:right w:val="single" w:sz="8" w:space="0" w:color="000000"/>
            </w:tcBorders>
            <w:vAlign w:val="bottom"/>
          </w:tcPr>
          <w:p w14:paraId="06504727"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 xml:space="preserve"> Nu</w:t>
            </w:r>
          </w:p>
        </w:tc>
      </w:tr>
      <w:tr w:rsidR="008635C2" w14:paraId="2AFAD78E" w14:textId="77777777" w:rsidTr="00C90B98">
        <w:trPr>
          <w:trHeight w:val="626"/>
        </w:trPr>
        <w:tc>
          <w:tcPr>
            <w:tcW w:w="1833" w:type="dxa"/>
            <w:tcBorders>
              <w:top w:val="single" w:sz="8" w:space="0" w:color="000000"/>
              <w:left w:val="single" w:sz="8" w:space="0" w:color="000000"/>
              <w:bottom w:val="single" w:sz="8" w:space="0" w:color="000000"/>
              <w:right w:val="single" w:sz="8" w:space="0" w:color="000000"/>
            </w:tcBorders>
            <w:vAlign w:val="bottom"/>
          </w:tcPr>
          <w:p w14:paraId="66582E32" w14:textId="77777777" w:rsidR="008635C2" w:rsidRDefault="008635C2" w:rsidP="008635C2">
            <w:pPr>
              <w:spacing w:after="0"/>
              <w:ind w:firstLine="0"/>
              <w:rPr>
                <w:rFonts w:eastAsia="Times New Roman" w:cs="Times New Roman"/>
                <w:color w:val="000000"/>
                <w:sz w:val="18"/>
                <w:szCs w:val="18"/>
              </w:rPr>
            </w:pPr>
            <w:r>
              <w:rPr>
                <w:rFonts w:eastAsia="Times New Roman" w:cs="Times New Roman"/>
                <w:color w:val="000000"/>
                <w:sz w:val="18"/>
                <w:szCs w:val="18"/>
              </w:rPr>
              <w:t>RODL06/ Platforma Valahă</w:t>
            </w:r>
          </w:p>
        </w:tc>
        <w:tc>
          <w:tcPr>
            <w:tcW w:w="992" w:type="dxa"/>
            <w:tcBorders>
              <w:top w:val="single" w:sz="8" w:space="0" w:color="000000"/>
              <w:left w:val="single" w:sz="8" w:space="0" w:color="000000"/>
              <w:bottom w:val="single" w:sz="8" w:space="0" w:color="000000"/>
              <w:right w:val="single" w:sz="8" w:space="0" w:color="000000"/>
            </w:tcBorders>
            <w:vAlign w:val="bottom"/>
          </w:tcPr>
          <w:p w14:paraId="5FF1163E" w14:textId="77777777" w:rsidR="008635C2" w:rsidRDefault="008635C2" w:rsidP="008635C2">
            <w:pPr>
              <w:spacing w:after="0"/>
              <w:ind w:firstLine="0"/>
              <w:rPr>
                <w:rFonts w:eastAsia="Times New Roman" w:cs="Times New Roman"/>
                <w:color w:val="000000"/>
                <w:sz w:val="18"/>
                <w:szCs w:val="18"/>
              </w:rPr>
            </w:pPr>
            <w:r>
              <w:rPr>
                <w:rFonts w:eastAsia="Times New Roman" w:cs="Times New Roman"/>
                <w:color w:val="000000"/>
                <w:sz w:val="18"/>
                <w:szCs w:val="18"/>
              </w:rPr>
              <w:t>11.340</w:t>
            </w:r>
          </w:p>
        </w:tc>
        <w:tc>
          <w:tcPr>
            <w:tcW w:w="618" w:type="dxa"/>
            <w:tcBorders>
              <w:top w:val="single" w:sz="8" w:space="0" w:color="000000"/>
              <w:left w:val="single" w:sz="8" w:space="0" w:color="000000"/>
              <w:bottom w:val="single" w:sz="8" w:space="0" w:color="000000"/>
              <w:right w:val="single" w:sz="8" w:space="0" w:color="000000"/>
            </w:tcBorders>
            <w:vAlign w:val="bottom"/>
          </w:tcPr>
          <w:p w14:paraId="3EEF3FCF" w14:textId="77777777" w:rsidR="008635C2" w:rsidRDefault="008635C2" w:rsidP="00C90B98">
            <w:pPr>
              <w:spacing w:after="0"/>
              <w:rPr>
                <w:rFonts w:eastAsia="Times New Roman" w:cs="Times New Roman"/>
                <w:color w:val="000000"/>
                <w:sz w:val="18"/>
                <w:szCs w:val="18"/>
              </w:rPr>
            </w:pPr>
            <w:r>
              <w:rPr>
                <w:rFonts w:eastAsia="Times New Roman" w:cs="Times New Roman"/>
                <w:color w:val="000000"/>
                <w:sz w:val="18"/>
                <w:szCs w:val="18"/>
              </w:rPr>
              <w:t>K+F</w:t>
            </w:r>
          </w:p>
        </w:tc>
        <w:tc>
          <w:tcPr>
            <w:tcW w:w="942" w:type="dxa"/>
            <w:tcBorders>
              <w:top w:val="single" w:sz="8" w:space="0" w:color="000000"/>
              <w:left w:val="single" w:sz="8" w:space="0" w:color="000000"/>
              <w:bottom w:val="single" w:sz="8" w:space="0" w:color="000000"/>
              <w:right w:val="single" w:sz="8" w:space="0" w:color="000000"/>
            </w:tcBorders>
            <w:vAlign w:val="bottom"/>
          </w:tcPr>
          <w:p w14:paraId="7B6FC8A1" w14:textId="77777777" w:rsidR="008635C2" w:rsidRDefault="008635C2" w:rsidP="008635C2">
            <w:pPr>
              <w:spacing w:after="0"/>
              <w:ind w:firstLine="0"/>
              <w:rPr>
                <w:rFonts w:eastAsia="Times New Roman" w:cs="Times New Roman"/>
                <w:color w:val="000000"/>
                <w:sz w:val="18"/>
                <w:szCs w:val="18"/>
              </w:rPr>
            </w:pPr>
            <w:r>
              <w:rPr>
                <w:rFonts w:eastAsia="Times New Roman" w:cs="Times New Roman"/>
                <w:color w:val="000000"/>
                <w:sz w:val="18"/>
                <w:szCs w:val="18"/>
              </w:rPr>
              <w:t>Da</w:t>
            </w:r>
          </w:p>
        </w:tc>
        <w:tc>
          <w:tcPr>
            <w:tcW w:w="992" w:type="dxa"/>
            <w:tcBorders>
              <w:top w:val="single" w:sz="8" w:space="0" w:color="000000"/>
              <w:left w:val="single" w:sz="8" w:space="0" w:color="000000"/>
              <w:bottom w:val="single" w:sz="8" w:space="0" w:color="000000"/>
              <w:right w:val="single" w:sz="8" w:space="0" w:color="000000"/>
            </w:tcBorders>
            <w:vAlign w:val="bottom"/>
          </w:tcPr>
          <w:p w14:paraId="0A70BFED" w14:textId="77777777" w:rsidR="008635C2" w:rsidRDefault="008635C2" w:rsidP="008635C2">
            <w:pPr>
              <w:spacing w:after="0"/>
              <w:ind w:firstLine="0"/>
              <w:rPr>
                <w:rFonts w:eastAsia="Times New Roman" w:cs="Times New Roman"/>
                <w:color w:val="000000"/>
                <w:sz w:val="18"/>
                <w:szCs w:val="18"/>
              </w:rPr>
            </w:pPr>
            <w:r>
              <w:rPr>
                <w:rFonts w:eastAsia="Times New Roman" w:cs="Times New Roman"/>
                <w:color w:val="000000"/>
                <w:sz w:val="18"/>
                <w:szCs w:val="18"/>
              </w:rPr>
              <w:t>0/variabilă</w:t>
            </w:r>
          </w:p>
        </w:tc>
        <w:tc>
          <w:tcPr>
            <w:tcW w:w="709" w:type="dxa"/>
            <w:tcBorders>
              <w:top w:val="single" w:sz="8" w:space="0" w:color="000000"/>
              <w:left w:val="single" w:sz="8" w:space="0" w:color="000000"/>
              <w:bottom w:val="single" w:sz="8" w:space="0" w:color="000000"/>
              <w:right w:val="single" w:sz="8" w:space="0" w:color="000000"/>
            </w:tcBorders>
            <w:vAlign w:val="bottom"/>
          </w:tcPr>
          <w:p w14:paraId="227FAF41" w14:textId="77777777" w:rsidR="008635C2" w:rsidRDefault="008635C2" w:rsidP="008635C2">
            <w:pPr>
              <w:spacing w:after="0"/>
              <w:ind w:firstLine="0"/>
              <w:rPr>
                <w:rFonts w:eastAsia="Times New Roman" w:cs="Times New Roman"/>
                <w:color w:val="000000"/>
                <w:sz w:val="18"/>
                <w:szCs w:val="18"/>
              </w:rPr>
            </w:pPr>
            <w:r>
              <w:rPr>
                <w:rFonts w:eastAsia="Times New Roman" w:cs="Times New Roman"/>
                <w:color w:val="000000"/>
                <w:sz w:val="18"/>
                <w:szCs w:val="18"/>
              </w:rPr>
              <w:t>PO, I, Z</w:t>
            </w:r>
          </w:p>
        </w:tc>
        <w:tc>
          <w:tcPr>
            <w:tcW w:w="992" w:type="dxa"/>
            <w:tcBorders>
              <w:top w:val="single" w:sz="8" w:space="0" w:color="000000"/>
              <w:left w:val="single" w:sz="8" w:space="0" w:color="000000"/>
              <w:bottom w:val="single" w:sz="8" w:space="0" w:color="000000"/>
              <w:right w:val="single" w:sz="8" w:space="0" w:color="000000"/>
            </w:tcBorders>
            <w:vAlign w:val="bottom"/>
          </w:tcPr>
          <w:p w14:paraId="17732762" w14:textId="77777777" w:rsidR="008635C2" w:rsidRDefault="008635C2" w:rsidP="008635C2">
            <w:pPr>
              <w:spacing w:after="0"/>
              <w:ind w:firstLine="0"/>
              <w:rPr>
                <w:rFonts w:eastAsia="Times New Roman" w:cs="Times New Roman"/>
                <w:color w:val="000000"/>
                <w:sz w:val="18"/>
                <w:szCs w:val="18"/>
              </w:rPr>
            </w:pPr>
            <w:r>
              <w:rPr>
                <w:rFonts w:eastAsia="Times New Roman" w:cs="Times New Roman"/>
                <w:color w:val="000000"/>
                <w:sz w:val="18"/>
                <w:szCs w:val="18"/>
              </w:rPr>
              <w:t>I, M</w:t>
            </w:r>
          </w:p>
        </w:tc>
        <w:tc>
          <w:tcPr>
            <w:tcW w:w="992" w:type="dxa"/>
            <w:tcBorders>
              <w:top w:val="single" w:sz="8" w:space="0" w:color="000000"/>
              <w:left w:val="single" w:sz="8" w:space="0" w:color="000000"/>
              <w:bottom w:val="single" w:sz="8" w:space="0" w:color="000000"/>
              <w:right w:val="single" w:sz="8" w:space="0" w:color="000000"/>
            </w:tcBorders>
            <w:vAlign w:val="bottom"/>
          </w:tcPr>
          <w:p w14:paraId="37BA9B1E" w14:textId="77777777" w:rsidR="008635C2" w:rsidRDefault="008635C2" w:rsidP="008635C2">
            <w:pPr>
              <w:spacing w:after="0"/>
              <w:ind w:firstLine="0"/>
              <w:rPr>
                <w:rFonts w:eastAsia="Times New Roman" w:cs="Times New Roman"/>
                <w:color w:val="000000"/>
                <w:sz w:val="18"/>
                <w:szCs w:val="18"/>
              </w:rPr>
            </w:pPr>
            <w:r>
              <w:rPr>
                <w:rFonts w:eastAsia="Times New Roman" w:cs="Times New Roman"/>
                <w:color w:val="000000"/>
                <w:sz w:val="18"/>
                <w:szCs w:val="18"/>
              </w:rPr>
              <w:t>PG</w:t>
            </w:r>
          </w:p>
        </w:tc>
        <w:tc>
          <w:tcPr>
            <w:tcW w:w="1134" w:type="dxa"/>
            <w:tcBorders>
              <w:top w:val="single" w:sz="8" w:space="0" w:color="000000"/>
              <w:left w:val="single" w:sz="8" w:space="0" w:color="000000"/>
              <w:bottom w:val="single" w:sz="8" w:space="0" w:color="000000"/>
              <w:right w:val="single" w:sz="8" w:space="0" w:color="000000"/>
            </w:tcBorders>
            <w:vAlign w:val="bottom"/>
          </w:tcPr>
          <w:p w14:paraId="0CDD9070" w14:textId="77777777" w:rsidR="008635C2" w:rsidRDefault="008635C2" w:rsidP="008635C2">
            <w:pPr>
              <w:spacing w:after="0"/>
              <w:ind w:firstLine="0"/>
              <w:rPr>
                <w:rFonts w:eastAsia="Times New Roman" w:cs="Times New Roman"/>
                <w:color w:val="000000"/>
                <w:sz w:val="18"/>
                <w:szCs w:val="18"/>
              </w:rPr>
            </w:pPr>
            <w:r>
              <w:rPr>
                <w:rFonts w:eastAsia="Times New Roman" w:cs="Times New Roman"/>
                <w:color w:val="000000"/>
                <w:sz w:val="18"/>
                <w:szCs w:val="18"/>
              </w:rPr>
              <w:t>Da /Bulgaria</w:t>
            </w:r>
          </w:p>
        </w:tc>
      </w:tr>
      <w:tr w:rsidR="008635C2" w14:paraId="5DC96BEB" w14:textId="77777777" w:rsidTr="00C90B98">
        <w:trPr>
          <w:trHeight w:val="437"/>
        </w:trPr>
        <w:tc>
          <w:tcPr>
            <w:tcW w:w="1833" w:type="dxa"/>
            <w:tcBorders>
              <w:top w:val="single" w:sz="8" w:space="0" w:color="000000"/>
              <w:left w:val="single" w:sz="8" w:space="0" w:color="000000"/>
              <w:bottom w:val="single" w:sz="8" w:space="0" w:color="000000"/>
              <w:right w:val="single" w:sz="8" w:space="0" w:color="000000"/>
            </w:tcBorders>
            <w:vAlign w:val="bottom"/>
          </w:tcPr>
          <w:p w14:paraId="742C2545" w14:textId="77777777" w:rsidR="008635C2" w:rsidRDefault="008635C2" w:rsidP="00C90B98">
            <w:pPr>
              <w:spacing w:after="0"/>
              <w:rPr>
                <w:rFonts w:eastAsia="Times New Roman" w:cs="Times New Roman"/>
                <w:sz w:val="18"/>
                <w:szCs w:val="18"/>
              </w:rPr>
            </w:pPr>
            <w:r>
              <w:rPr>
                <w:rFonts w:eastAsia="Times New Roman" w:cs="Times New Roman"/>
                <w:color w:val="000000"/>
                <w:sz w:val="18"/>
                <w:szCs w:val="18"/>
              </w:rPr>
              <w:t>RODL08/Casimcea</w:t>
            </w:r>
          </w:p>
        </w:tc>
        <w:tc>
          <w:tcPr>
            <w:tcW w:w="992" w:type="dxa"/>
            <w:tcBorders>
              <w:top w:val="single" w:sz="8" w:space="0" w:color="000000"/>
              <w:left w:val="single" w:sz="8" w:space="0" w:color="000000"/>
              <w:bottom w:val="single" w:sz="8" w:space="0" w:color="000000"/>
              <w:right w:val="single" w:sz="8" w:space="0" w:color="000000"/>
            </w:tcBorders>
            <w:vAlign w:val="bottom"/>
          </w:tcPr>
          <w:p w14:paraId="5C9EBB3B"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92</w:t>
            </w:r>
          </w:p>
        </w:tc>
        <w:tc>
          <w:tcPr>
            <w:tcW w:w="618" w:type="dxa"/>
            <w:tcBorders>
              <w:top w:val="single" w:sz="8" w:space="0" w:color="000000"/>
              <w:left w:val="single" w:sz="8" w:space="0" w:color="000000"/>
              <w:bottom w:val="single" w:sz="8" w:space="0" w:color="000000"/>
              <w:right w:val="single" w:sz="8" w:space="0" w:color="000000"/>
            </w:tcBorders>
            <w:vAlign w:val="bottom"/>
          </w:tcPr>
          <w:p w14:paraId="5081A751" w14:textId="77777777" w:rsidR="008635C2" w:rsidRDefault="008635C2" w:rsidP="00C90B98">
            <w:pPr>
              <w:spacing w:after="0"/>
              <w:rPr>
                <w:rFonts w:eastAsia="Times New Roman" w:cs="Times New Roman"/>
                <w:sz w:val="18"/>
                <w:szCs w:val="18"/>
              </w:rPr>
            </w:pPr>
            <w:r>
              <w:rPr>
                <w:rFonts w:eastAsia="Times New Roman" w:cs="Times New Roman"/>
                <w:color w:val="000000"/>
                <w:sz w:val="18"/>
                <w:szCs w:val="18"/>
              </w:rPr>
              <w:t>F+K</w:t>
            </w:r>
          </w:p>
        </w:tc>
        <w:tc>
          <w:tcPr>
            <w:tcW w:w="942" w:type="dxa"/>
            <w:tcBorders>
              <w:top w:val="single" w:sz="8" w:space="0" w:color="000000"/>
              <w:left w:val="single" w:sz="8" w:space="0" w:color="000000"/>
              <w:bottom w:val="single" w:sz="8" w:space="0" w:color="000000"/>
              <w:right w:val="single" w:sz="8" w:space="0" w:color="000000"/>
            </w:tcBorders>
            <w:vAlign w:val="bottom"/>
          </w:tcPr>
          <w:p w14:paraId="18FCA2F3"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Mixt</w:t>
            </w:r>
          </w:p>
        </w:tc>
        <w:tc>
          <w:tcPr>
            <w:tcW w:w="992" w:type="dxa"/>
            <w:tcBorders>
              <w:top w:val="single" w:sz="8" w:space="0" w:color="000000"/>
              <w:left w:val="single" w:sz="8" w:space="0" w:color="000000"/>
              <w:bottom w:val="single" w:sz="8" w:space="0" w:color="000000"/>
              <w:right w:val="single" w:sz="8" w:space="0" w:color="000000"/>
            </w:tcBorders>
            <w:vAlign w:val="bottom"/>
          </w:tcPr>
          <w:p w14:paraId="2F03F38F"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0-10</w:t>
            </w:r>
          </w:p>
        </w:tc>
        <w:tc>
          <w:tcPr>
            <w:tcW w:w="709" w:type="dxa"/>
            <w:tcBorders>
              <w:top w:val="single" w:sz="8" w:space="0" w:color="000000"/>
              <w:left w:val="single" w:sz="8" w:space="0" w:color="000000"/>
              <w:bottom w:val="single" w:sz="8" w:space="0" w:color="000000"/>
              <w:right w:val="single" w:sz="8" w:space="0" w:color="000000"/>
            </w:tcBorders>
            <w:vAlign w:val="bottom"/>
          </w:tcPr>
          <w:p w14:paraId="45A38007"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I, Z, AL</w:t>
            </w:r>
          </w:p>
        </w:tc>
        <w:tc>
          <w:tcPr>
            <w:tcW w:w="992" w:type="dxa"/>
            <w:tcBorders>
              <w:top w:val="single" w:sz="8" w:space="0" w:color="000000"/>
              <w:left w:val="single" w:sz="8" w:space="0" w:color="000000"/>
              <w:bottom w:val="single" w:sz="8" w:space="0" w:color="000000"/>
              <w:right w:val="single" w:sz="8" w:space="0" w:color="000000"/>
            </w:tcBorders>
            <w:vAlign w:val="bottom"/>
          </w:tcPr>
          <w:p w14:paraId="2C736689"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w:t>
            </w:r>
          </w:p>
        </w:tc>
        <w:tc>
          <w:tcPr>
            <w:tcW w:w="992" w:type="dxa"/>
            <w:tcBorders>
              <w:top w:val="single" w:sz="8" w:space="0" w:color="000000"/>
              <w:left w:val="single" w:sz="8" w:space="0" w:color="000000"/>
              <w:bottom w:val="single" w:sz="8" w:space="0" w:color="000000"/>
              <w:right w:val="single" w:sz="8" w:space="0" w:color="000000"/>
            </w:tcBorders>
            <w:vAlign w:val="bottom"/>
          </w:tcPr>
          <w:p w14:paraId="62314F03"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PM,PU</w:t>
            </w:r>
          </w:p>
        </w:tc>
        <w:tc>
          <w:tcPr>
            <w:tcW w:w="1134" w:type="dxa"/>
            <w:tcBorders>
              <w:top w:val="single" w:sz="8" w:space="0" w:color="000000"/>
              <w:left w:val="single" w:sz="8" w:space="0" w:color="000000"/>
              <w:bottom w:val="single" w:sz="8" w:space="0" w:color="000000"/>
              <w:right w:val="single" w:sz="8" w:space="0" w:color="000000"/>
            </w:tcBorders>
            <w:vAlign w:val="bottom"/>
          </w:tcPr>
          <w:p w14:paraId="18B11D9A"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 xml:space="preserve"> Nu</w:t>
            </w:r>
          </w:p>
        </w:tc>
      </w:tr>
      <w:tr w:rsidR="008635C2" w14:paraId="12486464" w14:textId="77777777" w:rsidTr="00C90B98">
        <w:trPr>
          <w:trHeight w:val="615"/>
        </w:trPr>
        <w:tc>
          <w:tcPr>
            <w:tcW w:w="1833" w:type="dxa"/>
            <w:tcBorders>
              <w:top w:val="single" w:sz="8" w:space="0" w:color="000000"/>
              <w:left w:val="single" w:sz="8" w:space="0" w:color="000000"/>
              <w:bottom w:val="single" w:sz="8" w:space="0" w:color="000000"/>
              <w:right w:val="single" w:sz="8" w:space="0" w:color="000000"/>
            </w:tcBorders>
            <w:vAlign w:val="bottom"/>
          </w:tcPr>
          <w:p w14:paraId="133E0172" w14:textId="77777777" w:rsidR="008635C2" w:rsidRDefault="008635C2" w:rsidP="00C90B98">
            <w:pPr>
              <w:spacing w:after="0"/>
              <w:rPr>
                <w:rFonts w:eastAsia="Times New Roman" w:cs="Times New Roman"/>
                <w:sz w:val="18"/>
                <w:szCs w:val="18"/>
              </w:rPr>
            </w:pPr>
            <w:r>
              <w:rPr>
                <w:rFonts w:eastAsia="Times New Roman" w:cs="Times New Roman"/>
                <w:color w:val="000000"/>
                <w:sz w:val="18"/>
                <w:szCs w:val="18"/>
              </w:rPr>
              <w:t>RODL09/Dobrogea de Nord</w:t>
            </w:r>
          </w:p>
        </w:tc>
        <w:tc>
          <w:tcPr>
            <w:tcW w:w="992" w:type="dxa"/>
            <w:tcBorders>
              <w:top w:val="single" w:sz="8" w:space="0" w:color="000000"/>
              <w:left w:val="single" w:sz="8" w:space="0" w:color="000000"/>
              <w:bottom w:val="single" w:sz="8" w:space="0" w:color="000000"/>
              <w:right w:val="single" w:sz="8" w:space="0" w:color="000000"/>
            </w:tcBorders>
            <w:vAlign w:val="bottom"/>
          </w:tcPr>
          <w:p w14:paraId="4CCA3B8B"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2.731</w:t>
            </w:r>
          </w:p>
        </w:tc>
        <w:tc>
          <w:tcPr>
            <w:tcW w:w="618" w:type="dxa"/>
            <w:tcBorders>
              <w:top w:val="single" w:sz="8" w:space="0" w:color="000000"/>
              <w:left w:val="single" w:sz="8" w:space="0" w:color="000000"/>
              <w:bottom w:val="single" w:sz="8" w:space="0" w:color="000000"/>
              <w:right w:val="single" w:sz="8" w:space="0" w:color="000000"/>
            </w:tcBorders>
            <w:vAlign w:val="bottom"/>
          </w:tcPr>
          <w:p w14:paraId="055B2821" w14:textId="77777777" w:rsidR="008635C2" w:rsidRDefault="008635C2" w:rsidP="00C90B98">
            <w:pPr>
              <w:spacing w:after="0"/>
              <w:rPr>
                <w:rFonts w:eastAsia="Times New Roman" w:cs="Times New Roman"/>
                <w:sz w:val="18"/>
                <w:szCs w:val="18"/>
              </w:rPr>
            </w:pPr>
            <w:r>
              <w:rPr>
                <w:rFonts w:eastAsia="Times New Roman" w:cs="Times New Roman"/>
                <w:color w:val="000000"/>
                <w:sz w:val="18"/>
                <w:szCs w:val="18"/>
              </w:rPr>
              <w:t xml:space="preserve"> P</w:t>
            </w:r>
          </w:p>
        </w:tc>
        <w:tc>
          <w:tcPr>
            <w:tcW w:w="942" w:type="dxa"/>
            <w:tcBorders>
              <w:top w:val="single" w:sz="8" w:space="0" w:color="000000"/>
              <w:left w:val="single" w:sz="8" w:space="0" w:color="000000"/>
              <w:bottom w:val="single" w:sz="8" w:space="0" w:color="000000"/>
              <w:right w:val="single" w:sz="8" w:space="0" w:color="000000"/>
            </w:tcBorders>
            <w:vAlign w:val="bottom"/>
          </w:tcPr>
          <w:p w14:paraId="151F2B4B"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Nu</w:t>
            </w:r>
          </w:p>
        </w:tc>
        <w:tc>
          <w:tcPr>
            <w:tcW w:w="992" w:type="dxa"/>
            <w:tcBorders>
              <w:top w:val="single" w:sz="8" w:space="0" w:color="000000"/>
              <w:left w:val="single" w:sz="8" w:space="0" w:color="000000"/>
              <w:bottom w:val="single" w:sz="8" w:space="0" w:color="000000"/>
              <w:right w:val="single" w:sz="8" w:space="0" w:color="000000"/>
            </w:tcBorders>
            <w:vAlign w:val="bottom"/>
          </w:tcPr>
          <w:p w14:paraId="67CCA3A7"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 xml:space="preserve"> 0-0,5</w:t>
            </w:r>
          </w:p>
        </w:tc>
        <w:tc>
          <w:tcPr>
            <w:tcW w:w="709" w:type="dxa"/>
            <w:tcBorders>
              <w:top w:val="single" w:sz="8" w:space="0" w:color="000000"/>
              <w:left w:val="single" w:sz="8" w:space="0" w:color="000000"/>
              <w:bottom w:val="single" w:sz="8" w:space="0" w:color="000000"/>
              <w:right w:val="single" w:sz="8" w:space="0" w:color="000000"/>
            </w:tcBorders>
            <w:vAlign w:val="bottom"/>
          </w:tcPr>
          <w:p w14:paraId="30AF1B7B"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PO,I,IR, P,Z</w:t>
            </w:r>
          </w:p>
        </w:tc>
        <w:tc>
          <w:tcPr>
            <w:tcW w:w="992" w:type="dxa"/>
            <w:tcBorders>
              <w:top w:val="single" w:sz="8" w:space="0" w:color="000000"/>
              <w:left w:val="single" w:sz="8" w:space="0" w:color="000000"/>
              <w:bottom w:val="single" w:sz="8" w:space="0" w:color="000000"/>
              <w:right w:val="single" w:sz="8" w:space="0" w:color="000000"/>
            </w:tcBorders>
            <w:vAlign w:val="bottom"/>
          </w:tcPr>
          <w:p w14:paraId="48BE010B"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I,M,D</w:t>
            </w:r>
          </w:p>
        </w:tc>
        <w:tc>
          <w:tcPr>
            <w:tcW w:w="992" w:type="dxa"/>
            <w:tcBorders>
              <w:top w:val="single" w:sz="8" w:space="0" w:color="000000"/>
              <w:left w:val="single" w:sz="8" w:space="0" w:color="000000"/>
              <w:bottom w:val="single" w:sz="8" w:space="0" w:color="000000"/>
              <w:right w:val="single" w:sz="8" w:space="0" w:color="000000"/>
            </w:tcBorders>
            <w:vAlign w:val="bottom"/>
          </w:tcPr>
          <w:p w14:paraId="3C3AE826"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PM</w:t>
            </w:r>
          </w:p>
        </w:tc>
        <w:tc>
          <w:tcPr>
            <w:tcW w:w="1134" w:type="dxa"/>
            <w:tcBorders>
              <w:top w:val="single" w:sz="8" w:space="0" w:color="000000"/>
              <w:left w:val="single" w:sz="8" w:space="0" w:color="000000"/>
              <w:bottom w:val="single" w:sz="8" w:space="0" w:color="000000"/>
              <w:right w:val="single" w:sz="8" w:space="0" w:color="000000"/>
            </w:tcBorders>
            <w:vAlign w:val="bottom"/>
          </w:tcPr>
          <w:p w14:paraId="3AE8DBE3"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 xml:space="preserve"> Nu</w:t>
            </w:r>
          </w:p>
        </w:tc>
      </w:tr>
      <w:tr w:rsidR="008635C2" w14:paraId="536E70C4" w14:textId="77777777" w:rsidTr="00C90B98">
        <w:trPr>
          <w:trHeight w:val="581"/>
        </w:trPr>
        <w:tc>
          <w:tcPr>
            <w:tcW w:w="1833" w:type="dxa"/>
            <w:tcBorders>
              <w:top w:val="single" w:sz="8" w:space="0" w:color="000000"/>
              <w:left w:val="single" w:sz="8" w:space="0" w:color="000000"/>
              <w:bottom w:val="single" w:sz="8" w:space="0" w:color="000000"/>
              <w:right w:val="single" w:sz="8" w:space="0" w:color="000000"/>
            </w:tcBorders>
            <w:vAlign w:val="bottom"/>
          </w:tcPr>
          <w:p w14:paraId="7E400A65" w14:textId="77777777" w:rsidR="008635C2" w:rsidRDefault="008635C2" w:rsidP="00C90B98">
            <w:pPr>
              <w:spacing w:after="0"/>
              <w:rPr>
                <w:rFonts w:eastAsia="Times New Roman" w:cs="Times New Roman"/>
                <w:sz w:val="18"/>
                <w:szCs w:val="18"/>
              </w:rPr>
            </w:pPr>
            <w:r>
              <w:rPr>
                <w:rFonts w:eastAsia="Times New Roman" w:cs="Times New Roman"/>
                <w:color w:val="000000"/>
                <w:sz w:val="18"/>
                <w:szCs w:val="18"/>
              </w:rPr>
              <w:t>RODL10/Dobrogea de Sud</w:t>
            </w:r>
          </w:p>
        </w:tc>
        <w:tc>
          <w:tcPr>
            <w:tcW w:w="992" w:type="dxa"/>
            <w:tcBorders>
              <w:top w:val="single" w:sz="8" w:space="0" w:color="000000"/>
              <w:left w:val="single" w:sz="8" w:space="0" w:color="000000"/>
              <w:bottom w:val="single" w:sz="8" w:space="0" w:color="000000"/>
              <w:right w:val="single" w:sz="8" w:space="0" w:color="000000"/>
            </w:tcBorders>
            <w:vAlign w:val="bottom"/>
          </w:tcPr>
          <w:p w14:paraId="79DBBC20"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4.442</w:t>
            </w:r>
          </w:p>
        </w:tc>
        <w:tc>
          <w:tcPr>
            <w:tcW w:w="618" w:type="dxa"/>
            <w:tcBorders>
              <w:top w:val="single" w:sz="8" w:space="0" w:color="000000"/>
              <w:left w:val="single" w:sz="8" w:space="0" w:color="000000"/>
              <w:bottom w:val="single" w:sz="8" w:space="0" w:color="000000"/>
              <w:right w:val="single" w:sz="8" w:space="0" w:color="000000"/>
            </w:tcBorders>
            <w:vAlign w:val="bottom"/>
          </w:tcPr>
          <w:p w14:paraId="7DCD0624" w14:textId="77777777" w:rsidR="008635C2" w:rsidRDefault="008635C2" w:rsidP="00C90B98">
            <w:pPr>
              <w:spacing w:after="0"/>
              <w:rPr>
                <w:rFonts w:eastAsia="Times New Roman" w:cs="Times New Roman"/>
                <w:sz w:val="18"/>
                <w:szCs w:val="18"/>
              </w:rPr>
            </w:pPr>
            <w:r>
              <w:rPr>
                <w:rFonts w:eastAsia="Times New Roman" w:cs="Times New Roman"/>
                <w:color w:val="000000"/>
                <w:sz w:val="18"/>
                <w:szCs w:val="18"/>
              </w:rPr>
              <w:t xml:space="preserve"> P</w:t>
            </w:r>
          </w:p>
        </w:tc>
        <w:tc>
          <w:tcPr>
            <w:tcW w:w="942" w:type="dxa"/>
            <w:tcBorders>
              <w:top w:val="single" w:sz="8" w:space="0" w:color="000000"/>
              <w:left w:val="single" w:sz="8" w:space="0" w:color="000000"/>
              <w:bottom w:val="single" w:sz="8" w:space="0" w:color="000000"/>
              <w:right w:val="single" w:sz="8" w:space="0" w:color="000000"/>
            </w:tcBorders>
            <w:vAlign w:val="bottom"/>
          </w:tcPr>
          <w:p w14:paraId="3D719049"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Nu</w:t>
            </w:r>
          </w:p>
        </w:tc>
        <w:tc>
          <w:tcPr>
            <w:tcW w:w="992" w:type="dxa"/>
            <w:tcBorders>
              <w:top w:val="single" w:sz="8" w:space="0" w:color="000000"/>
              <w:left w:val="single" w:sz="8" w:space="0" w:color="000000"/>
              <w:bottom w:val="single" w:sz="8" w:space="0" w:color="000000"/>
              <w:right w:val="single" w:sz="8" w:space="0" w:color="000000"/>
            </w:tcBorders>
            <w:vAlign w:val="bottom"/>
          </w:tcPr>
          <w:p w14:paraId="48B90813"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 xml:space="preserve"> 0-0,5</w:t>
            </w:r>
          </w:p>
        </w:tc>
        <w:tc>
          <w:tcPr>
            <w:tcW w:w="709" w:type="dxa"/>
            <w:tcBorders>
              <w:top w:val="single" w:sz="8" w:space="0" w:color="000000"/>
              <w:left w:val="single" w:sz="8" w:space="0" w:color="000000"/>
              <w:bottom w:val="single" w:sz="8" w:space="0" w:color="000000"/>
              <w:right w:val="single" w:sz="8" w:space="0" w:color="000000"/>
            </w:tcBorders>
            <w:vAlign w:val="bottom"/>
          </w:tcPr>
          <w:p w14:paraId="7D77ACA5"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PO,I,IR,Z, AL</w:t>
            </w:r>
          </w:p>
        </w:tc>
        <w:tc>
          <w:tcPr>
            <w:tcW w:w="992" w:type="dxa"/>
            <w:tcBorders>
              <w:top w:val="single" w:sz="8" w:space="0" w:color="000000"/>
              <w:left w:val="single" w:sz="8" w:space="0" w:color="000000"/>
              <w:bottom w:val="single" w:sz="8" w:space="0" w:color="000000"/>
              <w:right w:val="single" w:sz="8" w:space="0" w:color="000000"/>
            </w:tcBorders>
            <w:vAlign w:val="bottom"/>
          </w:tcPr>
          <w:p w14:paraId="73273DC9"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I,M,Z,D</w:t>
            </w:r>
          </w:p>
        </w:tc>
        <w:tc>
          <w:tcPr>
            <w:tcW w:w="992" w:type="dxa"/>
            <w:tcBorders>
              <w:top w:val="single" w:sz="8" w:space="0" w:color="000000"/>
              <w:left w:val="single" w:sz="8" w:space="0" w:color="000000"/>
              <w:bottom w:val="single" w:sz="8" w:space="0" w:color="000000"/>
              <w:right w:val="single" w:sz="8" w:space="0" w:color="000000"/>
            </w:tcBorders>
            <w:vAlign w:val="bottom"/>
          </w:tcPr>
          <w:p w14:paraId="437A2DFF"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PM</w:t>
            </w:r>
          </w:p>
        </w:tc>
        <w:tc>
          <w:tcPr>
            <w:tcW w:w="1134" w:type="dxa"/>
            <w:tcBorders>
              <w:top w:val="single" w:sz="8" w:space="0" w:color="000000"/>
              <w:left w:val="single" w:sz="8" w:space="0" w:color="000000"/>
              <w:bottom w:val="single" w:sz="8" w:space="0" w:color="000000"/>
              <w:right w:val="single" w:sz="8" w:space="0" w:color="000000"/>
            </w:tcBorders>
            <w:vAlign w:val="bottom"/>
          </w:tcPr>
          <w:p w14:paraId="414371B8" w14:textId="77777777" w:rsidR="008635C2" w:rsidRDefault="008635C2" w:rsidP="008635C2">
            <w:pPr>
              <w:spacing w:after="0"/>
              <w:ind w:firstLine="0"/>
              <w:rPr>
                <w:rFonts w:eastAsia="Times New Roman" w:cs="Times New Roman"/>
                <w:sz w:val="18"/>
                <w:szCs w:val="18"/>
              </w:rPr>
            </w:pPr>
            <w:r>
              <w:rPr>
                <w:rFonts w:eastAsia="Times New Roman" w:cs="Times New Roman"/>
                <w:color w:val="000000"/>
                <w:sz w:val="18"/>
                <w:szCs w:val="18"/>
              </w:rPr>
              <w:t xml:space="preserve"> Nu</w:t>
            </w:r>
          </w:p>
        </w:tc>
      </w:tr>
    </w:tbl>
    <w:p w14:paraId="4EE8EFA3" w14:textId="77777777" w:rsidR="008635C2" w:rsidRDefault="008635C2" w:rsidP="008635C2">
      <w:pPr>
        <w:spacing w:before="0" w:after="0"/>
        <w:rPr>
          <w:rFonts w:eastAsia="Times New Roman" w:cs="Times New Roman"/>
          <w:color w:val="000000"/>
          <w:sz w:val="20"/>
          <w:szCs w:val="20"/>
        </w:rPr>
      </w:pPr>
      <w:r>
        <w:rPr>
          <w:rFonts w:eastAsia="Times New Roman" w:cs="Times New Roman"/>
          <w:color w:val="000000"/>
          <w:sz w:val="20"/>
          <w:szCs w:val="20"/>
        </w:rPr>
        <w:t>Tip predominant: P-poros; K-karstic; F-fisural</w:t>
      </w:r>
    </w:p>
    <w:p w14:paraId="593E1149" w14:textId="77777777" w:rsidR="008635C2" w:rsidRDefault="008635C2" w:rsidP="008635C2">
      <w:pPr>
        <w:spacing w:before="0" w:after="0"/>
        <w:rPr>
          <w:rFonts w:eastAsia="Times New Roman" w:cs="Times New Roman"/>
          <w:color w:val="000000"/>
          <w:sz w:val="20"/>
          <w:szCs w:val="20"/>
        </w:rPr>
      </w:pPr>
      <w:r>
        <w:rPr>
          <w:rFonts w:eastAsia="Times New Roman" w:cs="Times New Roman"/>
          <w:color w:val="000000"/>
          <w:sz w:val="20"/>
          <w:szCs w:val="20"/>
        </w:rPr>
        <w:t>Sub presiune: Da/Nu/Mixt</w:t>
      </w:r>
    </w:p>
    <w:p w14:paraId="3D2A0BE4" w14:textId="77777777" w:rsidR="008635C2" w:rsidRDefault="008635C2" w:rsidP="008635C2">
      <w:pPr>
        <w:spacing w:before="0" w:after="0"/>
        <w:rPr>
          <w:rFonts w:eastAsia="Times New Roman" w:cs="Times New Roman"/>
          <w:color w:val="000000"/>
          <w:sz w:val="20"/>
          <w:szCs w:val="20"/>
        </w:rPr>
      </w:pPr>
      <w:r>
        <w:rPr>
          <w:rFonts w:eastAsia="Times New Roman" w:cs="Times New Roman"/>
          <w:color w:val="000000"/>
          <w:sz w:val="20"/>
          <w:szCs w:val="20"/>
        </w:rPr>
        <w:t>Utilizarea apei: PO - alimentări cu apă populaţie; IR - irigaţii; I - industrie; P - piscicultură; Z – zootehnie; A-agricultură; AL- alte utilizări</w:t>
      </w:r>
    </w:p>
    <w:p w14:paraId="1116F2A9" w14:textId="77777777" w:rsidR="008635C2" w:rsidRDefault="008635C2" w:rsidP="008635C2">
      <w:pPr>
        <w:spacing w:before="0" w:after="0"/>
        <w:rPr>
          <w:rFonts w:eastAsia="Times New Roman" w:cs="Times New Roman"/>
          <w:color w:val="000000"/>
          <w:sz w:val="20"/>
          <w:szCs w:val="20"/>
        </w:rPr>
      </w:pPr>
      <w:r>
        <w:rPr>
          <w:rFonts w:eastAsia="Times New Roman" w:cs="Times New Roman"/>
          <w:color w:val="000000"/>
          <w:sz w:val="20"/>
          <w:szCs w:val="20"/>
        </w:rPr>
        <w:t>Surse de poluare: I - industriale; A - agricole; M - aglomerări umane; Z - zootehnice, D – deșeuri</w:t>
      </w:r>
    </w:p>
    <w:p w14:paraId="38680627" w14:textId="77777777" w:rsidR="008635C2" w:rsidRDefault="008635C2" w:rsidP="008635C2">
      <w:pPr>
        <w:spacing w:before="0" w:after="0"/>
        <w:rPr>
          <w:rFonts w:eastAsia="Times New Roman" w:cs="Times New Roman"/>
          <w:color w:val="000000"/>
          <w:sz w:val="20"/>
          <w:szCs w:val="20"/>
        </w:rPr>
      </w:pPr>
      <w:r>
        <w:rPr>
          <w:rFonts w:eastAsia="Times New Roman" w:cs="Times New Roman"/>
          <w:color w:val="000000"/>
          <w:sz w:val="20"/>
          <w:szCs w:val="20"/>
        </w:rPr>
        <w:t>Gradul de protecţie globală: PVG - foarte bună; PG - bună; PM - medie; PU - nesatisfăcătoare; PVU - puternic nesatisfăcătoare</w:t>
      </w:r>
    </w:p>
    <w:p w14:paraId="09C0C7F5" w14:textId="77777777" w:rsidR="008635C2" w:rsidRDefault="008635C2" w:rsidP="008635C2">
      <w:pPr>
        <w:spacing w:before="0" w:after="0"/>
        <w:rPr>
          <w:rFonts w:eastAsia="Times New Roman" w:cs="Times New Roman"/>
          <w:color w:val="000000"/>
          <w:sz w:val="20"/>
          <w:szCs w:val="20"/>
        </w:rPr>
      </w:pPr>
      <w:r>
        <w:rPr>
          <w:rFonts w:eastAsia="Times New Roman" w:cs="Times New Roman"/>
          <w:color w:val="000000"/>
          <w:sz w:val="20"/>
          <w:szCs w:val="20"/>
        </w:rPr>
        <w:t>Transfrontalier: Da/Nu</w:t>
      </w:r>
    </w:p>
    <w:p w14:paraId="43C3C7E9" w14:textId="77777777" w:rsidR="008635C2" w:rsidRDefault="008635C2" w:rsidP="008635C2">
      <w:pPr>
        <w:spacing w:after="0"/>
        <w:rPr>
          <w:rFonts w:eastAsia="Times New Roman" w:cs="Times New Roman"/>
          <w:color w:val="000000"/>
          <w:sz w:val="20"/>
          <w:szCs w:val="20"/>
        </w:rPr>
      </w:pPr>
    </w:p>
    <w:p w14:paraId="48D9218B" w14:textId="77777777" w:rsidR="008635C2" w:rsidRDefault="008635C2" w:rsidP="008635C2">
      <w:pPr>
        <w:spacing w:before="0"/>
        <w:ind w:firstLine="567"/>
        <w:rPr>
          <w:rFonts w:eastAsia="Times New Roman" w:cs="Times New Roman"/>
        </w:rPr>
      </w:pPr>
      <w:r>
        <w:rPr>
          <w:rFonts w:eastAsia="Times New Roman" w:cs="Times New Roman"/>
        </w:rPr>
        <w:t>Din punct de vedere calitativ, măsurătorile periodice realizate de către ABADL arată frecvente depășiri ale valorilor standard pentru azotați pentru corpurile de apă subterană RODL04 (Cobadin-Mangalia), RODL05 (Dobrogea Centrală) și RODL10 (Dobrogea Sud), ceea ce face ca aceste corpuri de apă să fie la risc de neatingere a stării chimice bune. Restul corpurilor de apă subterane din zona costieră se consideră a fi în stare chimică bună, cu menţiunea că în cazul tuturor corpurilor de apă subterană au fost înregistrate local depăşiri faţă de standardul de calitate sau de valorile de prag la diferiţi indicatori (ex. cloruri, azotaţi, azotiți şi fosfați) (ABADL, PMSHDL, 2021). Din punct de vedere cantitativ, niciun corp de apă subterană nu a fost identificat la risc de neatingere a stării bune.</w:t>
      </w:r>
    </w:p>
    <w:p w14:paraId="4CE89A8D" w14:textId="77777777" w:rsidR="008635C2" w:rsidRDefault="008635C2" w:rsidP="008635C2">
      <w:pPr>
        <w:spacing w:before="0"/>
        <w:rPr>
          <w:rFonts w:eastAsia="Times New Roman" w:cs="Times New Roman"/>
          <w:i/>
        </w:rPr>
      </w:pPr>
      <w:r>
        <w:rPr>
          <w:rFonts w:eastAsia="Times New Roman" w:cs="Times New Roman"/>
          <w:i/>
        </w:rPr>
        <w:t>Ape de suprafață - ape dulci (Dunăre și lacuri)</w:t>
      </w:r>
    </w:p>
    <w:p w14:paraId="127DF0E3" w14:textId="0D36B549" w:rsidR="008635C2" w:rsidRDefault="008635C2" w:rsidP="008635C2">
      <w:pPr>
        <w:spacing w:before="0"/>
        <w:ind w:firstLine="567"/>
        <w:rPr>
          <w:rFonts w:eastAsia="Times New Roman" w:cs="Times New Roman"/>
        </w:rPr>
      </w:pPr>
      <w:r>
        <w:rPr>
          <w:rFonts w:eastAsia="Times New Roman" w:cs="Times New Roman"/>
          <w:color w:val="000000"/>
        </w:rPr>
        <w:t xml:space="preserve">Măsurătorile realizate de ANAR pe cele trei brațe ale Dunării, respectiv la Vâlcov (brațul Chilia), Sulina și Sfântu Gheorghe, arată o tendință generală de scădere a concentrațiilor azotului total observată după anul 2010. În 2021, concentrații medii anuale ale azotului total ușor mai ridicate s-au determinat pe brațul Chilia (Fig. 2.4.2.2.1). În ceea ce privește fosforul total, concentrațiile medii anuale în ale acestuia determinate în 2021, pe brațele Dunării nu au </w:t>
      </w:r>
      <w:r>
        <w:rPr>
          <w:rFonts w:eastAsia="Times New Roman" w:cs="Times New Roman"/>
          <w:color w:val="000000"/>
        </w:rPr>
        <w:lastRenderedPageBreak/>
        <w:t>diferit semnificativ față de cele determinate în 2020. Totuși, se observă o tendință de scădere a concentrațiilor fosforului total, începând cu 2013-2014, pe toate cele trei brațe (Fig. 2.4.2.2.1).</w:t>
      </w:r>
    </w:p>
    <w:p w14:paraId="048EE9E5" w14:textId="77777777" w:rsidR="008635C2" w:rsidRDefault="008635C2" w:rsidP="008635C2">
      <w:pPr>
        <w:spacing w:before="0"/>
        <w:rPr>
          <w:rFonts w:eastAsia="Times New Roman" w:cs="Times New Roman"/>
          <w:color w:val="000000"/>
        </w:rPr>
      </w:pPr>
    </w:p>
    <w:p w14:paraId="79AF96DB" w14:textId="77777777" w:rsidR="008635C2" w:rsidRDefault="008635C2" w:rsidP="008635C2">
      <w:pPr>
        <w:rPr>
          <w:rFonts w:eastAsia="Times New Roman" w:cs="Times New Roman"/>
          <w:b/>
          <w:color w:val="000000"/>
        </w:rPr>
      </w:pPr>
      <w:r>
        <w:rPr>
          <w:rFonts w:eastAsia="Times New Roman" w:cs="Times New Roman"/>
          <w:b/>
          <w:noProof/>
          <w:color w:val="000000"/>
        </w:rPr>
        <w:drawing>
          <wp:inline distT="0" distB="0" distL="0" distR="0" wp14:anchorId="3FF69474" wp14:editId="71A9FCD4">
            <wp:extent cx="5913120" cy="2054225"/>
            <wp:effectExtent l="0" t="0" r="0" b="0"/>
            <wp:docPr id="214140196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8"/>
                    <a:srcRect/>
                    <a:stretch>
                      <a:fillRect/>
                    </a:stretch>
                  </pic:blipFill>
                  <pic:spPr>
                    <a:xfrm>
                      <a:off x="0" y="0"/>
                      <a:ext cx="5913120" cy="2054225"/>
                    </a:xfrm>
                    <a:prstGeom prst="rect">
                      <a:avLst/>
                    </a:prstGeom>
                    <a:ln/>
                  </pic:spPr>
                </pic:pic>
              </a:graphicData>
            </a:graphic>
          </wp:inline>
        </w:drawing>
      </w:r>
    </w:p>
    <w:p w14:paraId="603B5741" w14:textId="06D56260" w:rsidR="008635C2" w:rsidRDefault="008635C2" w:rsidP="008635C2">
      <w:pPr>
        <w:ind w:firstLine="540"/>
        <w:jc w:val="center"/>
        <w:rPr>
          <w:rFonts w:eastAsia="Times New Roman" w:cs="Times New Roman"/>
        </w:rPr>
      </w:pPr>
      <w:r>
        <w:rPr>
          <w:rFonts w:eastAsia="Times New Roman" w:cs="Times New Roman"/>
          <w:b/>
          <w:color w:val="000000"/>
        </w:rPr>
        <w:t>Fig. 2.4.2.2.1 Variația mediilor anuale ale concentrațiior azotului (a) și fosforului total (b) pe brațele Dunării</w:t>
      </w:r>
    </w:p>
    <w:p w14:paraId="5F8F30A7" w14:textId="77777777" w:rsidR="008635C2" w:rsidRDefault="008635C2" w:rsidP="008635C2">
      <w:pPr>
        <w:spacing w:before="0"/>
        <w:rPr>
          <w:rFonts w:eastAsia="Times New Roman" w:cs="Times New Roman"/>
        </w:rPr>
      </w:pPr>
    </w:p>
    <w:p w14:paraId="134A60EB" w14:textId="2F90E9F8" w:rsidR="008635C2" w:rsidRDefault="008635C2" w:rsidP="008635C2">
      <w:pPr>
        <w:spacing w:before="0"/>
        <w:ind w:firstLine="567"/>
        <w:rPr>
          <w:rFonts w:eastAsia="Times New Roman" w:cs="Times New Roman"/>
          <w:color w:val="000000"/>
        </w:rPr>
      </w:pPr>
      <w:r>
        <w:rPr>
          <w:rFonts w:eastAsia="Times New Roman" w:cs="Times New Roman"/>
          <w:color w:val="000000"/>
        </w:rPr>
        <w:t>Referitor la poluanții organici, măsurătorile realizate de ANAR arată o creștere, în anul 2021, a concentrațiilor de hidrocarburi (dizolvate sau în emulsie), în special pe brațul Sulina (Fig. 2.4.2.2.2), comparativ cu anii 2019 și 2020, ca urmare a intensificării transportului fluvial pe acest braț, în condițiile conflictului generat de invazia Rusiei asupra Ucrainei. Totuși, aceste valori ale concentrațiilor hidrocarburilor determinate în 2021 arată medii anuale sub valorile măsurate în perioada 2015-2017 (Fig. 2.4.2.2.2) sugerând o tendința generală de reducere a gradului de poluare cu hidrocarburi totale.</w:t>
      </w:r>
    </w:p>
    <w:p w14:paraId="2774E094" w14:textId="77777777" w:rsidR="008635C2" w:rsidRDefault="008635C2" w:rsidP="008635C2">
      <w:pPr>
        <w:ind w:firstLine="567"/>
        <w:rPr>
          <w:rFonts w:eastAsia="Times New Roman" w:cs="Times New Roman"/>
          <w:color w:val="000000"/>
        </w:rPr>
      </w:pPr>
    </w:p>
    <w:p w14:paraId="49D85300" w14:textId="77777777" w:rsidR="008635C2" w:rsidRDefault="008635C2" w:rsidP="008635C2">
      <w:pPr>
        <w:jc w:val="center"/>
        <w:rPr>
          <w:rFonts w:eastAsia="Times New Roman" w:cs="Times New Roman"/>
        </w:rPr>
      </w:pPr>
      <w:r>
        <w:rPr>
          <w:rFonts w:eastAsia="Times New Roman" w:cs="Times New Roman"/>
          <w:noProof/>
        </w:rPr>
        <w:drawing>
          <wp:inline distT="0" distB="0" distL="0" distR="0" wp14:anchorId="2155574A" wp14:editId="6202788A">
            <wp:extent cx="4023995" cy="2207260"/>
            <wp:effectExtent l="0" t="0" r="0" b="0"/>
            <wp:docPr id="214140196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9"/>
                    <a:srcRect/>
                    <a:stretch>
                      <a:fillRect/>
                    </a:stretch>
                  </pic:blipFill>
                  <pic:spPr>
                    <a:xfrm>
                      <a:off x="0" y="0"/>
                      <a:ext cx="4023995" cy="2207260"/>
                    </a:xfrm>
                    <a:prstGeom prst="rect">
                      <a:avLst/>
                    </a:prstGeom>
                    <a:ln/>
                  </pic:spPr>
                </pic:pic>
              </a:graphicData>
            </a:graphic>
          </wp:inline>
        </w:drawing>
      </w:r>
    </w:p>
    <w:p w14:paraId="0AF4FA8C" w14:textId="0091A1EB" w:rsidR="008635C2" w:rsidRDefault="008635C2" w:rsidP="008635C2">
      <w:pPr>
        <w:ind w:firstLine="540"/>
        <w:jc w:val="center"/>
        <w:rPr>
          <w:rFonts w:eastAsia="Times New Roman" w:cs="Times New Roman"/>
          <w:b/>
          <w:color w:val="000000"/>
        </w:rPr>
      </w:pPr>
      <w:bookmarkStart w:id="65" w:name="_heading=h.2xcytpi" w:colFirst="0" w:colLast="0"/>
      <w:bookmarkEnd w:id="65"/>
      <w:r>
        <w:rPr>
          <w:rFonts w:eastAsia="Times New Roman" w:cs="Times New Roman"/>
          <w:b/>
          <w:color w:val="000000"/>
        </w:rPr>
        <w:t> Fig. 2.4.2.2.2 Variația mediilor anuale a concentrației hidrocarburilor totale pe brațele Dunării în perioada 2011- 2021 </w:t>
      </w:r>
    </w:p>
    <w:p w14:paraId="733C94A3" w14:textId="77777777" w:rsidR="008635C2" w:rsidRDefault="008635C2" w:rsidP="008635C2">
      <w:pPr>
        <w:spacing w:before="0"/>
        <w:rPr>
          <w:rFonts w:eastAsia="Times New Roman" w:cs="Times New Roman"/>
        </w:rPr>
      </w:pPr>
    </w:p>
    <w:p w14:paraId="761F31DD" w14:textId="656C9EE4" w:rsidR="008635C2" w:rsidRDefault="008635C2" w:rsidP="008635C2">
      <w:pPr>
        <w:spacing w:before="0"/>
        <w:ind w:firstLine="567"/>
        <w:rPr>
          <w:rFonts w:eastAsia="Times New Roman" w:cs="Times New Roman"/>
          <w:b/>
          <w:color w:val="000000"/>
          <w:sz w:val="20"/>
          <w:szCs w:val="20"/>
        </w:rPr>
      </w:pPr>
      <w:r>
        <w:rPr>
          <w:rFonts w:eastAsia="Times New Roman" w:cs="Times New Roman"/>
          <w:color w:val="000000"/>
        </w:rPr>
        <w:lastRenderedPageBreak/>
        <w:t>Dintre metalele grele, Zn și Cu au prezentat, în 2021, concentrații semnificativ mai scăzute comparativ cu 2019 și 2020, când au fost atinse mediile anuale cele mai ridicate din ultimul deceniu (Fig. 2.4.2.2.3). Cromul a prezentat o medie anuală în 2021 apropiată cu cea din 2020 (mai puțin pe brațul Sulina), dar a urmat tendința de reducere observată din 2018. În schimb, arsenicul a prezentat în 2021 concentrații medii anuale mai ridicate comparativ cu ultimii ani, pe toate cele trei brațe (Fig. 2.4.2.2.3).</w:t>
      </w:r>
    </w:p>
    <w:p w14:paraId="21722519" w14:textId="77777777" w:rsidR="009766FF" w:rsidRDefault="009766FF" w:rsidP="009766FF">
      <w:pPr>
        <w:spacing w:before="0"/>
        <w:ind w:firstLine="567"/>
        <w:rPr>
          <w:rFonts w:eastAsia="Times New Roman" w:cs="Times New Roman"/>
        </w:rPr>
      </w:pPr>
      <w:r>
        <w:rPr>
          <w:rFonts w:eastAsia="Times New Roman" w:cs="Times New Roman"/>
        </w:rPr>
        <w:t xml:space="preserve">Conform Anexei 6.1 a Planului de Management actualizat al fluviului Dunărea, Deltei Dunării, spațiului hidrografic Dobrogea și apelor costiere (2022-2027), starea ecologică a lacurilor naturale din zona costieră este Bună, cu excepția lacului Nuntași, care prezintă o stare ecologică Moderată. De asemenea, o stare ecologică Moderată prezintă și lacurile Tăbăcăriei (lac natural puternic modificat) și Mangalia (corp de apă costiere puternic modificat). Laguna Sinoe, corp de apă tranzitorii, prezintă o stare ecologică Proastă. Referitor la râurile din zona costieră, acestea prezintă o stare ecologică Moderată, iar în ceea ce privește Canalul Dunăre-Marea Neagră și Canalul Poarta Albă-Midia Năvodari, corpuri de apă artificiale, aceste prezintă o stare ecologică Bună. </w:t>
      </w:r>
    </w:p>
    <w:p w14:paraId="25C8E6D8" w14:textId="77777777" w:rsidR="008635C2" w:rsidRDefault="008635C2" w:rsidP="008635C2">
      <w:pPr>
        <w:rPr>
          <w:rFonts w:eastAsia="Times New Roman" w:cs="Times New Roman"/>
          <w:b/>
          <w:color w:val="000000"/>
          <w:sz w:val="20"/>
          <w:szCs w:val="20"/>
        </w:rPr>
      </w:pPr>
    </w:p>
    <w:p w14:paraId="274CB42D" w14:textId="77777777" w:rsidR="008635C2" w:rsidRDefault="008635C2" w:rsidP="008635C2">
      <w:pPr>
        <w:rPr>
          <w:rFonts w:eastAsia="Times New Roman" w:cs="Times New Roman"/>
          <w:b/>
          <w:color w:val="000000"/>
          <w:sz w:val="20"/>
          <w:szCs w:val="20"/>
        </w:rPr>
      </w:pPr>
      <w:bookmarkStart w:id="66" w:name="_heading=h.1ci93xb" w:colFirst="0" w:colLast="0"/>
      <w:bookmarkEnd w:id="66"/>
      <w:r>
        <w:rPr>
          <w:rFonts w:eastAsia="Times New Roman" w:cs="Times New Roman"/>
          <w:b/>
          <w:noProof/>
          <w:color w:val="000000"/>
          <w:sz w:val="20"/>
          <w:szCs w:val="20"/>
        </w:rPr>
        <w:drawing>
          <wp:inline distT="0" distB="0" distL="0" distR="0" wp14:anchorId="13D72AFD" wp14:editId="4098F21E">
            <wp:extent cx="5715000" cy="3520440"/>
            <wp:effectExtent l="0" t="0" r="0" b="0"/>
            <wp:docPr id="214140196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0"/>
                    <a:srcRect/>
                    <a:stretch>
                      <a:fillRect/>
                    </a:stretch>
                  </pic:blipFill>
                  <pic:spPr>
                    <a:xfrm>
                      <a:off x="0" y="0"/>
                      <a:ext cx="5715000" cy="3520440"/>
                    </a:xfrm>
                    <a:prstGeom prst="rect">
                      <a:avLst/>
                    </a:prstGeom>
                    <a:ln/>
                  </pic:spPr>
                </pic:pic>
              </a:graphicData>
            </a:graphic>
          </wp:inline>
        </w:drawing>
      </w:r>
    </w:p>
    <w:p w14:paraId="44A8F5AB" w14:textId="77777777" w:rsidR="008635C2" w:rsidRDefault="008635C2" w:rsidP="008635C2">
      <w:pPr>
        <w:jc w:val="center"/>
        <w:rPr>
          <w:rFonts w:eastAsia="Times New Roman" w:cs="Times New Roman"/>
          <w:b/>
          <w:color w:val="000000"/>
          <w:sz w:val="20"/>
          <w:szCs w:val="20"/>
        </w:rPr>
      </w:pPr>
    </w:p>
    <w:p w14:paraId="20E57A5D" w14:textId="13187BD4" w:rsidR="008635C2" w:rsidRDefault="008635C2" w:rsidP="008635C2">
      <w:pPr>
        <w:jc w:val="center"/>
        <w:rPr>
          <w:rFonts w:eastAsia="Times New Roman" w:cs="Times New Roman"/>
        </w:rPr>
      </w:pPr>
      <w:r>
        <w:rPr>
          <w:rFonts w:eastAsia="Times New Roman" w:cs="Times New Roman"/>
          <w:b/>
          <w:color w:val="000000"/>
        </w:rPr>
        <w:t>Fig. 2.4.2.2.3 Variațiile mediilor anuale ale concentrațiilor Zn, Cu, Cr și As pe brațele Dunării</w:t>
      </w:r>
    </w:p>
    <w:p w14:paraId="1E940213" w14:textId="77777777" w:rsidR="008635C2" w:rsidRDefault="008635C2" w:rsidP="008635C2">
      <w:pPr>
        <w:spacing w:after="200"/>
        <w:ind w:firstLine="567"/>
        <w:rPr>
          <w:rFonts w:eastAsia="Times New Roman" w:cs="Times New Roman"/>
        </w:rPr>
      </w:pPr>
    </w:p>
    <w:p w14:paraId="091850C9" w14:textId="77777777" w:rsidR="008635C2" w:rsidRDefault="008635C2" w:rsidP="008635C2">
      <w:pPr>
        <w:spacing w:after="200"/>
        <w:rPr>
          <w:rFonts w:eastAsia="Times New Roman" w:cs="Times New Roman"/>
          <w:i/>
        </w:rPr>
      </w:pPr>
      <w:r>
        <w:rPr>
          <w:rFonts w:eastAsia="Times New Roman" w:cs="Times New Roman"/>
          <w:i/>
        </w:rPr>
        <w:t xml:space="preserve">Sedimente dulcicole </w:t>
      </w:r>
    </w:p>
    <w:p w14:paraId="04DFF096" w14:textId="77777777" w:rsidR="008635C2" w:rsidRDefault="008635C2" w:rsidP="008635C2">
      <w:pPr>
        <w:spacing w:before="0"/>
        <w:ind w:firstLine="567"/>
        <w:rPr>
          <w:rFonts w:eastAsia="Times New Roman" w:cs="Times New Roman"/>
        </w:rPr>
      </w:pPr>
      <w:r>
        <w:rPr>
          <w:rFonts w:eastAsia="Times New Roman" w:cs="Times New Roman"/>
        </w:rPr>
        <w:t xml:space="preserve">Măsurătorile de metale grele din probele de sedimente prelevate din brațele Sulina și Sfântu Gheorghe, precum și din lacurile din Delta Dunării, realizate de către INCD </w:t>
      </w:r>
      <w:r>
        <w:rPr>
          <w:rFonts w:eastAsia="Times New Roman" w:cs="Times New Roman"/>
        </w:rPr>
        <w:lastRenderedPageBreak/>
        <w:t>GeoEcoMar, nu au relevat concentrații care să depășească într-un procent mai mare de 15% concentrațiile caracteristice fondului natural, cu excepția nichelului. Depășirile frecvente ale concentrației de Ni se datorează în cea mai mare măsură materialului sedimentar transportat de Dunăre, străbătând rocile bazice din Munții Banatului, precum și șisturile verzi din Dobrogea, caracterizate de fonduri naturale ridicate. În general, concentrațiile metalelor grele periculoase determinate în sedimentele de pe brațele Dunării au fost semnificativ mai scăzute comparativ cu cele determinate în sedimentele lacurilor, dar și în acest din urmă caz, cu foarte puține excepții (Cu, Cr), s-au situat sub limitele admise.</w:t>
      </w:r>
    </w:p>
    <w:p w14:paraId="1E1D5B7F" w14:textId="77777777" w:rsidR="008635C2" w:rsidRDefault="008635C2" w:rsidP="008635C2">
      <w:pPr>
        <w:spacing w:before="0"/>
        <w:ind w:firstLine="567"/>
        <w:rPr>
          <w:rFonts w:eastAsia="Times New Roman" w:cs="Times New Roman"/>
        </w:rPr>
      </w:pPr>
      <w:r>
        <w:rPr>
          <w:rFonts w:eastAsia="Times New Roman" w:cs="Times New Roman"/>
        </w:rPr>
        <w:t xml:space="preserve">În lacurile litorale din centrul și sudul zonei costiere, evaluarea poluării cu metale grele a lacurilor litorale s-a realizat folosind și indicele PLI (Pollution Load Index), considerat reprezentativ întrucât ia în considerare toate metalele grele toxice prezente în stratul superficial al sedimentelor (Tomlinson și colab., 1980). Datele INCD GeoEcoMar au indicat valori mai ridicate în sedimente în toate lacurile litorale analizate, cel mai mare dintre aceste lacuri, respectiv lacul Tașaul, a arătat valori ale PLI cuprinse între 1 și 2, indicând o poluare moderată a sedimentor, în 85 % dintre probele analizate. Cele mai mari valori s-au măsurat sudul și în sud-estul lacului datorită proximității orașului Năvodari, uzinei petrochimice Midia, dar și activităților agricole (Vasiliu și colab., 2020). Metalele răspunzătoare pentru poluarea sedimentelor lacului Tașaul sunt, în primul rând, As (prezent în fertilizatori și pesticide), apoi Cu, Pb, și Zn (prezente în pesticide, dar și în deversările de apă uzată netratată sau parțial tratată) (Vasiliu și colab., 2020). Valorile ridicate ale Cu și, mai ales Ni, sunt normale datorită depozitelor de șisturi verzi din bazinul hidrografic al lacului. </w:t>
      </w:r>
    </w:p>
    <w:p w14:paraId="674BE908" w14:textId="77777777" w:rsidR="008635C2" w:rsidRDefault="008635C2" w:rsidP="008635C2">
      <w:pPr>
        <w:spacing w:before="0"/>
        <w:ind w:firstLine="567"/>
        <w:rPr>
          <w:rFonts w:eastAsia="Times New Roman" w:cs="Times New Roman"/>
        </w:rPr>
      </w:pPr>
      <w:r>
        <w:rPr>
          <w:rFonts w:eastAsia="Times New Roman" w:cs="Times New Roman"/>
        </w:rPr>
        <w:t>Lacul Tăbăcăriei este caracterizat un grad de poluare foarte ridicat, concentrațiile majorității metalelor grele analizate (Cu, Zn, Pb, Hg și, parțial Ni) prezentând valori cu mult peste valorile caracteristice fondului natural. De altfel și indicele PLI a prezentat valori cuprinse între 2 și 4, sugerând o poluare ridicată. Principala sursă de poluare o constituie deversarea apelor pluviale, dar și activitățile de construcții din jurul lacului.</w:t>
      </w:r>
    </w:p>
    <w:p w14:paraId="6637C633" w14:textId="77777777" w:rsidR="008635C2" w:rsidRDefault="008635C2" w:rsidP="008635C2">
      <w:pPr>
        <w:spacing w:before="0"/>
        <w:ind w:firstLine="567"/>
        <w:rPr>
          <w:rFonts w:eastAsia="Times New Roman" w:cs="Times New Roman"/>
        </w:rPr>
      </w:pPr>
      <w:r>
        <w:rPr>
          <w:rFonts w:eastAsia="Times New Roman" w:cs="Times New Roman"/>
        </w:rPr>
        <w:t xml:space="preserve">Lacul Siutghiol prezintă un grad de poluare moderat, concentrațiile metalelor grele din sedimente depășind semnificativ concentrațiile caracteristice fondului natural doar în unele zone, în special în zona fostei Centrale Termoelectrica Ovidiu (indicând o poluare istorică), dar și în colțul sud-estic al lacului, unde se resimte direct influența negativă a unei urbanizari excesive, dar și a activităților recreaționale. </w:t>
      </w:r>
    </w:p>
    <w:p w14:paraId="04BB7AC2" w14:textId="77777777" w:rsidR="008635C2" w:rsidRDefault="008635C2" w:rsidP="008635C2">
      <w:pPr>
        <w:spacing w:before="0"/>
        <w:ind w:firstLine="567"/>
        <w:rPr>
          <w:rFonts w:eastAsia="Times New Roman" w:cs="Times New Roman"/>
        </w:rPr>
      </w:pPr>
      <w:r>
        <w:rPr>
          <w:rFonts w:eastAsia="Times New Roman" w:cs="Times New Roman"/>
        </w:rPr>
        <w:t>Sedimentele lacului Mangalia au prezentat concentrații relativ ridicate ale principalelor metale grele variind între 46,8-216 mg/kg (Cr), 11,5-50,5 mg/kg (Ni), 18,4-408 mg/kg (Cu), 41,9-607 mg/kg (Zn), 2,5 - 16,5 mg/kg (As) și 8,8-150 mg/kg (Pb). Cu excepția As, toate celelalte au prezentat depășiri ale concentrațiilor caracteristice fondului natural, cele mai frecvente observându-se în cazul Cu (80%), Zn (65%) și Ni (50%), sugerând o poluare destul de ridicată cu metale grele. Concentrațiile foarte mari ale Cu și Zn pot fi asociate, în principal, cu deversări ale apelor uzate netratate sau parțial tratate, dar și cu activități agricole.</w:t>
      </w:r>
    </w:p>
    <w:p w14:paraId="27610AFE" w14:textId="77777777" w:rsidR="008635C2" w:rsidRDefault="008635C2" w:rsidP="00D2719F">
      <w:pPr>
        <w:spacing w:before="0"/>
        <w:rPr>
          <w:rFonts w:eastAsia="Times New Roman" w:cs="Times New Roman"/>
          <w:i/>
        </w:rPr>
      </w:pPr>
      <w:r>
        <w:rPr>
          <w:rFonts w:eastAsia="Times New Roman" w:cs="Times New Roman"/>
          <w:i/>
        </w:rPr>
        <w:t>Ape de suprafață - ape costiere și marine</w:t>
      </w:r>
    </w:p>
    <w:p w14:paraId="50EF73AF" w14:textId="77777777" w:rsidR="008635C2" w:rsidRDefault="008635C2" w:rsidP="00D2719F">
      <w:pPr>
        <w:spacing w:before="0"/>
        <w:ind w:firstLine="567"/>
        <w:rPr>
          <w:rFonts w:eastAsia="Times New Roman" w:cs="Times New Roman"/>
        </w:rPr>
      </w:pPr>
      <w:r>
        <w:rPr>
          <w:rFonts w:eastAsia="Times New Roman" w:cs="Times New Roman"/>
        </w:rPr>
        <w:t xml:space="preserve">Datele și informațiile folosite pentru evaluarea stării curente a calității apelor costiere și marine au fost preluate din raportul de stare a mediului costier și marin elaborat de INCDM </w:t>
      </w:r>
      <w:r>
        <w:rPr>
          <w:rFonts w:eastAsia="Times New Roman" w:cs="Times New Roman"/>
        </w:rPr>
        <w:lastRenderedPageBreak/>
        <w:t>Grigore Antipa (INCDM, 2022), precum și rapoartele din programul NUCLEU - GEOECOMAR, elaborate de către INCD GeoEcoMar.</w:t>
      </w:r>
    </w:p>
    <w:p w14:paraId="0D35F05F" w14:textId="77777777" w:rsidR="008635C2" w:rsidRDefault="008635C2" w:rsidP="00D2719F">
      <w:pPr>
        <w:spacing w:before="0"/>
        <w:rPr>
          <w:rFonts w:eastAsia="Times New Roman" w:cs="Times New Roman"/>
          <w:u w:val="single"/>
        </w:rPr>
      </w:pPr>
      <w:r>
        <w:rPr>
          <w:rFonts w:eastAsia="Times New Roman" w:cs="Times New Roman"/>
          <w:u w:val="single"/>
        </w:rPr>
        <w:t>pH și oxigenul dizolvat</w:t>
      </w:r>
    </w:p>
    <w:p w14:paraId="69532049" w14:textId="77777777" w:rsidR="008635C2" w:rsidRDefault="008635C2" w:rsidP="00D2719F">
      <w:pPr>
        <w:spacing w:before="0"/>
        <w:ind w:firstLine="567"/>
        <w:rPr>
          <w:rFonts w:eastAsia="Times New Roman" w:cs="Times New Roman"/>
        </w:rPr>
      </w:pPr>
      <w:r>
        <w:rPr>
          <w:rFonts w:eastAsia="Times New Roman" w:cs="Times New Roman"/>
        </w:rPr>
        <w:t>pH-ul apelor costiere din zona Constanța a înregistrat în 2021 o medie anuală de 8,21, cu valori mai mari în perioadele de înflorire algală (iunie) și mai reduse în august-septembrie, când temperatura apei a fost ridicată favorizând procesele de descompunere oxidativă a materiei organice. Media anului 2021, continuă seria descrescătoare a ultimilor doi ani, dar se încadrează în domeniul de variabilitate din ultima decadă (INCDM, 2022).</w:t>
      </w:r>
    </w:p>
    <w:p w14:paraId="350A7E11" w14:textId="77777777" w:rsidR="008635C2" w:rsidRDefault="008635C2" w:rsidP="00D2719F">
      <w:pPr>
        <w:spacing w:before="0"/>
        <w:ind w:firstLine="567"/>
        <w:rPr>
          <w:rFonts w:eastAsia="Times New Roman" w:cs="Times New Roman"/>
        </w:rPr>
      </w:pPr>
      <w:r>
        <w:rPr>
          <w:rFonts w:eastAsia="Times New Roman" w:cs="Times New Roman"/>
        </w:rPr>
        <w:t xml:space="preserve">Saturația oxigenului dizolvat a oscilat între 62,7% și 163,2%, (media 96,8%) în apele de mică adâncime din zona Constanța, indicând, în general o bună oxigenare a acestora. Comparând valorile medii anuale, se observă o continuare a ușoarei tendințe descrescătoare, începută din 2007 (INCDM, 2022). În ciuda acestei tendințe descrescătoare, este de remarcat faptul că în ultimii ani nu s-au observat fenomene de hipoxie și anoxie în zona costieră. </w:t>
      </w:r>
    </w:p>
    <w:p w14:paraId="6E931B14" w14:textId="77777777" w:rsidR="008635C2" w:rsidRDefault="008635C2" w:rsidP="00D2719F">
      <w:pPr>
        <w:spacing w:before="0"/>
        <w:rPr>
          <w:rFonts w:eastAsia="Times New Roman" w:cs="Times New Roman"/>
          <w:u w:val="single"/>
        </w:rPr>
      </w:pPr>
      <w:r>
        <w:rPr>
          <w:rFonts w:eastAsia="Times New Roman" w:cs="Times New Roman"/>
          <w:u w:val="single"/>
        </w:rPr>
        <w:t xml:space="preserve">Nutrienți și clorofila </w:t>
      </w:r>
      <w:r>
        <w:rPr>
          <w:rFonts w:eastAsia="Times New Roman" w:cs="Times New Roman"/>
          <w:i/>
          <w:u w:val="single"/>
        </w:rPr>
        <w:t xml:space="preserve">a </w:t>
      </w:r>
    </w:p>
    <w:p w14:paraId="1C82C45B" w14:textId="77777777" w:rsidR="008635C2" w:rsidRDefault="008635C2" w:rsidP="00D2719F">
      <w:pPr>
        <w:spacing w:before="0"/>
        <w:ind w:firstLine="567"/>
        <w:rPr>
          <w:rFonts w:eastAsia="Times New Roman" w:cs="Times New Roman"/>
        </w:rPr>
      </w:pPr>
      <w:r>
        <w:rPr>
          <w:rFonts w:eastAsia="Times New Roman" w:cs="Times New Roman"/>
        </w:rPr>
        <w:t xml:space="preserve">În zona de mică adâncime de la Constanța nutrienții au prezentat, în 2021, concentrații normale, caracterizate printr-o variabilitate sezonieră ridicată (de obicei, maximele au fost măsurate în prima parte a anului, când debitele Dunării au fost mai ridicate), în linia celor măsurate în ultimii ani. Fosfații au prezentat o medie anuală de 0,63 µM, ușor mai ridicată comparativ cu mediile anuale din ultimii 20 de ani (cu excepția anului 2019) (INCDM, 2022). Silicații au prezentat o valoare medie anuală relativ scăzută, respectiv 7,4 µM, confirmând tendința de descreștere din ultimii ani. Compușii anorganici cu azot au prezentat concentrații medii anuale de 4,82 µM - azotații, 1,33 µM - azotații și 4,5 µM - amoniul (INCDM, 2022). Dacă pentru azotați și amoniu, aceste medii anuale confirmă tendința de ușoară scădere observată în ultimii ani, azotiții prezintă o medie anuală ridicată, confirmând tendința de creștere din ultimii 2-3 ani. Conţinutul de clorofilă a determinat în anul 2021 în apele de mică adâncime de la Constanța a variat între 0,21 și 12,35 μg/L (media 2,35 μg/L) este comparabilă cu cea din 2020 și 2019 (2,56 μg/L). </w:t>
      </w:r>
    </w:p>
    <w:p w14:paraId="5FB394B9" w14:textId="77777777" w:rsidR="008635C2" w:rsidRDefault="008635C2" w:rsidP="00D2719F">
      <w:pPr>
        <w:spacing w:before="0"/>
        <w:ind w:firstLine="567"/>
        <w:rPr>
          <w:rFonts w:eastAsia="Times New Roman" w:cs="Times New Roman"/>
          <w:u w:val="single"/>
        </w:rPr>
      </w:pPr>
      <w:r>
        <w:rPr>
          <w:rFonts w:eastAsia="Times New Roman" w:cs="Times New Roman"/>
        </w:rPr>
        <w:t>Măsurătorile efectuate de către INCD GeoEcoMar, în vara anului 2021, în apele marine, au arătat cele mai ridicate concentrații ale fosforului anorganic în fața gurilor de vărsare a brațelor Sulina (0,32 µM) și Sfântu Gheorghe (0,37 µM). De asemenea, concentrații relativ ridicate ale fosfaților în stratul de suprafață s-au măsurat și în zona de deversare a apelor tratate în stației de epurare Eforie (0,30 µM), unde și concentrațiile formelor oxidate ale azotului anorganic au prezentat valorile maxime (azotiții – 0,24 µM, azotații – 1,28 µM). Faptul că maximele azotaților, azotiților și silicaților s-au măsurat în zona stației de epurare Eforie (influența deversărilor de ape probabil, insuficient epurate, dar și a portului Constanța Sud-Agigea) și nu în fața gurilor Dunării constituie un fenomen destul de neobișnuit pentru ultimii ani, sugerând o poluare locală, probabil accidentală. În ceea ce privește concentrația azotului amoniacal, s-au observat valori relativ ridicate în mai multe zone din apropierea țărmului, respectiv în zona baia Portița (1,73 µM) și în fața porturilor Constanța (1,46 µM) și Mangalia (1,64 µM).</w:t>
      </w:r>
    </w:p>
    <w:p w14:paraId="075D69DB" w14:textId="5694901E" w:rsidR="008635C2" w:rsidRDefault="008635C2" w:rsidP="008635C2">
      <w:pPr>
        <w:ind w:firstLine="567"/>
        <w:rPr>
          <w:rFonts w:eastAsia="Times New Roman" w:cs="Times New Roman"/>
        </w:rPr>
      </w:pPr>
      <w:r>
        <w:rPr>
          <w:rFonts w:eastAsia="Times New Roman" w:cs="Times New Roman"/>
        </w:rPr>
        <w:lastRenderedPageBreak/>
        <w:t>Clorofila a, considerată un proxy al biomasei fitoplanctonice, precum și al productivității primare, a prezentat, de asemenea o variabilitate s</w:t>
      </w:r>
      <w:r w:rsidR="00D2719F">
        <w:rPr>
          <w:rFonts w:eastAsia="Times New Roman" w:cs="Times New Roman"/>
        </w:rPr>
        <w:t>pațială foarte ridicată</w:t>
      </w:r>
      <w:r>
        <w:rPr>
          <w:rFonts w:eastAsia="Times New Roman" w:cs="Times New Roman"/>
        </w:rPr>
        <w:t xml:space="preserve">. În stratul de suprafață, clorofila a prezentat concentrațiile maxime în partea nordică a zonei costiere (în fața gurii de vărsare a brațelor Sulina (10,06 µg/L) și Sf. Gheorghe (4,82 µg/L), precum și în baia Portița (7,48 µg/L), indicând o înflorire algală puternică în zona de influență directă a Dunării. </w:t>
      </w:r>
    </w:p>
    <w:p w14:paraId="25B2B893" w14:textId="77777777" w:rsidR="008635C2" w:rsidRDefault="008635C2" w:rsidP="00D2719F">
      <w:pPr>
        <w:spacing w:before="0"/>
        <w:ind w:firstLine="567"/>
        <w:rPr>
          <w:rFonts w:eastAsia="Times New Roman" w:cs="Times New Roman"/>
          <w:u w:val="single"/>
        </w:rPr>
      </w:pPr>
      <w:r>
        <w:rPr>
          <w:rFonts w:eastAsia="Times New Roman" w:cs="Times New Roman"/>
        </w:rPr>
        <w:t>Atât în cazul nutrienților (fosfați și compuși anorganici cu azot), cât și al clorofilei a medii anuale situate cu mult sub valorile prag stabilite pentru definirea stării ecologice bune (SEB) a apelor costiere și a celor cu salinitate variabilă, în conformitate cu Directiva Cadru privind Strategia pentru Mediul Marin (Boicenco și colab., 2018).</w:t>
      </w:r>
    </w:p>
    <w:p w14:paraId="545F93DA" w14:textId="77777777" w:rsidR="008635C2" w:rsidRDefault="008635C2" w:rsidP="00D2719F">
      <w:pPr>
        <w:spacing w:before="0"/>
        <w:rPr>
          <w:rFonts w:eastAsia="Times New Roman" w:cs="Times New Roman"/>
          <w:u w:val="single"/>
        </w:rPr>
      </w:pPr>
      <w:r>
        <w:rPr>
          <w:rFonts w:eastAsia="Times New Roman" w:cs="Times New Roman"/>
          <w:u w:val="single"/>
        </w:rPr>
        <w:t>Contaminanti anorganici în apă</w:t>
      </w:r>
    </w:p>
    <w:p w14:paraId="71B7F1BA" w14:textId="77777777" w:rsidR="008635C2" w:rsidRDefault="008635C2" w:rsidP="00D2719F">
      <w:pPr>
        <w:spacing w:before="0"/>
        <w:ind w:firstLine="567"/>
        <w:rPr>
          <w:rFonts w:eastAsia="Times New Roman" w:cs="Times New Roman"/>
        </w:rPr>
      </w:pPr>
      <w:r>
        <w:rPr>
          <w:rFonts w:eastAsia="Times New Roman" w:cs="Times New Roman"/>
        </w:rPr>
        <w:t>Concentrațiile metalelor grele determinate în 2021 în apele marine, în stratul de suprafață, au fost caracterizate de un grad ridicat de variabilitate, dar în ansamblu cu valori medii încadrate în domenii normale: 7,29 (1,12–41,62) µg/L Cu; 0,25 (0,01–3,32) µg/L Cd; 2,55 (0,01–23,58) µg/L Pb; 3,12 (0,03–32,48) µg/L Ni; 6,89 (1,17–26,59) µg/L Cr. Conform INCDM (2022), starea chimice a apelor costiere și marine din punct de vederea al indicatorului metale grele în apă, în vara anului 2021, a fost una bună în raport cu standardele de calitate pentru metale grele (WFD-EQS Directive 2013/39/EU) (Boicenco și colab., 2018). În cazul Ni și Cr nu s-au înregistrat depășiri ale valorilor prag, în timp ce pentru Cd și Pb procentul depășirilor valorilor prag a fost foarte scăzut (2-5 %), aceste depășiri fiind observate în zona de influență a Dunării (baia Portița).</w:t>
      </w:r>
    </w:p>
    <w:p w14:paraId="38C15D1D" w14:textId="77777777" w:rsidR="008635C2" w:rsidRDefault="008635C2" w:rsidP="00D2719F">
      <w:pPr>
        <w:spacing w:before="0"/>
        <w:rPr>
          <w:rFonts w:eastAsia="Times New Roman" w:cs="Times New Roman"/>
          <w:u w:val="single"/>
        </w:rPr>
      </w:pPr>
      <w:r>
        <w:rPr>
          <w:rFonts w:eastAsia="Times New Roman" w:cs="Times New Roman"/>
          <w:u w:val="single"/>
        </w:rPr>
        <w:t>Contaminanti organici în apă</w:t>
      </w:r>
    </w:p>
    <w:p w14:paraId="6D1DF4C7" w14:textId="77777777" w:rsidR="008635C2" w:rsidRDefault="008635C2" w:rsidP="00D2719F">
      <w:pPr>
        <w:spacing w:before="0"/>
        <w:ind w:firstLine="567"/>
        <w:rPr>
          <w:rFonts w:eastAsia="Times New Roman" w:cs="Times New Roman"/>
        </w:rPr>
      </w:pPr>
      <w:r>
        <w:rPr>
          <w:rFonts w:eastAsia="Times New Roman" w:cs="Times New Roman"/>
        </w:rPr>
        <w:t xml:space="preserve">În anul 2021, concentrațiile hidrocarburilor petroliere totale (HPT) în stratul de suprafață al apelor costiere românești s-au situat între 0,21–34,04 μg/L (INCDM, 2022). </w:t>
      </w:r>
    </w:p>
    <w:p w14:paraId="31446EEE" w14:textId="77777777" w:rsidR="008635C2" w:rsidRDefault="008635C2" w:rsidP="00D2719F">
      <w:pPr>
        <w:spacing w:before="0"/>
        <w:ind w:firstLine="567"/>
        <w:rPr>
          <w:rFonts w:eastAsia="Times New Roman" w:cs="Times New Roman"/>
        </w:rPr>
      </w:pPr>
      <w:r>
        <w:rPr>
          <w:rFonts w:eastAsia="Times New Roman" w:cs="Times New Roman"/>
        </w:rPr>
        <w:t xml:space="preserve">Referitor la hidrocarburile policiclice aromatice (HAP), concentrațiile celor 16 compuși investigaţi s-au situat între valori sub limita de cuantificare și 1,20 µg/L. Valori peste limita de cuantificare au fost măsurate ocazional pentru antracen, acenaften, benzo[a]antracen, crisen, dibenzo(a,h)antracen şi benzo(g,h,i)perilen, în timp ce naftalina, fluorenul, fenantrenul, antracenul, fluorantenul, pirenul şi indeno(1,2,3-c,d)pirenul au avut frecvent concentraţii mai mari de 0,01 µg/L (INCDM, 2022), în special în zona portului Constanța, dar și în zona de influență directă a Dunării. </w:t>
      </w:r>
    </w:p>
    <w:p w14:paraId="29606506" w14:textId="77777777" w:rsidR="008635C2" w:rsidRDefault="008635C2" w:rsidP="00D2719F">
      <w:pPr>
        <w:spacing w:before="0"/>
        <w:ind w:firstLine="567"/>
        <w:rPr>
          <w:rFonts w:eastAsia="Times New Roman" w:cs="Times New Roman"/>
        </w:rPr>
      </w:pPr>
      <w:r>
        <w:rPr>
          <w:rFonts w:eastAsia="Times New Roman" w:cs="Times New Roman"/>
        </w:rPr>
        <w:t>Depășiri frecvente ale valorilor standard de calitate propuse pentru apă, în vederea definirii stării chimice bune conform Directivei 2013/39/EU (Boicenco et al., 2018), au fost observate, în 2021, pentru o serie de pesticide organoclorurate, respectiv pentru suma de ciclodiene (în 95% dintre probe), lindan (82,5%), suma de DDT (82,5%) și p,p’ DDT (75%), indicând în cazul acestora o stare chimică proastă. Concentrațiile mari au fost măsurate pentru p,p’ DDT, în zona de vărsare a brațului Sfântul Gheorghe, dar și în fața portului Mangalia.</w:t>
      </w:r>
    </w:p>
    <w:p w14:paraId="7210525F" w14:textId="77777777" w:rsidR="008635C2" w:rsidRDefault="008635C2" w:rsidP="00D2719F">
      <w:pPr>
        <w:spacing w:before="0"/>
        <w:rPr>
          <w:rFonts w:eastAsia="Times New Roman" w:cs="Times New Roman"/>
          <w:i/>
        </w:rPr>
      </w:pPr>
      <w:r>
        <w:rPr>
          <w:rFonts w:eastAsia="Times New Roman" w:cs="Times New Roman"/>
          <w:i/>
        </w:rPr>
        <w:t>Sedimente marine</w:t>
      </w:r>
    </w:p>
    <w:p w14:paraId="7734F361" w14:textId="77777777" w:rsidR="008635C2" w:rsidRDefault="008635C2" w:rsidP="00D2719F">
      <w:pPr>
        <w:spacing w:before="0"/>
        <w:ind w:firstLine="567"/>
        <w:rPr>
          <w:rFonts w:eastAsia="Times New Roman" w:cs="Times New Roman"/>
        </w:rPr>
      </w:pPr>
      <w:r>
        <w:rPr>
          <w:rFonts w:eastAsia="Times New Roman" w:cs="Times New Roman"/>
        </w:rPr>
        <w:t xml:space="preserve">Datele furnizate de INCDM Grigore Antipa și INCD GeoEcoMar în vara anului 2021, referitoare la concentrațiile metalelor grele în sedimentele superficiale ale șelfului intern românesc arată o variabilitate foarte ridicată, valorile acestora variind între 30–140 μg/g (Cr); </w:t>
      </w:r>
      <w:r>
        <w:rPr>
          <w:rFonts w:eastAsia="Times New Roman" w:cs="Times New Roman"/>
        </w:rPr>
        <w:lastRenderedPageBreak/>
        <w:t xml:space="preserve">0,06-1,12 μg/g (Cd); 20–60 μg/g (Ni); 10–79 μg/g (Cu); 40–120 μg/g (Zn); 2–10 μg/g (As); 0,03–0,20 μg/g (Hg) și 10–96 μg/g (Pb). Cea mai mare încărcătură de metale grele prin aport antropic a fost observată în sedimentele din incinta portului Constanţa, aici măsurȃndu-se valori maxime ale cuprului (79 μg/g), cadmiului (1,12 μg/g) şi plumbului (96 μg/g) (INCDM, 2022). De asemenea, majoritatea elementelor investigate înregistrează valori mai mari de acumulare în sedimentele din faţa gurilor Dunării (Cr - 80-110 μg/g, Ni - 50-60 μg/g, Zn - 90-120 μg/g, As - 9-10μg/g și Hg - 0,11-0,14 μg/g). În zona platformelor petroliere din baia Portița, se remarcă concentrațiile mari de Cr (100 μg/g), Ni (60 μg/g), As (10 μg/g) și, în special Hg (0,20 μg/g). </w:t>
      </w:r>
    </w:p>
    <w:p w14:paraId="4569CD98" w14:textId="77777777" w:rsidR="008635C2" w:rsidRDefault="008635C2" w:rsidP="00D2719F">
      <w:pPr>
        <w:spacing w:before="0"/>
        <w:ind w:firstLine="567"/>
        <w:rPr>
          <w:rFonts w:eastAsia="Times New Roman" w:cs="Times New Roman"/>
        </w:rPr>
      </w:pPr>
      <w:r>
        <w:rPr>
          <w:rFonts w:eastAsia="Times New Roman" w:cs="Times New Roman"/>
        </w:rPr>
        <w:t xml:space="preserve">Starea sedimentelor marine în 2021, în raport cu standardele de calitate pentru sedimente marine (ERL), este considerată bună, în situația în care procentul depășirilor ERL pentru majoritatea metalelor analizate este situat sub 25% din totalul probelor analizate. </w:t>
      </w:r>
    </w:p>
    <w:p w14:paraId="070115B7" w14:textId="77777777" w:rsidR="008635C2" w:rsidRDefault="008635C2" w:rsidP="00D2719F">
      <w:pPr>
        <w:spacing w:before="0"/>
        <w:ind w:firstLine="567"/>
        <w:rPr>
          <w:rFonts w:eastAsia="Times New Roman" w:cs="Times New Roman"/>
        </w:rPr>
      </w:pPr>
      <w:r>
        <w:rPr>
          <w:rFonts w:eastAsia="Times New Roman" w:cs="Times New Roman"/>
        </w:rPr>
        <w:t>Concentrațiile de hidrocarburi totale din probele de sediment prelevate 2021 au prezentat o variabilitate spațială foarte ridicată, fiind cuprinse în intervalul 0,48-329,97 μg/g sediment uscat (INCDM, 2022). Aceste valori au fost semnificativ mai scăzute comparativ cu anul 2020 (valoarea maximă înregistrată - 512,47 μg/g sediment uscat), confirmând o ușoară tendință de scădere observată în ultimii ani. Majoritatea concentraţiile determinate (96 %), au fost sub limita maxim admisibilă (100 μg/g) impusă de „Ordinul MAPPM nr.756/1997 pentru aprobarea Reglementării privind evaluarea poluării mediului”, indicând o stare ecologică bună sedimentelor marine. Valoarea maximă (329,97 μg/g sediment uscat) s-a înregistrat în zona de deversare a apelor uzate din stația Constanța-Sud, dar concentrații peste limita admisă s-au determinat și în zona de deversare a apelor uzate de la stația Constanța Nord (284,57 μg/g sediment uscat), precum și în zona Costineşti (262,21 μg/g sediment uscat) (INCDM, 2022).</w:t>
      </w:r>
    </w:p>
    <w:p w14:paraId="4FAACA9F" w14:textId="77777777" w:rsidR="008635C2" w:rsidRDefault="008635C2" w:rsidP="00D2719F">
      <w:pPr>
        <w:spacing w:before="0"/>
        <w:ind w:firstLine="567"/>
        <w:rPr>
          <w:rFonts w:eastAsia="Times New Roman" w:cs="Times New Roman"/>
        </w:rPr>
      </w:pPr>
      <w:r>
        <w:rPr>
          <w:rFonts w:eastAsia="Times New Roman" w:cs="Times New Roman"/>
        </w:rPr>
        <w:t xml:space="preserve">În 2021, conţinutul total de hidrocarburi aromatice polinucleare (∑16 HAP) a variat în intervalul 0,002-7,87 μg/g sediment uscat, depășind valoarea prag de 1,00 µg/g (Boicenco și colab., 2018) în doar 1,3 % din probele analizate (INCDM, 2022), ceea ce indică o stare ecologică bună. Concentraţiile compuşilor individuali au fost comparate cu valorile prag ce definesc starea ecologică bună a compușilor individuali în zona românească a Mării Negre în acord cu metodologia OSPAR, respectiv valorile ERL (Boicenco et al., 2018). Valorile prag care definesc starea ecologică bună în sedimente au fost depăşite de acenaftilen, acenaften, fluoren, fenantren, antracen, fluoranten, benzo[a]piren, benzo(g,h,i)perilen, indeno(1,2,3-c,d)piren în 0,6-2 % din probe (INCDM, 2022), confirmând astfel stare ecologică bună a sedimentelor marine în raport cu hidrocarburile policilice aromatice. </w:t>
      </w:r>
    </w:p>
    <w:p w14:paraId="662C17FE" w14:textId="77777777" w:rsidR="008635C2" w:rsidRDefault="008635C2" w:rsidP="00D2719F">
      <w:pPr>
        <w:spacing w:before="0"/>
        <w:ind w:firstLine="567"/>
        <w:rPr>
          <w:rFonts w:eastAsia="Times New Roman" w:cs="Times New Roman"/>
        </w:rPr>
      </w:pPr>
      <w:r>
        <w:rPr>
          <w:rFonts w:eastAsia="Times New Roman" w:cs="Times New Roman"/>
        </w:rPr>
        <w:t xml:space="preserve">Concentraţiile pesticidelor organoclorurate în sedimente au variat între limita de cuantificare şi 61,34 µg/g sediment uscat. Concentraţiile cele mai mari au fost măsurate în zona de influență directă a Dunării, dar și în partea sudică (zona porturilor Constanța și Mangalia, zone de deversare a apelor epurate din stația Eforie), mai ales pentru lindan, endrin și p,p’ DDT (INCDM, 2022). Depăşiri ale valorilor limită pentru definirea stării ecologice bune s-au observat în special pentru HCB și lindan în 57%, respectiv 40% din probele analizate (INCDM, 2022), sugerând o stare chimică proastă pentru acești compuși. </w:t>
      </w:r>
    </w:p>
    <w:p w14:paraId="44A14A22" w14:textId="77777777" w:rsidR="008635C2" w:rsidRDefault="008635C2" w:rsidP="00D2719F">
      <w:pPr>
        <w:spacing w:before="0"/>
        <w:rPr>
          <w:rFonts w:eastAsia="Times New Roman" w:cs="Times New Roman"/>
          <w:i/>
        </w:rPr>
      </w:pPr>
      <w:r>
        <w:rPr>
          <w:rFonts w:eastAsia="Times New Roman" w:cs="Times New Roman"/>
          <w:i/>
        </w:rPr>
        <w:t>Ape de îmbăiere</w:t>
      </w:r>
    </w:p>
    <w:p w14:paraId="7AA5D28A" w14:textId="77777777" w:rsidR="008635C2" w:rsidRDefault="008635C2" w:rsidP="00D2719F">
      <w:pPr>
        <w:spacing w:before="0"/>
        <w:ind w:firstLine="567"/>
        <w:rPr>
          <w:rFonts w:eastAsia="Times New Roman" w:cs="Times New Roman"/>
        </w:rPr>
      </w:pPr>
      <w:r>
        <w:rPr>
          <w:rFonts w:eastAsia="Times New Roman" w:cs="Times New Roman"/>
        </w:rPr>
        <w:lastRenderedPageBreak/>
        <w:t>Conform Raportului anual privind calitatea apelor de îmbăiere elaborat la nivel european, în anul 2022, din cele 50 de zone de îmbăiere, 46 s-au încadrat în valorile corespunzătoare calității excelente, iar 4 zone de îmbăiere au fost de calitate bună.</w:t>
      </w:r>
    </w:p>
    <w:p w14:paraId="468AF051" w14:textId="1B82C795" w:rsidR="008635C2" w:rsidRDefault="00D2719F" w:rsidP="008635C2">
      <w:pPr>
        <w:pStyle w:val="Heading4"/>
      </w:pPr>
      <w:bookmarkStart w:id="67" w:name="_Toc169625124"/>
      <w:r>
        <w:t>2.</w:t>
      </w:r>
      <w:r w:rsidR="008635C2">
        <w:t>4.2.3 Soluri</w:t>
      </w:r>
      <w:bookmarkEnd w:id="67"/>
    </w:p>
    <w:p w14:paraId="5B323AC0" w14:textId="3AB1DB04" w:rsidR="008635C2" w:rsidRDefault="008635C2" w:rsidP="008635C2">
      <w:pPr>
        <w:ind w:firstLine="567"/>
        <w:rPr>
          <w:rFonts w:eastAsia="Times New Roman" w:cs="Times New Roman"/>
        </w:rPr>
      </w:pPr>
      <w:r>
        <w:rPr>
          <w:rFonts w:eastAsia="Times New Roman" w:cs="Times New Roman"/>
        </w:rPr>
        <w:t xml:space="preserve">Particularitățile zonei evaluate, respectiv climatul temperat-continental cu influențe marine, apa, cu precădere corpurile de apă de suprafață în cazul zonei costiere, materialul parental reprezentat în general de calcare jurasice și cretacice, relieful, vegetația și fauna caracteristice zonei de stepă și, nu în ultimul rând timpul și activitatea antropică au dus la formarea unei varietăți deosebite de soluri (58 de tipuri și subtipuri de soluri prezentate în Fig. </w:t>
      </w:r>
      <w:r w:rsidR="00D2719F">
        <w:rPr>
          <w:rFonts w:eastAsia="Times New Roman" w:cs="Times New Roman"/>
        </w:rPr>
        <w:t>2.</w:t>
      </w:r>
      <w:r>
        <w:rPr>
          <w:rFonts w:eastAsia="Times New Roman" w:cs="Times New Roman"/>
        </w:rPr>
        <w:t>4.2.3.1).). Apar astfel soluri dintre cele mai fertile, respectiv cernoziomurile, până la soluri mai puțin productive, rendzinice, la care procentul de schelet (rocile) poate să depășească valoarea de 50%. De asemenea, apar și soluri ce reflectă condițiile locale specifice, respectiv soluri turboase în Delta Dunarii, sau cu conținut mare de săruri, respectiv soloneturi și solonceacuri, fără să lipsească, însă, nici solurile nisipoase, psamosolurile.</w:t>
      </w:r>
    </w:p>
    <w:p w14:paraId="7518F536" w14:textId="77777777" w:rsidR="00D2719F" w:rsidRDefault="00D2719F" w:rsidP="00D2719F">
      <w:pPr>
        <w:spacing w:before="0"/>
        <w:ind w:firstLine="567"/>
        <w:rPr>
          <w:rFonts w:eastAsia="Times New Roman" w:cs="Times New Roman"/>
        </w:rPr>
      </w:pPr>
      <w:r>
        <w:rPr>
          <w:rFonts w:eastAsia="Times New Roman" w:cs="Times New Roman"/>
        </w:rPr>
        <w:t>Din punct de vedere al indicatorilor privind calitatea solurilor se constată că cea mai mare parte din solurile din zona costieră sunt încadrate în categoria solurilor foarte productive, fiind reprezentate de cernoziomuri și kastanoziomuri, incluse în clasa Cernisoluri. În Dobrogea, cernoziomurile sunt caracterizate printr-un conținut mediu de humus (3,5-4%), sunt bine asigurate în săruri solubile și au un conținut mediu de elemente nutritive, pH-ul poate varia între 7 la cernoziomuri tipice și 8,4 la cernoziomuri calcarice și la kastanoziomuri. Aceste caracteristici oferă condiții medii de fertilitate, fiind favorabile pentru majoritatea culturilor agricole. Solurile din imediata vecinătate a lacurilor litorale au caracteristici de salinitate medie către pronunțată, iar pH-ul crește până la valori de 8 – 9, aceste zone fiind favorabile numai pentru plantele halofile, adaptate la condiții de salinitate ridicată.</w:t>
      </w:r>
    </w:p>
    <w:p w14:paraId="598418BE" w14:textId="77777777" w:rsidR="00D2719F" w:rsidRDefault="00D2719F" w:rsidP="00D2719F">
      <w:pPr>
        <w:spacing w:before="0"/>
        <w:ind w:firstLine="567"/>
        <w:rPr>
          <w:rFonts w:eastAsia="Times New Roman" w:cs="Times New Roman"/>
        </w:rPr>
      </w:pPr>
      <w:r>
        <w:rPr>
          <w:rFonts w:eastAsia="Times New Roman" w:cs="Times New Roman"/>
        </w:rPr>
        <w:t xml:space="preserve">Principalii indicatori fizici de caracterizare a solurilor sunt alcătuirea granulometrică (textura), structura si gradul de tasare. Solurile din perimetrul analizat sunt în cea mai mare parte soluri lutoase sau cu un conținut mai ridicat în fracțiuni granulometrice grosiere (soluri nisipoase) ceea ce oferă un regim aerohidric favorabil dezvoltării plantelor. În condiții naturale solurile sunt bine structurate, prezinta agregate structurale stabile, de regulă cu structură poliedrică bine dezvoltată. </w:t>
      </w:r>
    </w:p>
    <w:p w14:paraId="3BB6223E" w14:textId="77777777" w:rsidR="00D2719F" w:rsidRDefault="00D2719F" w:rsidP="00D2719F">
      <w:pPr>
        <w:spacing w:before="0"/>
        <w:ind w:firstLine="567"/>
        <w:rPr>
          <w:rFonts w:eastAsia="Times New Roman" w:cs="Times New Roman"/>
        </w:rPr>
      </w:pPr>
      <w:r>
        <w:rPr>
          <w:rFonts w:eastAsia="Times New Roman" w:cs="Times New Roman"/>
        </w:rPr>
        <w:t>Activitatea microbiologică a solului este bună, fiind influențată de cantitatea de humus, de umiditatea solului și regimul de aeratie a solului. Pe solurile bine aprovizionate în materie organică, cu textură lutoasă și bine structurate pot apărea subtipurile vermice care sunt caracterizate de activitate intensă a râmelor și apariția neoformațiunilor biogene specifice – coprolite, într-un procent de peste 25% din volumul solului.</w:t>
      </w:r>
    </w:p>
    <w:p w14:paraId="554C699B" w14:textId="77777777" w:rsidR="00D2719F" w:rsidRDefault="00D2719F" w:rsidP="00D2719F">
      <w:pPr>
        <w:spacing w:before="0"/>
        <w:ind w:firstLine="567"/>
        <w:rPr>
          <w:rFonts w:eastAsia="Times New Roman" w:cs="Times New Roman"/>
        </w:rPr>
      </w:pPr>
      <w:r>
        <w:rPr>
          <w:rFonts w:eastAsia="Times New Roman" w:cs="Times New Roman"/>
        </w:rPr>
        <w:t>Din punct de vedere al riscurilor de degradare sunt de menționat eroziunea hidrică și eoliană, poluare urbană și industrială, aridizare, pierderea stratului de turbă din Delta Dunarii sau salinizarea solurilor. Riscurile menționate pot fi gestionate printr-o utilizare sustenabilă a acestei resurse.</w:t>
      </w:r>
    </w:p>
    <w:p w14:paraId="3104C419" w14:textId="77777777" w:rsidR="008635C2" w:rsidRDefault="008635C2" w:rsidP="008635C2">
      <w:pPr>
        <w:ind w:firstLine="567"/>
        <w:rPr>
          <w:rFonts w:eastAsia="Times New Roman" w:cs="Times New Roman"/>
        </w:rPr>
      </w:pPr>
    </w:p>
    <w:p w14:paraId="1EE3BF96" w14:textId="77777777" w:rsidR="008635C2" w:rsidRDefault="008635C2" w:rsidP="008635C2">
      <w:pPr>
        <w:pBdr>
          <w:top w:val="nil"/>
          <w:left w:val="nil"/>
          <w:bottom w:val="nil"/>
          <w:right w:val="nil"/>
          <w:between w:val="nil"/>
        </w:pBdr>
        <w:spacing w:after="200" w:line="240" w:lineRule="auto"/>
        <w:rPr>
          <w:rFonts w:eastAsia="Times New Roman" w:cs="Times New Roman"/>
          <w:color w:val="000000"/>
        </w:rPr>
      </w:pPr>
      <w:r>
        <w:rPr>
          <w:rFonts w:eastAsia="Times New Roman" w:cs="Times New Roman"/>
          <w:noProof/>
          <w:color w:val="000000"/>
          <w:highlight w:val="white"/>
        </w:rPr>
        <w:lastRenderedPageBreak/>
        <w:drawing>
          <wp:inline distT="0" distB="0" distL="0" distR="0" wp14:anchorId="468D4A4E" wp14:editId="35687145">
            <wp:extent cx="5463540" cy="5920740"/>
            <wp:effectExtent l="0" t="0" r="3810" b="3810"/>
            <wp:docPr id="2141401967" name="image29.jpg" descr="https://lh7-us.googleusercontent.com/stkxflSpkh7V0b-lkH3jeS3_UHowg9bW4Jo0MNTQGn_-qOA37JywWGSm4xqTw-z_0GdUN92aQne1uLKA_Y1R-ACaX87OMv8G4_53a0DKTwHFUuiMc1m-7QxsJrEfu_eYRBCWlQMFTW2K"/>
            <wp:cNvGraphicFramePr/>
            <a:graphic xmlns:a="http://schemas.openxmlformats.org/drawingml/2006/main">
              <a:graphicData uri="http://schemas.openxmlformats.org/drawingml/2006/picture">
                <pic:pic xmlns:pic="http://schemas.openxmlformats.org/drawingml/2006/picture">
                  <pic:nvPicPr>
                    <pic:cNvPr id="0" name="image29.jpg" descr="https://lh7-us.googleusercontent.com/stkxflSpkh7V0b-lkH3jeS3_UHowg9bW4Jo0MNTQGn_-qOA37JywWGSm4xqTw-z_0GdUN92aQne1uLKA_Y1R-ACaX87OMv8G4_53a0DKTwHFUuiMc1m-7QxsJrEfu_eYRBCWlQMFTW2K"/>
                    <pic:cNvPicPr preferRelativeResize="0"/>
                  </pic:nvPicPr>
                  <pic:blipFill>
                    <a:blip r:embed="rId31"/>
                    <a:srcRect/>
                    <a:stretch>
                      <a:fillRect/>
                    </a:stretch>
                  </pic:blipFill>
                  <pic:spPr>
                    <a:xfrm>
                      <a:off x="0" y="0"/>
                      <a:ext cx="5463540" cy="5920740"/>
                    </a:xfrm>
                    <a:prstGeom prst="rect">
                      <a:avLst/>
                    </a:prstGeom>
                    <a:ln/>
                  </pic:spPr>
                </pic:pic>
              </a:graphicData>
            </a:graphic>
          </wp:inline>
        </w:drawing>
      </w:r>
    </w:p>
    <w:p w14:paraId="2239A26E" w14:textId="542BF7E0" w:rsidR="008635C2" w:rsidRDefault="008635C2" w:rsidP="008635C2">
      <w:pPr>
        <w:pBdr>
          <w:top w:val="nil"/>
          <w:left w:val="nil"/>
          <w:bottom w:val="nil"/>
          <w:right w:val="nil"/>
          <w:between w:val="nil"/>
        </w:pBdr>
        <w:spacing w:after="240" w:line="240" w:lineRule="auto"/>
        <w:jc w:val="center"/>
        <w:rPr>
          <w:rFonts w:eastAsia="Times New Roman" w:cs="Times New Roman"/>
          <w:b/>
          <w:color w:val="000000"/>
          <w:highlight w:val="white"/>
        </w:rPr>
      </w:pPr>
      <w:r>
        <w:rPr>
          <w:rFonts w:eastAsia="Times New Roman" w:cs="Times New Roman"/>
          <w:b/>
          <w:color w:val="000000"/>
          <w:highlight w:val="white"/>
        </w:rPr>
        <w:t xml:space="preserve">Fig. </w:t>
      </w:r>
      <w:r w:rsidR="00D2719F">
        <w:rPr>
          <w:rFonts w:eastAsia="Times New Roman" w:cs="Times New Roman"/>
          <w:b/>
          <w:color w:val="000000"/>
          <w:highlight w:val="white"/>
        </w:rPr>
        <w:t>2.</w:t>
      </w:r>
      <w:r>
        <w:rPr>
          <w:rFonts w:eastAsia="Times New Roman" w:cs="Times New Roman"/>
          <w:b/>
          <w:color w:val="000000"/>
          <w:highlight w:val="white"/>
        </w:rPr>
        <w:t>4.2.3.1 Solurile din zona costieră a României</w:t>
      </w:r>
    </w:p>
    <w:p w14:paraId="18190DA3" w14:textId="77777777" w:rsidR="008635C2" w:rsidRDefault="008635C2" w:rsidP="008635C2">
      <w:pPr>
        <w:pBdr>
          <w:top w:val="nil"/>
          <w:left w:val="nil"/>
          <w:bottom w:val="nil"/>
          <w:right w:val="nil"/>
          <w:between w:val="nil"/>
        </w:pBdr>
        <w:spacing w:after="240" w:line="240" w:lineRule="auto"/>
        <w:jc w:val="center"/>
        <w:rPr>
          <w:rFonts w:eastAsia="Times New Roman" w:cs="Times New Roman"/>
          <w:b/>
          <w:color w:val="000000"/>
          <w:highlight w:val="white"/>
        </w:rPr>
      </w:pPr>
    </w:p>
    <w:p w14:paraId="761BE8D2" w14:textId="5F5A051B" w:rsidR="00D2719F" w:rsidRDefault="00D2719F" w:rsidP="00D2719F">
      <w:pPr>
        <w:pStyle w:val="Heading3"/>
      </w:pPr>
      <w:bookmarkStart w:id="68" w:name="_Toc150501465"/>
      <w:bookmarkStart w:id="69" w:name="_Toc169625125"/>
      <w:r>
        <w:t>2.4.3 Biodiversitate</w:t>
      </w:r>
      <w:bookmarkEnd w:id="68"/>
      <w:bookmarkEnd w:id="69"/>
    </w:p>
    <w:p w14:paraId="27BFAF1C" w14:textId="77777777" w:rsidR="00D2719F" w:rsidRDefault="00D2719F" w:rsidP="00D2719F">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 xml:space="preserve">În zona costieră, biodiversitatea se poate cuantifica în număr de specii, tipuri de habitate și arii protejate. </w:t>
      </w:r>
    </w:p>
    <w:p w14:paraId="7FAD9185" w14:textId="77777777" w:rsidR="00D2719F" w:rsidRDefault="00D2719F" w:rsidP="00D2719F">
      <w:pPr>
        <w:pBdr>
          <w:top w:val="nil"/>
          <w:left w:val="nil"/>
          <w:bottom w:val="nil"/>
          <w:right w:val="nil"/>
          <w:between w:val="nil"/>
        </w:pBdr>
        <w:spacing w:before="0"/>
        <w:rPr>
          <w:rFonts w:eastAsia="Times New Roman" w:cs="Times New Roman"/>
          <w:i/>
          <w:color w:val="000000"/>
        </w:rPr>
      </w:pPr>
      <w:r>
        <w:rPr>
          <w:rFonts w:eastAsia="Times New Roman" w:cs="Times New Roman"/>
          <w:i/>
          <w:color w:val="000000"/>
        </w:rPr>
        <w:t>Număr de specii</w:t>
      </w:r>
    </w:p>
    <w:p w14:paraId="40B49F0A" w14:textId="77777777" w:rsidR="00D2719F" w:rsidRDefault="00D2719F" w:rsidP="00D2719F">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 xml:space="preserve">Numărul total de specii din zona litorală nu poate fi stabilit cu precizie, existând în continuare grupe taxonomice insuficient cunoscute pe de-o parte, iar pe de altă parte există specii străine și invazive, care apar în permanență atât în habitatele marine, cât și în cele dulcicole și terestre datorită diverselor activități umane, de la transporturi la turism și de la activitățile agricole la industria pet-shopurilor. Cu toate acestea, există lucrări de sinteză datând </w:t>
      </w:r>
      <w:r>
        <w:rPr>
          <w:rFonts w:eastAsia="Times New Roman" w:cs="Times New Roman"/>
          <w:color w:val="000000"/>
        </w:rPr>
        <w:lastRenderedPageBreak/>
        <w:t>din anii 2000, unde sunt listate speciile de plante, nevertebrate și vertebrate din zona costieră. Datele din literatura de specialitate din anii 2000 (Gomoiu și Skolka, 1998; Skolka și colab., 2005; Făgăraș și colab., 2008) indică un număr de circa 12.900 de specii pentru Dobrogea dintre care 10.596 animale și 2.271 plante. Dintre acestea, 3.159 sunt specii marine sau prezente în lacurile paramarine (fără a include insecte, aranee, acarieni și miriapode). În ceea ce privește speciile marine, 1.168 sunt microalge și macroalge, iar 1.991 animale (nevertebrate și vertebrate).</w:t>
      </w:r>
    </w:p>
    <w:p w14:paraId="6C46290F" w14:textId="77777777" w:rsidR="00D2719F" w:rsidRDefault="00D2719F" w:rsidP="00D2719F">
      <w:pPr>
        <w:pBdr>
          <w:top w:val="nil"/>
          <w:left w:val="nil"/>
          <w:bottom w:val="nil"/>
          <w:right w:val="nil"/>
          <w:between w:val="nil"/>
        </w:pBdr>
        <w:spacing w:before="0"/>
        <w:rPr>
          <w:rFonts w:eastAsia="Times New Roman" w:cs="Times New Roman"/>
          <w:i/>
          <w:color w:val="000000"/>
        </w:rPr>
      </w:pPr>
      <w:r>
        <w:rPr>
          <w:rFonts w:eastAsia="Times New Roman" w:cs="Times New Roman"/>
          <w:i/>
          <w:color w:val="000000"/>
        </w:rPr>
        <w:t>Habitate</w:t>
      </w:r>
    </w:p>
    <w:p w14:paraId="5AA209E7" w14:textId="77777777" w:rsidR="00D2719F" w:rsidRDefault="00D2719F" w:rsidP="00D2719F">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 xml:space="preserve">În ceea ce privește diversitatea habitatelor, în zona costieră se regăsesc două regiuni biogeografice europene – pontică și stepică. Bioregiunea pontică include zona de litoral maritim până la circa 10 km în interiorul uscatului, malurile lacurilor paramarine și întreg sistemul de grinduri care separă complexul lagunar Razim–Sinoe de mare, iar </w:t>
      </w:r>
      <w:r>
        <w:rPr>
          <w:rFonts w:eastAsia="Times New Roman" w:cs="Times New Roman"/>
        </w:rPr>
        <w:t>în</w:t>
      </w:r>
      <w:r>
        <w:rPr>
          <w:rFonts w:eastAsia="Times New Roman" w:cs="Times New Roman"/>
          <w:color w:val="000000"/>
        </w:rPr>
        <w:t xml:space="preserve"> zona Deltei Dunării include toată zona situată la circa 20 km de țărmul mării. În lungul acestei bioregiuni se întinde o parte a celei de-a doua ca mărime rute de migrație a păsărilor la nivel European – Via Pontica. Bioregiunea stepică se întinde în toată partea continentală a zonei costiere, până la limita UAT-urilor componente. În cadrul bioregiunii pontice au fost identificate 16 tipuri de habitate costiere, marine și de dune (7 dintre ele fiind exclusiv marine), 5 tipuri de habitate de apă dulce, 7 tipuri de habitate de pajiști și tufărișuri, 1 tip de habitat prioritar de mlaștină și 2 tipuri de habitate de pădure. În aceste habitate se întâlnesc 79 de specii de animale și 6 specii de plante aflate pe listele Directivei Habitate și peste o treime din numărul total de specii de păsări incluse în Directiva Păsări (dintre acestea, 12 sunt amenințate la nivel global). Bioregiunea stepică este mai puțin bogată în habitate în zona costieră. De aici au fost menționate 2 tipuri de habitate de dune, unul dintre acestea fiind prioritar, 6 tipuri de habitate de ape dulci, 1 tip de habitat de tufărișuri, 6 tipuri de habitate de pajiști, 1 tip de habitat de stâncărie și 8 tipuri de habitate de pădure. Bioregiunea se caracterizează printr-un impact deosebit de ridicat al activităților antropice care a dus la fragmentarea habitatelor naturale datorită defrișărilor, extinderii agriculturii, suprapășunatului, desecărilor, extinderii localităților.</w:t>
      </w:r>
    </w:p>
    <w:p w14:paraId="1562BAA9" w14:textId="77777777" w:rsidR="00D2719F" w:rsidRDefault="00D2719F" w:rsidP="00D2719F">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 xml:space="preserve">În afară de speciile de plante si animale sau habitate protejate la nivelul Uniunii Europene și incluse pe listele Directivei Păsări sau Directivei Habitate, în zona costieră sunt prezente și o serie de specii (marine, salmastricole, dulcicole </w:t>
      </w:r>
      <w:sdt>
        <w:sdtPr>
          <w:tag w:val="goog_rdk_36"/>
          <w:id w:val="2028051039"/>
        </w:sdtPr>
        <w:sdtContent>
          <w:r>
            <w:rPr>
              <w:rFonts w:eastAsia="Times New Roman" w:cs="Times New Roman"/>
              <w:color w:val="000000"/>
            </w:rPr>
            <w:t>sau</w:t>
          </w:r>
        </w:sdtContent>
      </w:sdt>
      <w:r>
        <w:rPr>
          <w:rFonts w:eastAsia="Times New Roman" w:cs="Times New Roman"/>
          <w:color w:val="000000"/>
        </w:rPr>
        <w:t xml:space="preserve"> terestre) endemice pentru zona Mării Negre ca și specii incluse pe liste roșii, în cărți roșii sau declarate monumente ale naturii.</w:t>
      </w:r>
    </w:p>
    <w:p w14:paraId="079FB3C6" w14:textId="77777777" w:rsidR="00D2719F" w:rsidRDefault="00D2719F" w:rsidP="00D2719F">
      <w:pPr>
        <w:pBdr>
          <w:top w:val="nil"/>
          <w:left w:val="nil"/>
          <w:bottom w:val="nil"/>
          <w:right w:val="nil"/>
          <w:between w:val="nil"/>
        </w:pBdr>
        <w:spacing w:before="0"/>
        <w:ind w:firstLine="560"/>
        <w:rPr>
          <w:rFonts w:eastAsia="Times New Roman" w:cs="Times New Roman"/>
          <w:color w:val="000000"/>
        </w:rPr>
      </w:pPr>
      <w:r>
        <w:rPr>
          <w:rFonts w:eastAsia="Times New Roman" w:cs="Times New Roman"/>
          <w:color w:val="000000"/>
        </w:rPr>
        <w:t xml:space="preserve">Habitate pelagice reprezintă apele deschise ale mării, care nu au un corespondent codificat la nivelul Uniunii Europene. Caracterizate printr-o componență specifică în organisme care plutesc sau înoată activ în masa apei, habitatele de tip pelagic prezintă o componență specifică de microalge care formează fitoplanctonul și o serie de nevertebrate de talie mică sau medie la care se adaugă stadii larvare ale organismelor care trăiesc pe fundul mării și care formează zooplanctonul. La acestea se adaugă speciile care înoată activ și care sunt reprezentate de pești – nectonul și mamiferele marine (trei specii de delfini: </w:t>
      </w:r>
      <w:r>
        <w:rPr>
          <w:rFonts w:eastAsia="Times New Roman" w:cs="Times New Roman"/>
          <w:i/>
          <w:color w:val="000000"/>
        </w:rPr>
        <w:t>Tursiops truncatus ssp. ponticus</w:t>
      </w:r>
      <w:r>
        <w:rPr>
          <w:rFonts w:eastAsia="Times New Roman" w:cs="Times New Roman"/>
          <w:color w:val="000000"/>
        </w:rPr>
        <w:t xml:space="preserve">, </w:t>
      </w:r>
      <w:r>
        <w:rPr>
          <w:rFonts w:eastAsia="Times New Roman" w:cs="Times New Roman"/>
          <w:i/>
          <w:color w:val="000000"/>
        </w:rPr>
        <w:t>Delphinus delphis ssp. ponticus</w:t>
      </w:r>
      <w:r>
        <w:rPr>
          <w:rFonts w:eastAsia="Times New Roman" w:cs="Times New Roman"/>
          <w:color w:val="000000"/>
        </w:rPr>
        <w:t xml:space="preserve"> și </w:t>
      </w:r>
      <w:r>
        <w:rPr>
          <w:rFonts w:eastAsia="Times New Roman" w:cs="Times New Roman"/>
          <w:i/>
          <w:color w:val="000000"/>
        </w:rPr>
        <w:t>Phocoena phocoena ssp. relicta).</w:t>
      </w:r>
      <w:r>
        <w:rPr>
          <w:rFonts w:eastAsia="Times New Roman" w:cs="Times New Roman"/>
          <w:color w:val="000000"/>
        </w:rPr>
        <w:t xml:space="preserve"> În ultimii 20 de ani, vidra - </w:t>
      </w:r>
      <w:r>
        <w:rPr>
          <w:rFonts w:eastAsia="Times New Roman" w:cs="Times New Roman"/>
          <w:i/>
          <w:color w:val="000000"/>
        </w:rPr>
        <w:t>Lutra lutra</w:t>
      </w:r>
      <w:r>
        <w:rPr>
          <w:rFonts w:eastAsia="Times New Roman" w:cs="Times New Roman"/>
          <w:color w:val="000000"/>
        </w:rPr>
        <w:t xml:space="preserve"> - a devenit de asemenea o prezență constantă în zona </w:t>
      </w:r>
      <w:r>
        <w:rPr>
          <w:rFonts w:eastAsia="Times New Roman" w:cs="Times New Roman"/>
          <w:color w:val="000000"/>
        </w:rPr>
        <w:lastRenderedPageBreak/>
        <w:t>litorală, nu numai în lacurile paramarine (efectivele acestei specii nu au au fost estimate până în prezent).</w:t>
      </w:r>
    </w:p>
    <w:p w14:paraId="14C06642" w14:textId="77777777" w:rsidR="00D2719F" w:rsidRDefault="00D2719F" w:rsidP="00D2719F">
      <w:pPr>
        <w:pBdr>
          <w:top w:val="nil"/>
          <w:left w:val="nil"/>
          <w:bottom w:val="nil"/>
          <w:right w:val="nil"/>
          <w:between w:val="nil"/>
        </w:pBdr>
        <w:spacing w:before="0"/>
        <w:ind w:firstLine="560"/>
        <w:rPr>
          <w:rFonts w:eastAsia="Times New Roman" w:cs="Times New Roman"/>
          <w:color w:val="000000"/>
        </w:rPr>
      </w:pPr>
      <w:r>
        <w:rPr>
          <w:rFonts w:eastAsia="Times New Roman" w:cs="Times New Roman"/>
          <w:color w:val="000000"/>
        </w:rPr>
        <w:t>Habitatele bentale reprezintă o componentă esențială a zonei costiere situată la limita și sub nivelul mării. Cele 20 de tipuri principale de habitate marine bentale sunt caracterizate fiecare printr-o faună caracteristică formată din alge microfite și macrofite – fitobentos – și de o faună specifică – zoobentosul - care include atât specii de talie mică (microzoobentos) cât și specii de talie mare (macrozoobentos). Cele mai bogate în ce privește biodiversitatea sunt habitatele de zone stâncoase din sudul litoralului, habitatele de nisipuri sau mâluri din zona centrală și de nord fiind mai sărace în specii dar prezentând de asemenea o serie de endemisme care definesc Marea Neagră. De asemenea, diferitele habitate bentale sunt diferențiate și prin modul care sunt afectate de impactul antropic.</w:t>
      </w:r>
    </w:p>
    <w:p w14:paraId="341FB5B6" w14:textId="77777777" w:rsidR="00D2719F" w:rsidRDefault="00D2719F" w:rsidP="00D2719F">
      <w:pPr>
        <w:pBdr>
          <w:top w:val="nil"/>
          <w:left w:val="nil"/>
          <w:bottom w:val="nil"/>
          <w:right w:val="nil"/>
          <w:between w:val="nil"/>
        </w:pBdr>
        <w:spacing w:before="0"/>
        <w:ind w:firstLine="540"/>
        <w:rPr>
          <w:rFonts w:eastAsia="Times New Roman" w:cs="Times New Roman"/>
          <w:color w:val="000000"/>
        </w:rPr>
      </w:pPr>
      <w:r>
        <w:rPr>
          <w:rFonts w:eastAsia="Times New Roman" w:cs="Times New Roman"/>
          <w:color w:val="000000"/>
        </w:rPr>
        <w:t>Starea habitatelor marine și costiere.</w:t>
      </w:r>
    </w:p>
    <w:p w14:paraId="3F8AE8C0" w14:textId="77777777" w:rsidR="00D2719F" w:rsidRDefault="00D2719F" w:rsidP="00D2719F">
      <w:pPr>
        <w:pBdr>
          <w:top w:val="nil"/>
          <w:left w:val="nil"/>
          <w:bottom w:val="nil"/>
          <w:right w:val="nil"/>
          <w:between w:val="nil"/>
        </w:pBdr>
        <w:spacing w:before="0"/>
        <w:ind w:firstLine="540"/>
        <w:rPr>
          <w:rFonts w:eastAsia="Times New Roman" w:cs="Times New Roman"/>
          <w:color w:val="000000"/>
        </w:rPr>
      </w:pPr>
      <w:r>
        <w:rPr>
          <w:rFonts w:eastAsia="Times New Roman" w:cs="Times New Roman"/>
          <w:color w:val="000000"/>
        </w:rPr>
        <w:t xml:space="preserve"> Conform datelor din raportul de stare a mediului costier și marin elaborat de INCDM Grigore Antipa (INCDM, 2021), precum și a rapoartelor din programul NUCLEU - GEOBIOECOMAR, elaborate de către INCD GeoEcoMar, în perioada 2018-2022, elementele biologice de bază ale Directivei Cadru Ape (DCA) și indicatorii celor 5 descriptori ai Directivei Cadru Strategia pentru Mediul Marin (DCSMM): Biodiversitate (D1), specii neindigene (D2), reţeaua trofică (D4), eutrofizare (D5) și integritatea sedimentelor marine (D6) au arătat următoarele stări ecologice: fitoplanctonul și zooplanctonul - nu au atins stare ecologică bună (non-SEB); fitobentos și macrozoobentosul - au atins starea ecologică bună (SEB).</w:t>
      </w:r>
    </w:p>
    <w:p w14:paraId="4F0FDB3A" w14:textId="77777777" w:rsidR="00D2719F" w:rsidRDefault="00D2719F" w:rsidP="00D2719F">
      <w:pPr>
        <w:pBdr>
          <w:top w:val="nil"/>
          <w:left w:val="nil"/>
          <w:bottom w:val="nil"/>
          <w:right w:val="nil"/>
          <w:between w:val="nil"/>
        </w:pBdr>
        <w:spacing w:before="0"/>
        <w:ind w:firstLine="540"/>
        <w:rPr>
          <w:rFonts w:eastAsia="Times New Roman" w:cs="Times New Roman"/>
          <w:color w:val="000000"/>
        </w:rPr>
      </w:pPr>
      <w:r>
        <w:rPr>
          <w:rFonts w:eastAsia="Times New Roman" w:cs="Times New Roman"/>
          <w:color w:val="000000"/>
        </w:rPr>
        <w:t xml:space="preserve">În ultima perioadă, speciile sensibile la presiunea antropică au înregistrat o revigorare din punct de vedere al populaţiilor lor. Exemple ale acestui proces pot fi considerate populațiile de decapode: </w:t>
      </w:r>
      <w:r>
        <w:rPr>
          <w:rFonts w:eastAsia="Times New Roman" w:cs="Times New Roman"/>
          <w:i/>
          <w:color w:val="000000"/>
        </w:rPr>
        <w:t>Upogebia pusilla, Diogenes pugilator</w:t>
      </w:r>
      <w:r>
        <w:rPr>
          <w:rFonts w:eastAsia="Times New Roman" w:cs="Times New Roman"/>
          <w:color w:val="000000"/>
        </w:rPr>
        <w:t xml:space="preserve">, moluște: </w:t>
      </w:r>
      <w:r>
        <w:rPr>
          <w:rFonts w:eastAsia="Times New Roman" w:cs="Times New Roman"/>
          <w:i/>
          <w:color w:val="000000"/>
        </w:rPr>
        <w:t>Chamelea gallina, Polititapes aureus, Pitar rudis, Kurtiella bidentata</w:t>
      </w:r>
      <w:r>
        <w:rPr>
          <w:rFonts w:eastAsia="Times New Roman" w:cs="Times New Roman"/>
          <w:color w:val="000000"/>
        </w:rPr>
        <w:t xml:space="preserve">, macrofite: </w:t>
      </w:r>
      <w:r>
        <w:rPr>
          <w:rFonts w:eastAsia="Times New Roman" w:cs="Times New Roman"/>
          <w:i/>
          <w:color w:val="000000"/>
        </w:rPr>
        <w:t>Cystoseira barbata, Cystoseira brodiei, Coccotylus brodiei</w:t>
      </w:r>
      <w:r>
        <w:rPr>
          <w:rFonts w:eastAsia="Times New Roman" w:cs="Times New Roman"/>
          <w:color w:val="000000"/>
        </w:rPr>
        <w:t xml:space="preserve"> și </w:t>
      </w:r>
      <w:r>
        <w:rPr>
          <w:rFonts w:eastAsia="Times New Roman" w:cs="Times New Roman"/>
          <w:i/>
          <w:color w:val="000000"/>
        </w:rPr>
        <w:t>Zostera noltei.</w:t>
      </w:r>
      <w:r>
        <w:rPr>
          <w:rFonts w:eastAsia="Times New Roman" w:cs="Times New Roman"/>
          <w:color w:val="000000"/>
        </w:rPr>
        <w:t xml:space="preserve"> În acelaşi timp asistăm și la o proliferare a unor specii oportuniste, cum ar fi </w:t>
      </w:r>
      <w:r>
        <w:rPr>
          <w:rFonts w:eastAsia="Times New Roman" w:cs="Times New Roman"/>
          <w:i/>
          <w:color w:val="000000"/>
        </w:rPr>
        <w:t>Mya arenaria</w:t>
      </w:r>
      <w:r>
        <w:rPr>
          <w:rFonts w:eastAsia="Times New Roman" w:cs="Times New Roman"/>
          <w:color w:val="000000"/>
        </w:rPr>
        <w:t xml:space="preserve"> (în zona guri de vărsare a brațului Sf. Gheorghe, dar și în dreptul Constanței), </w:t>
      </w:r>
      <w:r>
        <w:rPr>
          <w:rFonts w:eastAsia="Times New Roman" w:cs="Times New Roman"/>
          <w:i/>
          <w:color w:val="000000"/>
        </w:rPr>
        <w:t>Melinna palmata</w:t>
      </w:r>
      <w:r>
        <w:rPr>
          <w:rFonts w:eastAsia="Times New Roman" w:cs="Times New Roman"/>
          <w:color w:val="000000"/>
        </w:rPr>
        <w:t xml:space="preserve"> (zona predeltaică între 15-30 m adâncime), </w:t>
      </w:r>
      <w:r>
        <w:rPr>
          <w:rFonts w:eastAsia="Times New Roman" w:cs="Times New Roman"/>
          <w:i/>
          <w:color w:val="000000"/>
        </w:rPr>
        <w:t>Dipolydora quadrilobata</w:t>
      </w:r>
      <w:r>
        <w:rPr>
          <w:rFonts w:eastAsia="Times New Roman" w:cs="Times New Roman"/>
          <w:color w:val="000000"/>
        </w:rPr>
        <w:t xml:space="preserve"> (35-45 m adâncime) și </w:t>
      </w:r>
      <w:r>
        <w:rPr>
          <w:rFonts w:eastAsia="Times New Roman" w:cs="Times New Roman"/>
          <w:i/>
          <w:color w:val="000000"/>
        </w:rPr>
        <w:t>Streblospio gynobranchiata</w:t>
      </w:r>
      <w:r>
        <w:rPr>
          <w:rFonts w:eastAsia="Times New Roman" w:cs="Times New Roman"/>
          <w:color w:val="000000"/>
        </w:rPr>
        <w:t>. Ultima fiind o specie invazivă în habitatele bentale cu substrat mâlos-nisipos, cu o tendință de lărgire a ariei de distribuție la litoralul românesc (Teacă și colab., 2021). Aceste exemple ne indică că ecosistemul costier este încă fragil și în orice moment poate trece de la o stare bună la una nesatisfăcătoare. </w:t>
      </w:r>
    </w:p>
    <w:p w14:paraId="2E5A12DE" w14:textId="77777777" w:rsidR="00D2719F" w:rsidRDefault="00D2719F" w:rsidP="00D2719F">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Dezvoltarea infrastructurii urbane, industriale, agricole, turistice și de transport din zona costieră reprezintă cauza principală a pierderii biodiversității, ducând la degradarea, distrugerea şi fragmentarea habitatelor şi implicit la declinul populaţiilor naturale. Dezvoltarea urbană necontrolată, însoțită de diminuarea spațiilor verzi, a zonelor naturale și de măsuri insuficiente pentru colectarea şi tratarea corespunzătoare a deşeurilor şi a apelor uzate, de asemenea are efecte negative considerabile asupra biodiversităţii. Pierderi majore de biodiversitate sunt datorate și supraexploatării resurselor naturale, poluării și speciilor alogene invazive. </w:t>
      </w:r>
    </w:p>
    <w:p w14:paraId="50929D79" w14:textId="77777777" w:rsidR="00D2719F" w:rsidRDefault="00D2719F" w:rsidP="00D2719F">
      <w:pPr>
        <w:pBdr>
          <w:top w:val="nil"/>
          <w:left w:val="nil"/>
          <w:bottom w:val="nil"/>
          <w:right w:val="nil"/>
          <w:between w:val="nil"/>
        </w:pBdr>
        <w:spacing w:before="0" w:line="240" w:lineRule="auto"/>
        <w:rPr>
          <w:rFonts w:eastAsia="Times New Roman" w:cs="Times New Roman"/>
          <w:color w:val="000000"/>
        </w:rPr>
      </w:pPr>
      <w:r>
        <w:rPr>
          <w:rFonts w:eastAsia="Times New Roman" w:cs="Times New Roman"/>
          <w:i/>
          <w:color w:val="000000"/>
        </w:rPr>
        <w:t>Arii protejate (marine /terestre) </w:t>
      </w:r>
    </w:p>
    <w:p w14:paraId="23B00818" w14:textId="77777777" w:rsidR="00D2719F" w:rsidRDefault="00D2719F" w:rsidP="00D2719F">
      <w:pPr>
        <w:pBdr>
          <w:top w:val="nil"/>
          <w:left w:val="nil"/>
          <w:bottom w:val="nil"/>
          <w:right w:val="nil"/>
          <w:between w:val="nil"/>
        </w:pBdr>
        <w:spacing w:before="0"/>
        <w:rPr>
          <w:rFonts w:eastAsia="Times New Roman" w:cs="Times New Roman"/>
          <w:color w:val="000000"/>
        </w:rPr>
      </w:pPr>
      <w:r>
        <w:rPr>
          <w:rFonts w:eastAsia="Times New Roman" w:cs="Times New Roman"/>
          <w:color w:val="000000"/>
        </w:rPr>
        <w:lastRenderedPageBreak/>
        <w:t>În zona costieră se găsesc 23 arii protejate incluse în Rețeaua Ecologică NATURA 2000, plus Rezervația Biosferei Delta Dunării care se suprapune în mare măsură cu ROSCI0065 și ROSCI0066. Aceste arii protejate sunt atât arii protejate desemnate ca situri de importanță comunitară, respectiv SCI-uri, cât și arii de importanță avifaunistică, respectiv SPA-uri. În conformitate cu prevederile Ordinului nr. 46/2016 privind instituirea regimului de arie naturală protejată şi declararea siturilor de importanţă comunitară ca parte integrantă a reţelei ecologice europene Natura 2000 în România, rețeaua de arii protejate din zona costieră este constituită din 15 SCI-uri și 8 SPA-uri, dintre care un SPA si 8 SCI-uri. </w:t>
      </w:r>
    </w:p>
    <w:p w14:paraId="22FE5DCD" w14:textId="77777777" w:rsidR="00D2719F" w:rsidRDefault="00D2719F" w:rsidP="00D2719F">
      <w:pPr>
        <w:pBdr>
          <w:top w:val="nil"/>
          <w:left w:val="nil"/>
          <w:bottom w:val="nil"/>
          <w:right w:val="nil"/>
          <w:between w:val="nil"/>
        </w:pBdr>
        <w:ind w:firstLine="540"/>
        <w:rPr>
          <w:rFonts w:eastAsia="Times New Roman" w:cs="Times New Roman"/>
          <w:color w:val="000000"/>
        </w:rPr>
      </w:pPr>
      <w:r>
        <w:rPr>
          <w:rFonts w:eastAsia="Times New Roman" w:cs="Times New Roman"/>
          <w:color w:val="000000"/>
        </w:rPr>
        <w:t>Din cele 23 de arii protejate doar 13 au Plan de Management, iar dintre acestea patru SCI-uri din apele teritoriale marine au Plan de Management elaborat pe limitele vechi. Prin urmare, 44% dintre ariile protejate din zona costieră au nevoie de Planuri de Management. Pe de altă parte, multe dintre ariile cu Plan de Management necesită actualizarea datelor de prezență și stare de conservare.</w:t>
      </w:r>
    </w:p>
    <w:p w14:paraId="13F6D76B" w14:textId="5C4C9970" w:rsidR="00D2719F" w:rsidRPr="00C335F0" w:rsidRDefault="00D2719F" w:rsidP="00D2719F">
      <w:pPr>
        <w:pBdr>
          <w:top w:val="nil"/>
          <w:left w:val="nil"/>
          <w:bottom w:val="nil"/>
          <w:right w:val="nil"/>
          <w:between w:val="nil"/>
        </w:pBdr>
        <w:ind w:firstLine="540"/>
        <w:rPr>
          <w:rFonts w:eastAsia="Times New Roman" w:cs="Times New Roman"/>
          <w:color w:val="000000"/>
        </w:rPr>
      </w:pPr>
      <w:r w:rsidRPr="00D2719F">
        <w:rPr>
          <w:rFonts w:eastAsia="Times New Roman" w:cs="Times New Roman"/>
          <w:color w:val="000000"/>
        </w:rPr>
        <w:t>SCI-urile din zona costieră se suprapun parțial cu SPA-urile, ocupând o suprafață totală de 12.986,88 km</w:t>
      </w:r>
      <w:r w:rsidRPr="00D2719F">
        <w:rPr>
          <w:rFonts w:eastAsia="Times New Roman" w:cs="Times New Roman"/>
          <w:color w:val="000000"/>
          <w:vertAlign w:val="superscript"/>
        </w:rPr>
        <w:t>2</w:t>
      </w:r>
      <w:r w:rsidRPr="00D2719F">
        <w:rPr>
          <w:rFonts w:eastAsia="Times New Roman" w:cs="Times New Roman"/>
          <w:color w:val="000000"/>
        </w:rPr>
        <w:t xml:space="preserve">, dintre care SPA-urile reprezintă 51,17 %, iar SCI-urile 48,83 %. În apele teritoriale marine cele 8 SCI-uri ocupă 80,21 % din suprafața totală, evidențiind importanța zonei costiere din punct de vedere a biodiversității ridicate, dar și a varietății habitatelor bentale marine. O diversitate ridicată întâlnim și în zona terestră unde avem 7 SCI-uri și 7 SPA-uri, ce ocupă o suprafață totală de 7910,49 km2 (Tabel </w:t>
      </w:r>
      <w:r>
        <w:rPr>
          <w:rFonts w:eastAsia="Times New Roman" w:cs="Times New Roman"/>
          <w:color w:val="000000"/>
        </w:rPr>
        <w:t>2.</w:t>
      </w:r>
      <w:r w:rsidRPr="00D2719F">
        <w:rPr>
          <w:rFonts w:eastAsia="Times New Roman" w:cs="Times New Roman"/>
          <w:color w:val="000000"/>
        </w:rPr>
        <w:t xml:space="preserve">4.3.1, Figurile </w:t>
      </w:r>
      <w:r>
        <w:rPr>
          <w:rFonts w:eastAsia="Times New Roman" w:cs="Times New Roman"/>
          <w:color w:val="000000"/>
        </w:rPr>
        <w:t>2.</w:t>
      </w:r>
      <w:r w:rsidRPr="00D2719F">
        <w:rPr>
          <w:rFonts w:eastAsia="Times New Roman" w:cs="Times New Roman"/>
          <w:color w:val="000000"/>
        </w:rPr>
        <w:t xml:space="preserve">4.3.1 și </w:t>
      </w:r>
      <w:r>
        <w:rPr>
          <w:rFonts w:eastAsia="Times New Roman" w:cs="Times New Roman"/>
          <w:color w:val="000000"/>
        </w:rPr>
        <w:t>2.</w:t>
      </w:r>
      <w:r w:rsidRPr="00D2719F">
        <w:rPr>
          <w:rFonts w:eastAsia="Times New Roman" w:cs="Times New Roman"/>
          <w:color w:val="000000"/>
        </w:rPr>
        <w:t>4.3.2).</w:t>
      </w:r>
    </w:p>
    <w:p w14:paraId="12DA64CF" w14:textId="77777777" w:rsidR="00D2719F" w:rsidRDefault="00D2719F" w:rsidP="003B5B5D">
      <w:pPr>
        <w:rPr>
          <w:lang w:val="ro-RO" w:eastAsia="en-GB"/>
        </w:rPr>
      </w:pPr>
    </w:p>
    <w:p w14:paraId="62E055F8" w14:textId="0AB19661" w:rsidR="003B5B5D" w:rsidRDefault="00D2719F" w:rsidP="00D2719F">
      <w:pPr>
        <w:jc w:val="center"/>
        <w:rPr>
          <w:b/>
          <w:lang w:val="ro-RO" w:eastAsia="en-GB"/>
        </w:rPr>
      </w:pPr>
      <w:r w:rsidRPr="00D2719F">
        <w:rPr>
          <w:b/>
          <w:lang w:val="ro-RO" w:eastAsia="en-GB"/>
        </w:rPr>
        <w:t>Tabel 2.4.3.1 Ariile protejate din zona costieră românească (* - arii protejate cu Plan de management)</w:t>
      </w:r>
    </w:p>
    <w:tbl>
      <w:tblPr>
        <w:tblW w:w="9006" w:type="dxa"/>
        <w:tblLayout w:type="fixed"/>
        <w:tblLook w:val="0400" w:firstRow="0" w:lastRow="0" w:firstColumn="0" w:lastColumn="0" w:noHBand="0" w:noVBand="1"/>
      </w:tblPr>
      <w:tblGrid>
        <w:gridCol w:w="5592"/>
        <w:gridCol w:w="3414"/>
      </w:tblGrid>
      <w:tr w:rsidR="00D2719F" w14:paraId="026A5607" w14:textId="77777777" w:rsidTr="00C90B98">
        <w:tc>
          <w:tcPr>
            <w:tcW w:w="5592" w:type="dxa"/>
            <w:tcBorders>
              <w:top w:val="single" w:sz="8" w:space="0" w:color="000000"/>
              <w:left w:val="single" w:sz="8" w:space="0" w:color="000000"/>
              <w:bottom w:val="single" w:sz="8" w:space="0" w:color="000000"/>
              <w:right w:val="single" w:sz="8" w:space="0" w:color="000000"/>
            </w:tcBorders>
            <w:shd w:val="clear" w:color="auto" w:fill="F7CAAC"/>
            <w:tcMar>
              <w:top w:w="100" w:type="dxa"/>
              <w:left w:w="100" w:type="dxa"/>
              <w:bottom w:w="100" w:type="dxa"/>
              <w:right w:w="100" w:type="dxa"/>
            </w:tcMar>
            <w:vAlign w:val="center"/>
          </w:tcPr>
          <w:p w14:paraId="10DB6101" w14:textId="77777777" w:rsidR="00D2719F" w:rsidRDefault="00D2719F" w:rsidP="00C90B98">
            <w:pPr>
              <w:spacing w:after="0"/>
              <w:rPr>
                <w:rFonts w:eastAsia="Times New Roman" w:cs="Times New Roman"/>
                <w:sz w:val="20"/>
                <w:szCs w:val="20"/>
              </w:rPr>
            </w:pPr>
            <w:r>
              <w:rPr>
                <w:rFonts w:eastAsia="Times New Roman" w:cs="Times New Roman"/>
                <w:b/>
                <w:color w:val="000000"/>
                <w:sz w:val="20"/>
                <w:szCs w:val="20"/>
              </w:rPr>
              <w:t>Arie protejată</w:t>
            </w:r>
          </w:p>
        </w:tc>
        <w:tc>
          <w:tcPr>
            <w:tcW w:w="3414" w:type="dxa"/>
            <w:tcBorders>
              <w:top w:val="single" w:sz="8" w:space="0" w:color="000000"/>
              <w:left w:val="single" w:sz="8" w:space="0" w:color="000000"/>
              <w:bottom w:val="single" w:sz="8" w:space="0" w:color="000000"/>
              <w:right w:val="single" w:sz="8" w:space="0" w:color="000000"/>
            </w:tcBorders>
            <w:shd w:val="clear" w:color="auto" w:fill="F7CAAC"/>
            <w:tcMar>
              <w:top w:w="100" w:type="dxa"/>
              <w:left w:w="100" w:type="dxa"/>
              <w:bottom w:w="100" w:type="dxa"/>
              <w:right w:w="100" w:type="dxa"/>
            </w:tcMar>
          </w:tcPr>
          <w:p w14:paraId="4B252E97" w14:textId="77777777" w:rsidR="00D2719F" w:rsidRDefault="00D2719F" w:rsidP="00D2719F">
            <w:pPr>
              <w:spacing w:after="0"/>
              <w:ind w:firstLine="0"/>
              <w:rPr>
                <w:rFonts w:eastAsia="Times New Roman" w:cs="Times New Roman"/>
                <w:sz w:val="20"/>
                <w:szCs w:val="20"/>
              </w:rPr>
            </w:pPr>
            <w:r>
              <w:rPr>
                <w:rFonts w:eastAsia="Times New Roman" w:cs="Times New Roman"/>
                <w:b/>
                <w:color w:val="000000"/>
                <w:sz w:val="20"/>
                <w:szCs w:val="20"/>
              </w:rPr>
              <w:t>Suprafață SCI (km</w:t>
            </w:r>
            <w:r>
              <w:rPr>
                <w:rFonts w:eastAsia="Times New Roman" w:cs="Times New Roman"/>
                <w:b/>
                <w:color w:val="000000"/>
                <w:sz w:val="20"/>
                <w:szCs w:val="20"/>
                <w:vertAlign w:val="superscript"/>
              </w:rPr>
              <w:t>2</w:t>
            </w:r>
            <w:r>
              <w:rPr>
                <w:rFonts w:eastAsia="Times New Roman" w:cs="Times New Roman"/>
                <w:b/>
                <w:color w:val="000000"/>
                <w:sz w:val="20"/>
                <w:szCs w:val="20"/>
              </w:rPr>
              <w:t>) în zona costieră;</w:t>
            </w:r>
          </w:p>
          <w:p w14:paraId="6C793EC7" w14:textId="77777777" w:rsidR="00D2719F" w:rsidRDefault="00D2719F" w:rsidP="00D2719F">
            <w:pPr>
              <w:spacing w:after="0"/>
              <w:ind w:firstLine="0"/>
              <w:rPr>
                <w:rFonts w:eastAsia="Times New Roman" w:cs="Times New Roman"/>
                <w:sz w:val="20"/>
                <w:szCs w:val="20"/>
              </w:rPr>
            </w:pPr>
            <w:r>
              <w:rPr>
                <w:rFonts w:eastAsia="Times New Roman" w:cs="Times New Roman"/>
                <w:b/>
                <w:color w:val="000000"/>
                <w:sz w:val="20"/>
                <w:szCs w:val="20"/>
              </w:rPr>
              <w:t>% din suprafața totală a AP</w:t>
            </w:r>
          </w:p>
        </w:tc>
      </w:tr>
      <w:tr w:rsidR="00D2719F" w14:paraId="095CE4F2" w14:textId="77777777" w:rsidTr="00C90B98">
        <w:trPr>
          <w:trHeight w:val="273"/>
        </w:trPr>
        <w:tc>
          <w:tcPr>
            <w:tcW w:w="9006" w:type="dxa"/>
            <w:gridSpan w:val="2"/>
            <w:tcBorders>
              <w:top w:val="single" w:sz="8" w:space="0" w:color="000000"/>
              <w:left w:val="single" w:sz="8" w:space="0" w:color="000000"/>
              <w:bottom w:val="single" w:sz="8" w:space="0" w:color="000000"/>
              <w:right w:val="single" w:sz="8" w:space="0" w:color="000000"/>
            </w:tcBorders>
            <w:shd w:val="clear" w:color="auto" w:fill="DBDBDB"/>
            <w:tcMar>
              <w:top w:w="100" w:type="dxa"/>
              <w:left w:w="100" w:type="dxa"/>
              <w:bottom w:w="100" w:type="dxa"/>
              <w:right w:w="100" w:type="dxa"/>
            </w:tcMar>
          </w:tcPr>
          <w:p w14:paraId="4472F63A" w14:textId="77777777" w:rsidR="00D2719F" w:rsidRDefault="00D2719F" w:rsidP="00C90B98">
            <w:pPr>
              <w:spacing w:after="0"/>
              <w:rPr>
                <w:rFonts w:eastAsia="Times New Roman" w:cs="Times New Roman"/>
                <w:sz w:val="20"/>
                <w:szCs w:val="20"/>
              </w:rPr>
            </w:pPr>
            <w:r>
              <w:rPr>
                <w:rFonts w:eastAsia="Times New Roman" w:cs="Times New Roman"/>
                <w:b/>
                <w:color w:val="000000"/>
                <w:sz w:val="20"/>
                <w:szCs w:val="20"/>
              </w:rPr>
              <w:t>Arii marine protejate</w:t>
            </w:r>
          </w:p>
        </w:tc>
      </w:tr>
      <w:tr w:rsidR="00D2719F" w14:paraId="0EA331D7" w14:textId="77777777" w:rsidTr="00C90B98">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C7C22C" w14:textId="77777777" w:rsidR="00D2719F" w:rsidRDefault="00D2719F" w:rsidP="00D2719F">
            <w:pPr>
              <w:spacing w:after="0"/>
              <w:ind w:firstLine="0"/>
              <w:rPr>
                <w:rFonts w:eastAsia="Times New Roman" w:cs="Times New Roman"/>
                <w:sz w:val="20"/>
                <w:szCs w:val="20"/>
              </w:rPr>
            </w:pPr>
            <w:r>
              <w:rPr>
                <w:rFonts w:eastAsia="Times New Roman" w:cs="Times New Roman"/>
                <w:color w:val="000000"/>
                <w:sz w:val="20"/>
                <w:szCs w:val="20"/>
              </w:rPr>
              <w:t>*ROSCI0066 Rezervaţia Biosferei Delta Dunării - zona marină </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70FCE8" w14:textId="77777777" w:rsidR="00D2719F" w:rsidRDefault="00D2719F" w:rsidP="00C90B98">
            <w:pPr>
              <w:spacing w:after="0"/>
              <w:rPr>
                <w:rFonts w:eastAsia="Times New Roman" w:cs="Times New Roman"/>
                <w:sz w:val="20"/>
                <w:szCs w:val="20"/>
              </w:rPr>
            </w:pPr>
            <w:r>
              <w:rPr>
                <w:rFonts w:eastAsia="Times New Roman" w:cs="Times New Roman"/>
                <w:color w:val="000000"/>
                <w:sz w:val="20"/>
                <w:szCs w:val="20"/>
              </w:rPr>
              <w:t>2914,28 (86,68%)</w:t>
            </w:r>
          </w:p>
        </w:tc>
      </w:tr>
      <w:tr w:rsidR="00D2719F" w14:paraId="17868B18" w14:textId="77777777" w:rsidTr="00C90B98">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BBCB9D" w14:textId="77777777" w:rsidR="00D2719F" w:rsidRDefault="00D2719F" w:rsidP="00D2719F">
            <w:pPr>
              <w:spacing w:after="0"/>
              <w:ind w:firstLine="0"/>
              <w:rPr>
                <w:rFonts w:eastAsia="Times New Roman" w:cs="Times New Roman"/>
                <w:sz w:val="20"/>
                <w:szCs w:val="20"/>
              </w:rPr>
            </w:pPr>
            <w:r>
              <w:rPr>
                <w:rFonts w:eastAsia="Times New Roman" w:cs="Times New Roman"/>
                <w:color w:val="000000"/>
                <w:sz w:val="20"/>
                <w:szCs w:val="20"/>
              </w:rPr>
              <w:t xml:space="preserve">ROSCI0413 Lobul sudic al Câmpului de </w:t>
            </w:r>
            <w:r>
              <w:rPr>
                <w:rFonts w:eastAsia="Times New Roman" w:cs="Times New Roman"/>
                <w:i/>
                <w:color w:val="000000"/>
                <w:sz w:val="20"/>
                <w:szCs w:val="20"/>
              </w:rPr>
              <w:t xml:space="preserve">Phyllophora </w:t>
            </w:r>
            <w:r>
              <w:rPr>
                <w:rFonts w:eastAsia="Times New Roman" w:cs="Times New Roman"/>
                <w:color w:val="000000"/>
                <w:sz w:val="20"/>
                <w:szCs w:val="20"/>
              </w:rPr>
              <w:t>al lui Zernov</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7F1CF4" w14:textId="77777777" w:rsidR="00D2719F" w:rsidRDefault="00D2719F" w:rsidP="00C90B98">
            <w:pPr>
              <w:spacing w:after="0"/>
              <w:rPr>
                <w:rFonts w:eastAsia="Times New Roman" w:cs="Times New Roman"/>
                <w:sz w:val="20"/>
                <w:szCs w:val="20"/>
              </w:rPr>
            </w:pPr>
            <w:r>
              <w:rPr>
                <w:rFonts w:eastAsia="Times New Roman" w:cs="Times New Roman"/>
                <w:color w:val="000000"/>
                <w:sz w:val="20"/>
                <w:szCs w:val="20"/>
              </w:rPr>
              <w:t>212,91 (11,40%)</w:t>
            </w:r>
          </w:p>
        </w:tc>
      </w:tr>
      <w:tr w:rsidR="00D2719F" w14:paraId="476FA52F" w14:textId="77777777" w:rsidTr="00C90B98">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92D204" w14:textId="77777777" w:rsidR="00D2719F" w:rsidRDefault="00D2719F" w:rsidP="00D2719F">
            <w:pPr>
              <w:spacing w:after="0"/>
              <w:ind w:firstLine="0"/>
              <w:rPr>
                <w:rFonts w:eastAsia="Times New Roman" w:cs="Times New Roman"/>
                <w:sz w:val="20"/>
                <w:szCs w:val="20"/>
              </w:rPr>
            </w:pPr>
            <w:r>
              <w:rPr>
                <w:rFonts w:eastAsia="Times New Roman" w:cs="Times New Roman"/>
                <w:color w:val="000000"/>
                <w:sz w:val="20"/>
                <w:szCs w:val="20"/>
              </w:rPr>
              <w:t>*ROSCI0197 Plaja submersă Eforie Nord - Eforie Sud </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8FA311" w14:textId="77777777" w:rsidR="00D2719F" w:rsidRDefault="00D2719F" w:rsidP="00C90B98">
            <w:pPr>
              <w:spacing w:after="0"/>
              <w:rPr>
                <w:rFonts w:eastAsia="Times New Roman" w:cs="Times New Roman"/>
                <w:sz w:val="20"/>
                <w:szCs w:val="20"/>
              </w:rPr>
            </w:pPr>
            <w:r>
              <w:rPr>
                <w:rFonts w:eastAsia="Times New Roman" w:cs="Times New Roman"/>
                <w:color w:val="000000"/>
                <w:sz w:val="20"/>
                <w:szCs w:val="20"/>
              </w:rPr>
              <w:t>57,07 (100%)</w:t>
            </w:r>
          </w:p>
        </w:tc>
      </w:tr>
      <w:tr w:rsidR="00D2719F" w14:paraId="6FD092C7" w14:textId="77777777" w:rsidTr="00C90B98">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20C608" w14:textId="77777777" w:rsidR="00D2719F" w:rsidRDefault="00D2719F" w:rsidP="00D2719F">
            <w:pPr>
              <w:spacing w:after="0"/>
              <w:ind w:firstLine="0"/>
              <w:rPr>
                <w:rFonts w:eastAsia="Times New Roman" w:cs="Times New Roman"/>
                <w:sz w:val="20"/>
                <w:szCs w:val="20"/>
              </w:rPr>
            </w:pPr>
            <w:r>
              <w:rPr>
                <w:rFonts w:eastAsia="Times New Roman" w:cs="Times New Roman"/>
                <w:color w:val="000000"/>
                <w:sz w:val="20"/>
                <w:szCs w:val="20"/>
              </w:rPr>
              <w:t>*ROSCI0273 Zona marină de la Capul Tuzla</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59DF1A" w14:textId="77777777" w:rsidR="00D2719F" w:rsidRDefault="00D2719F" w:rsidP="00C90B98">
            <w:pPr>
              <w:spacing w:after="0"/>
              <w:rPr>
                <w:rFonts w:eastAsia="Times New Roman" w:cs="Times New Roman"/>
                <w:sz w:val="20"/>
                <w:szCs w:val="20"/>
              </w:rPr>
            </w:pPr>
            <w:r>
              <w:rPr>
                <w:rFonts w:eastAsia="Times New Roman" w:cs="Times New Roman"/>
                <w:color w:val="000000"/>
                <w:sz w:val="20"/>
                <w:szCs w:val="20"/>
              </w:rPr>
              <w:t>49,39 (100%)</w:t>
            </w:r>
          </w:p>
        </w:tc>
      </w:tr>
      <w:tr w:rsidR="00D2719F" w14:paraId="01F11A8F" w14:textId="77777777" w:rsidTr="00C90B98">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9BCE30" w14:textId="77777777" w:rsidR="00D2719F" w:rsidRDefault="00D2719F" w:rsidP="00D2719F">
            <w:pPr>
              <w:spacing w:after="0"/>
              <w:ind w:firstLine="0"/>
              <w:rPr>
                <w:rFonts w:eastAsia="Times New Roman" w:cs="Times New Roman"/>
                <w:sz w:val="20"/>
                <w:szCs w:val="20"/>
              </w:rPr>
            </w:pPr>
            <w:r>
              <w:rPr>
                <w:rFonts w:eastAsia="Times New Roman" w:cs="Times New Roman"/>
                <w:color w:val="000000"/>
                <w:sz w:val="20"/>
                <w:szCs w:val="20"/>
              </w:rPr>
              <w:t>ROSCI0281 Cap Aurora</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41CA0D" w14:textId="77777777" w:rsidR="00D2719F" w:rsidRDefault="00D2719F" w:rsidP="00C90B98">
            <w:pPr>
              <w:spacing w:after="0"/>
              <w:rPr>
                <w:rFonts w:eastAsia="Times New Roman" w:cs="Times New Roman"/>
                <w:sz w:val="20"/>
                <w:szCs w:val="20"/>
              </w:rPr>
            </w:pPr>
            <w:r>
              <w:rPr>
                <w:rFonts w:eastAsia="Times New Roman" w:cs="Times New Roman"/>
                <w:color w:val="000000"/>
                <w:sz w:val="20"/>
                <w:szCs w:val="20"/>
              </w:rPr>
              <w:t>135,68 (100%) </w:t>
            </w:r>
          </w:p>
        </w:tc>
      </w:tr>
      <w:tr w:rsidR="00D2719F" w14:paraId="7C5C1546" w14:textId="77777777" w:rsidTr="00C90B98">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949E84" w14:textId="77777777" w:rsidR="00D2719F" w:rsidRDefault="00D2719F" w:rsidP="00D2719F">
            <w:pPr>
              <w:spacing w:after="0"/>
              <w:ind w:firstLine="0"/>
              <w:rPr>
                <w:rFonts w:eastAsia="Times New Roman" w:cs="Times New Roman"/>
                <w:sz w:val="20"/>
                <w:szCs w:val="20"/>
              </w:rPr>
            </w:pPr>
            <w:r>
              <w:rPr>
                <w:rFonts w:eastAsia="Times New Roman" w:cs="Times New Roman"/>
                <w:color w:val="000000"/>
                <w:sz w:val="20"/>
                <w:szCs w:val="20"/>
              </w:rPr>
              <w:t>ROSCI0293 Costineşti - 23 August</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91FB21" w14:textId="77777777" w:rsidR="00D2719F" w:rsidRDefault="00D2719F" w:rsidP="00C90B98">
            <w:pPr>
              <w:spacing w:after="0"/>
              <w:rPr>
                <w:rFonts w:eastAsia="Times New Roman" w:cs="Times New Roman"/>
                <w:sz w:val="20"/>
                <w:szCs w:val="20"/>
              </w:rPr>
            </w:pPr>
            <w:r>
              <w:rPr>
                <w:rFonts w:eastAsia="Times New Roman" w:cs="Times New Roman"/>
                <w:color w:val="000000"/>
                <w:sz w:val="20"/>
                <w:szCs w:val="20"/>
              </w:rPr>
              <w:t>48,75 (100%)</w:t>
            </w:r>
          </w:p>
        </w:tc>
      </w:tr>
      <w:tr w:rsidR="00D2719F" w14:paraId="58E83943" w14:textId="77777777" w:rsidTr="00C90B98">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A91B08" w14:textId="77777777" w:rsidR="00D2719F" w:rsidRDefault="00D2719F" w:rsidP="00D2719F">
            <w:pPr>
              <w:spacing w:after="0"/>
              <w:ind w:firstLine="0"/>
              <w:rPr>
                <w:rFonts w:eastAsia="Times New Roman" w:cs="Times New Roman"/>
                <w:sz w:val="20"/>
                <w:szCs w:val="20"/>
              </w:rPr>
            </w:pPr>
            <w:r>
              <w:rPr>
                <w:rFonts w:eastAsia="Times New Roman" w:cs="Times New Roman"/>
                <w:color w:val="000000"/>
                <w:sz w:val="20"/>
                <w:szCs w:val="20"/>
              </w:rPr>
              <w:t>*ROSCI0094 Izvoarele sulfuroase submarine de la Mangalia</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7F04CF" w14:textId="77777777" w:rsidR="00D2719F" w:rsidRDefault="00D2719F" w:rsidP="00C90B98">
            <w:pPr>
              <w:spacing w:after="0"/>
              <w:rPr>
                <w:rFonts w:eastAsia="Times New Roman" w:cs="Times New Roman"/>
                <w:sz w:val="20"/>
                <w:szCs w:val="20"/>
              </w:rPr>
            </w:pPr>
            <w:r>
              <w:rPr>
                <w:rFonts w:eastAsia="Times New Roman" w:cs="Times New Roman"/>
                <w:color w:val="000000"/>
                <w:sz w:val="20"/>
                <w:szCs w:val="20"/>
              </w:rPr>
              <w:t>57,73 (100%)</w:t>
            </w:r>
          </w:p>
        </w:tc>
      </w:tr>
      <w:tr w:rsidR="00D2719F" w14:paraId="0E48E50C" w14:textId="77777777" w:rsidTr="00C90B98">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E9A4CB" w14:textId="77777777" w:rsidR="00D2719F" w:rsidRDefault="00D2719F" w:rsidP="00D2719F">
            <w:pPr>
              <w:spacing w:after="0"/>
              <w:ind w:firstLine="0"/>
              <w:rPr>
                <w:rFonts w:eastAsia="Times New Roman" w:cs="Times New Roman"/>
                <w:sz w:val="20"/>
                <w:szCs w:val="20"/>
              </w:rPr>
            </w:pPr>
            <w:r>
              <w:rPr>
                <w:rFonts w:eastAsia="Times New Roman" w:cs="Times New Roman"/>
                <w:color w:val="000000"/>
                <w:sz w:val="20"/>
                <w:szCs w:val="20"/>
              </w:rPr>
              <w:lastRenderedPageBreak/>
              <w:t>*ROSCI0269 Vama Veche - 2 Mai</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63D757" w14:textId="77777777" w:rsidR="00D2719F" w:rsidRDefault="00D2719F" w:rsidP="00C90B98">
            <w:pPr>
              <w:spacing w:after="0"/>
              <w:rPr>
                <w:rFonts w:eastAsia="Times New Roman" w:cs="Times New Roman"/>
                <w:sz w:val="20"/>
                <w:szCs w:val="20"/>
              </w:rPr>
            </w:pPr>
            <w:r>
              <w:rPr>
                <w:rFonts w:eastAsia="Times New Roman" w:cs="Times New Roman"/>
                <w:color w:val="000000"/>
                <w:sz w:val="20"/>
                <w:szCs w:val="20"/>
              </w:rPr>
              <w:t>123,11 (100%)</w:t>
            </w:r>
          </w:p>
        </w:tc>
      </w:tr>
      <w:tr w:rsidR="00D2719F" w14:paraId="564B0F16" w14:textId="77777777" w:rsidTr="00C90B98">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87B8EE" w14:textId="77777777" w:rsidR="00D2719F" w:rsidRDefault="00D2719F" w:rsidP="00D2719F">
            <w:pPr>
              <w:spacing w:after="0"/>
              <w:ind w:firstLine="0"/>
              <w:rPr>
                <w:rFonts w:eastAsia="Times New Roman" w:cs="Times New Roman"/>
                <w:sz w:val="20"/>
                <w:szCs w:val="20"/>
              </w:rPr>
            </w:pPr>
            <w:r>
              <w:rPr>
                <w:rFonts w:eastAsia="Times New Roman" w:cs="Times New Roman"/>
                <w:color w:val="000000"/>
                <w:sz w:val="20"/>
                <w:szCs w:val="20"/>
              </w:rPr>
              <w:t>*ROSPA0076 Marea Neagră</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CE4572" w14:textId="77777777" w:rsidR="00D2719F" w:rsidRDefault="00D2719F" w:rsidP="00C90B98">
            <w:pPr>
              <w:spacing w:after="0"/>
              <w:rPr>
                <w:rFonts w:eastAsia="Times New Roman" w:cs="Times New Roman"/>
                <w:sz w:val="20"/>
                <w:szCs w:val="20"/>
              </w:rPr>
            </w:pPr>
            <w:r>
              <w:rPr>
                <w:rFonts w:eastAsia="Times New Roman" w:cs="Times New Roman"/>
                <w:color w:val="000000"/>
                <w:sz w:val="20"/>
                <w:szCs w:val="20"/>
              </w:rPr>
              <w:t>1477,47 (100%)</w:t>
            </w:r>
          </w:p>
        </w:tc>
      </w:tr>
      <w:tr w:rsidR="00D2719F" w14:paraId="35DF8322" w14:textId="77777777" w:rsidTr="00C90B98">
        <w:trPr>
          <w:trHeight w:val="440"/>
        </w:trPr>
        <w:tc>
          <w:tcPr>
            <w:tcW w:w="9006"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8EB5C2" w14:textId="77777777" w:rsidR="00D2719F" w:rsidRDefault="00D2719F" w:rsidP="00C90B98">
            <w:pPr>
              <w:spacing w:after="0"/>
              <w:rPr>
                <w:rFonts w:eastAsia="Times New Roman" w:cs="Times New Roman"/>
                <w:sz w:val="20"/>
                <w:szCs w:val="20"/>
              </w:rPr>
            </w:pPr>
            <w:r>
              <w:rPr>
                <w:rFonts w:eastAsia="Times New Roman" w:cs="Times New Roman"/>
                <w:b/>
                <w:color w:val="000000"/>
                <w:sz w:val="20"/>
                <w:szCs w:val="20"/>
              </w:rPr>
              <w:t>Arii terestre protejate</w:t>
            </w:r>
          </w:p>
        </w:tc>
      </w:tr>
      <w:tr w:rsidR="00D2719F" w14:paraId="07E18407" w14:textId="77777777" w:rsidTr="00D2719F">
        <w:trPr>
          <w:trHeight w:val="351"/>
        </w:trPr>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B676E8" w14:textId="77777777" w:rsidR="00D2719F" w:rsidRDefault="00D2719F" w:rsidP="00D2719F">
            <w:pPr>
              <w:spacing w:after="0"/>
              <w:ind w:firstLine="0"/>
              <w:rPr>
                <w:rFonts w:eastAsia="Times New Roman" w:cs="Times New Roman"/>
                <w:sz w:val="20"/>
                <w:szCs w:val="20"/>
              </w:rPr>
            </w:pPr>
            <w:r>
              <w:rPr>
                <w:rFonts w:eastAsia="Times New Roman" w:cs="Times New Roman"/>
                <w:color w:val="000000"/>
                <w:sz w:val="20"/>
                <w:szCs w:val="20"/>
              </w:rPr>
              <w:t>*ROSCI0065 Delta Dunării</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FC8E08" w14:textId="77777777" w:rsidR="00D2719F" w:rsidRDefault="00D2719F" w:rsidP="00C90B98">
            <w:pPr>
              <w:spacing w:after="0"/>
              <w:rPr>
                <w:rFonts w:eastAsia="Times New Roman" w:cs="Times New Roman"/>
                <w:sz w:val="20"/>
                <w:szCs w:val="20"/>
              </w:rPr>
            </w:pPr>
            <w:r>
              <w:rPr>
                <w:rFonts w:eastAsia="Times New Roman" w:cs="Times New Roman"/>
                <w:color w:val="000000"/>
                <w:sz w:val="20"/>
                <w:szCs w:val="20"/>
              </w:rPr>
              <w:t>2720,76 (59,98%)</w:t>
            </w:r>
          </w:p>
        </w:tc>
      </w:tr>
      <w:tr w:rsidR="00D2719F" w14:paraId="13EF2E46" w14:textId="77777777" w:rsidTr="00C90B98">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92C014" w14:textId="77777777" w:rsidR="00D2719F" w:rsidRDefault="00D2719F" w:rsidP="00D2719F">
            <w:pPr>
              <w:spacing w:after="0"/>
              <w:ind w:firstLine="0"/>
              <w:rPr>
                <w:rFonts w:eastAsia="Times New Roman" w:cs="Times New Roman"/>
                <w:sz w:val="20"/>
                <w:szCs w:val="20"/>
              </w:rPr>
            </w:pPr>
            <w:r>
              <w:rPr>
                <w:rFonts w:eastAsia="Times New Roman" w:cs="Times New Roman"/>
                <w:color w:val="000000"/>
                <w:sz w:val="20"/>
                <w:szCs w:val="20"/>
              </w:rPr>
              <w:t>ROSCI0114 Mlaștina Hergheliei - Obanul Mare și Peștera Movilei</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DFC0AB" w14:textId="77777777" w:rsidR="00D2719F" w:rsidRDefault="00D2719F" w:rsidP="00C90B98">
            <w:pPr>
              <w:spacing w:after="0"/>
              <w:rPr>
                <w:rFonts w:eastAsia="Times New Roman" w:cs="Times New Roman"/>
                <w:sz w:val="20"/>
                <w:szCs w:val="20"/>
              </w:rPr>
            </w:pPr>
            <w:r>
              <w:rPr>
                <w:rFonts w:eastAsia="Times New Roman" w:cs="Times New Roman"/>
                <w:color w:val="000000"/>
                <w:sz w:val="20"/>
                <w:szCs w:val="20"/>
              </w:rPr>
              <w:t>2,31 (99,70%)</w:t>
            </w:r>
          </w:p>
        </w:tc>
      </w:tr>
      <w:tr w:rsidR="00D2719F" w14:paraId="6A62ADC5" w14:textId="77777777" w:rsidTr="00C90B98">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CEF836" w14:textId="77777777" w:rsidR="00D2719F" w:rsidRDefault="00D2719F" w:rsidP="00D2719F">
            <w:pPr>
              <w:spacing w:after="0"/>
              <w:ind w:firstLine="0"/>
              <w:rPr>
                <w:rFonts w:eastAsia="Times New Roman" w:cs="Times New Roman"/>
                <w:sz w:val="20"/>
                <w:szCs w:val="20"/>
              </w:rPr>
            </w:pPr>
            <w:r>
              <w:rPr>
                <w:rFonts w:eastAsia="Times New Roman" w:cs="Times New Roman"/>
                <w:color w:val="000000"/>
                <w:sz w:val="20"/>
                <w:szCs w:val="20"/>
              </w:rPr>
              <w:t>*ROSCI0157 Pădurea Hagieni - Cotul Văii</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152613" w14:textId="77777777" w:rsidR="00D2719F" w:rsidRDefault="00D2719F" w:rsidP="00C90B98">
            <w:pPr>
              <w:spacing w:after="0"/>
              <w:rPr>
                <w:rFonts w:eastAsia="Times New Roman" w:cs="Times New Roman"/>
                <w:sz w:val="20"/>
                <w:szCs w:val="20"/>
              </w:rPr>
            </w:pPr>
            <w:r>
              <w:rPr>
                <w:rFonts w:eastAsia="Times New Roman" w:cs="Times New Roman"/>
                <w:color w:val="000000"/>
                <w:sz w:val="20"/>
                <w:szCs w:val="20"/>
              </w:rPr>
              <w:t>11,24 (30,54%)</w:t>
            </w:r>
          </w:p>
        </w:tc>
      </w:tr>
      <w:tr w:rsidR="00D2719F" w14:paraId="2170792D" w14:textId="77777777" w:rsidTr="00C90B98">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B15CF8" w14:textId="77777777" w:rsidR="00D2719F" w:rsidRDefault="00D2719F" w:rsidP="00D2719F">
            <w:pPr>
              <w:spacing w:after="0"/>
              <w:ind w:firstLine="0"/>
              <w:rPr>
                <w:rFonts w:eastAsia="Times New Roman" w:cs="Times New Roman"/>
                <w:sz w:val="20"/>
                <w:szCs w:val="20"/>
              </w:rPr>
            </w:pPr>
            <w:r>
              <w:rPr>
                <w:rFonts w:eastAsia="Times New Roman" w:cs="Times New Roman"/>
                <w:color w:val="000000"/>
                <w:sz w:val="20"/>
                <w:szCs w:val="20"/>
              </w:rPr>
              <w:t>*ROSCI0073 Dunele marine de la Agigea</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488058" w14:textId="77777777" w:rsidR="00D2719F" w:rsidRDefault="00D2719F" w:rsidP="00C90B98">
            <w:pPr>
              <w:spacing w:after="0"/>
              <w:rPr>
                <w:rFonts w:eastAsia="Times New Roman" w:cs="Times New Roman"/>
                <w:sz w:val="20"/>
                <w:szCs w:val="20"/>
              </w:rPr>
            </w:pPr>
            <w:r>
              <w:rPr>
                <w:rFonts w:eastAsia="Times New Roman" w:cs="Times New Roman"/>
                <w:color w:val="000000"/>
                <w:sz w:val="20"/>
                <w:szCs w:val="20"/>
              </w:rPr>
              <w:t>0,12 (100%)</w:t>
            </w:r>
          </w:p>
        </w:tc>
      </w:tr>
      <w:tr w:rsidR="00D2719F" w14:paraId="567917B4" w14:textId="77777777" w:rsidTr="00C90B98">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E57894" w14:textId="77777777" w:rsidR="00D2719F" w:rsidRDefault="00D2719F" w:rsidP="00D2719F">
            <w:pPr>
              <w:spacing w:after="0"/>
              <w:ind w:firstLine="0"/>
              <w:rPr>
                <w:rFonts w:eastAsia="Times New Roman" w:cs="Times New Roman"/>
                <w:sz w:val="20"/>
                <w:szCs w:val="20"/>
              </w:rPr>
            </w:pPr>
            <w:r>
              <w:rPr>
                <w:rFonts w:eastAsia="Times New Roman" w:cs="Times New Roman"/>
                <w:color w:val="000000"/>
                <w:sz w:val="20"/>
                <w:szCs w:val="20"/>
              </w:rPr>
              <w:t>ROSCI0191 Peștera Limanu</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4FBFAC" w14:textId="77777777" w:rsidR="00D2719F" w:rsidRDefault="00D2719F" w:rsidP="00C90B98">
            <w:pPr>
              <w:spacing w:after="0"/>
              <w:rPr>
                <w:rFonts w:eastAsia="Times New Roman" w:cs="Times New Roman"/>
                <w:sz w:val="20"/>
                <w:szCs w:val="20"/>
              </w:rPr>
            </w:pPr>
            <w:r>
              <w:rPr>
                <w:rFonts w:eastAsia="Times New Roman" w:cs="Times New Roman"/>
                <w:color w:val="000000"/>
                <w:sz w:val="20"/>
                <w:szCs w:val="20"/>
              </w:rPr>
              <w:t>0,21 (100%)</w:t>
            </w:r>
          </w:p>
        </w:tc>
      </w:tr>
      <w:tr w:rsidR="00D2719F" w14:paraId="33A15B73" w14:textId="77777777" w:rsidTr="00C90B98">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8F35A5" w14:textId="77777777" w:rsidR="00D2719F" w:rsidRDefault="00D2719F" w:rsidP="00D2719F">
            <w:pPr>
              <w:spacing w:after="0"/>
              <w:ind w:firstLine="0"/>
              <w:rPr>
                <w:rFonts w:eastAsia="Times New Roman" w:cs="Times New Roman"/>
                <w:sz w:val="20"/>
                <w:szCs w:val="20"/>
              </w:rPr>
            </w:pPr>
            <w:r>
              <w:rPr>
                <w:rFonts w:eastAsia="Times New Roman" w:cs="Times New Roman"/>
                <w:color w:val="000000"/>
                <w:sz w:val="20"/>
                <w:szCs w:val="20"/>
              </w:rPr>
              <w:t>*ROSCI0201 Podișul Nord Dobrogean</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09F24D" w14:textId="77777777" w:rsidR="00D2719F" w:rsidRDefault="00D2719F" w:rsidP="00C90B98">
            <w:pPr>
              <w:spacing w:after="0"/>
              <w:rPr>
                <w:rFonts w:eastAsia="Times New Roman" w:cs="Times New Roman"/>
                <w:sz w:val="20"/>
                <w:szCs w:val="20"/>
              </w:rPr>
            </w:pPr>
            <w:r>
              <w:rPr>
                <w:rFonts w:eastAsia="Times New Roman" w:cs="Times New Roman"/>
                <w:color w:val="000000"/>
                <w:sz w:val="20"/>
                <w:szCs w:val="20"/>
              </w:rPr>
              <w:t>5,53 (0,65%)</w:t>
            </w:r>
          </w:p>
        </w:tc>
      </w:tr>
      <w:tr w:rsidR="00D2719F" w14:paraId="17CF4592" w14:textId="77777777" w:rsidTr="00C90B98">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3E1EB2" w14:textId="77777777" w:rsidR="00D2719F" w:rsidRDefault="00D2719F" w:rsidP="00D2719F">
            <w:pPr>
              <w:spacing w:after="0"/>
              <w:ind w:firstLine="0"/>
              <w:rPr>
                <w:rFonts w:eastAsia="Times New Roman" w:cs="Times New Roman"/>
                <w:sz w:val="20"/>
                <w:szCs w:val="20"/>
              </w:rPr>
            </w:pPr>
            <w:r>
              <w:rPr>
                <w:rFonts w:eastAsia="Times New Roman" w:cs="Times New Roman"/>
                <w:color w:val="000000"/>
                <w:sz w:val="20"/>
                <w:szCs w:val="20"/>
              </w:rPr>
              <w:t>ROSCI0398 Straja – Cumpăna</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2C7D49" w14:textId="77777777" w:rsidR="00D2719F" w:rsidRDefault="00D2719F" w:rsidP="00C90B98">
            <w:pPr>
              <w:spacing w:after="0"/>
              <w:rPr>
                <w:rFonts w:eastAsia="Times New Roman" w:cs="Times New Roman"/>
                <w:sz w:val="20"/>
                <w:szCs w:val="20"/>
              </w:rPr>
            </w:pPr>
            <w:r>
              <w:rPr>
                <w:rFonts w:eastAsia="Times New Roman" w:cs="Times New Roman"/>
                <w:color w:val="000000"/>
                <w:sz w:val="20"/>
                <w:szCs w:val="20"/>
              </w:rPr>
              <w:t>1,79 (16,28%)</w:t>
            </w:r>
          </w:p>
        </w:tc>
      </w:tr>
      <w:tr w:rsidR="00D2719F" w14:paraId="502A1173" w14:textId="77777777" w:rsidTr="00C90B98">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ACA2D2" w14:textId="77777777" w:rsidR="00D2719F" w:rsidRDefault="00D2719F" w:rsidP="00D2719F">
            <w:pPr>
              <w:spacing w:after="0"/>
              <w:ind w:firstLine="0"/>
              <w:rPr>
                <w:rFonts w:eastAsia="Times New Roman" w:cs="Times New Roman"/>
                <w:sz w:val="20"/>
                <w:szCs w:val="20"/>
              </w:rPr>
            </w:pPr>
            <w:r>
              <w:rPr>
                <w:rFonts w:eastAsia="Times New Roman" w:cs="Times New Roman"/>
                <w:color w:val="000000"/>
                <w:sz w:val="20"/>
                <w:szCs w:val="20"/>
              </w:rPr>
              <w:t>*ROSPA0061 Lacul Techirghiol</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EF0F48" w14:textId="77777777" w:rsidR="00D2719F" w:rsidRDefault="00D2719F" w:rsidP="00C90B98">
            <w:pPr>
              <w:spacing w:after="0"/>
              <w:rPr>
                <w:rFonts w:eastAsia="Times New Roman" w:cs="Times New Roman"/>
                <w:sz w:val="20"/>
                <w:szCs w:val="20"/>
              </w:rPr>
            </w:pPr>
            <w:r>
              <w:rPr>
                <w:rFonts w:eastAsia="Times New Roman" w:cs="Times New Roman"/>
                <w:color w:val="000000"/>
                <w:sz w:val="20"/>
                <w:szCs w:val="20"/>
              </w:rPr>
              <w:t>19,56 (66,29%)</w:t>
            </w:r>
          </w:p>
        </w:tc>
      </w:tr>
      <w:tr w:rsidR="00D2719F" w14:paraId="3D14B7A7" w14:textId="77777777" w:rsidTr="00C90B98">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EC4FE0" w14:textId="77777777" w:rsidR="00D2719F" w:rsidRDefault="00D2719F" w:rsidP="00D2719F">
            <w:pPr>
              <w:spacing w:after="0"/>
              <w:ind w:firstLine="0"/>
              <w:rPr>
                <w:rFonts w:eastAsia="Times New Roman" w:cs="Times New Roman"/>
                <w:sz w:val="20"/>
                <w:szCs w:val="20"/>
              </w:rPr>
            </w:pPr>
            <w:r>
              <w:rPr>
                <w:rFonts w:eastAsia="Times New Roman" w:cs="Times New Roman"/>
                <w:color w:val="000000"/>
                <w:sz w:val="20"/>
                <w:szCs w:val="20"/>
              </w:rPr>
              <w:t>ROSPA0057 Lacul Siutghiol</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C1422F" w14:textId="77777777" w:rsidR="00D2719F" w:rsidRDefault="00D2719F" w:rsidP="00C90B98">
            <w:pPr>
              <w:spacing w:after="0"/>
              <w:rPr>
                <w:rFonts w:eastAsia="Times New Roman" w:cs="Times New Roman"/>
                <w:sz w:val="20"/>
                <w:szCs w:val="20"/>
              </w:rPr>
            </w:pPr>
            <w:r>
              <w:rPr>
                <w:rFonts w:eastAsia="Times New Roman" w:cs="Times New Roman"/>
                <w:color w:val="000000"/>
                <w:sz w:val="20"/>
                <w:szCs w:val="20"/>
              </w:rPr>
              <w:t>13,65 (73,43%)</w:t>
            </w:r>
          </w:p>
        </w:tc>
      </w:tr>
      <w:tr w:rsidR="00D2719F" w14:paraId="48663BEC" w14:textId="77777777" w:rsidTr="00C90B98">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D64C72" w14:textId="77777777" w:rsidR="00D2719F" w:rsidRDefault="00D2719F" w:rsidP="00D2719F">
            <w:pPr>
              <w:spacing w:after="0"/>
              <w:ind w:firstLine="0"/>
              <w:rPr>
                <w:rFonts w:eastAsia="Times New Roman" w:cs="Times New Roman"/>
                <w:sz w:val="20"/>
                <w:szCs w:val="20"/>
              </w:rPr>
            </w:pPr>
            <w:r>
              <w:rPr>
                <w:rFonts w:eastAsia="Times New Roman" w:cs="Times New Roman"/>
                <w:color w:val="000000"/>
                <w:sz w:val="20"/>
                <w:szCs w:val="20"/>
              </w:rPr>
              <w:t>ROSPA0060 Lacurile Tașaul – Corbu</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3F95E4" w14:textId="77777777" w:rsidR="00D2719F" w:rsidRDefault="00D2719F" w:rsidP="00C90B98">
            <w:pPr>
              <w:spacing w:after="0"/>
              <w:rPr>
                <w:rFonts w:eastAsia="Times New Roman" w:cs="Times New Roman"/>
                <w:sz w:val="20"/>
                <w:szCs w:val="20"/>
              </w:rPr>
            </w:pPr>
            <w:r>
              <w:rPr>
                <w:rFonts w:eastAsia="Times New Roman" w:cs="Times New Roman"/>
                <w:color w:val="000000"/>
                <w:sz w:val="20"/>
                <w:szCs w:val="20"/>
              </w:rPr>
              <w:t>24,93 (91,19%)</w:t>
            </w:r>
          </w:p>
        </w:tc>
      </w:tr>
      <w:tr w:rsidR="00D2719F" w14:paraId="71139C29" w14:textId="77777777" w:rsidTr="00C90B98">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159C63" w14:textId="77777777" w:rsidR="00D2719F" w:rsidRDefault="00D2719F" w:rsidP="00D2719F">
            <w:pPr>
              <w:spacing w:after="0"/>
              <w:ind w:firstLine="0"/>
              <w:rPr>
                <w:rFonts w:eastAsia="Times New Roman" w:cs="Times New Roman"/>
                <w:sz w:val="20"/>
                <w:szCs w:val="20"/>
              </w:rPr>
            </w:pPr>
            <w:r>
              <w:rPr>
                <w:rFonts w:eastAsia="Times New Roman" w:cs="Times New Roman"/>
                <w:color w:val="000000"/>
                <w:sz w:val="20"/>
                <w:szCs w:val="20"/>
              </w:rPr>
              <w:t>*ROSPA0052 Lacul Beibugeac</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1D38A9" w14:textId="77777777" w:rsidR="00D2719F" w:rsidRDefault="00D2719F" w:rsidP="00C90B98">
            <w:pPr>
              <w:spacing w:after="0"/>
              <w:rPr>
                <w:rFonts w:eastAsia="Times New Roman" w:cs="Times New Roman"/>
                <w:sz w:val="20"/>
                <w:szCs w:val="20"/>
              </w:rPr>
            </w:pPr>
            <w:r>
              <w:rPr>
                <w:rFonts w:eastAsia="Times New Roman" w:cs="Times New Roman"/>
                <w:color w:val="000000"/>
                <w:sz w:val="20"/>
                <w:szCs w:val="20"/>
              </w:rPr>
              <w:t>4,68 (99,79%)</w:t>
            </w:r>
          </w:p>
        </w:tc>
      </w:tr>
      <w:tr w:rsidR="00D2719F" w14:paraId="4B9ADD94" w14:textId="77777777" w:rsidTr="00C90B98">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5AB8F9" w14:textId="77777777" w:rsidR="00D2719F" w:rsidRDefault="00D2719F" w:rsidP="00D2719F">
            <w:pPr>
              <w:spacing w:after="0"/>
              <w:ind w:firstLine="0"/>
              <w:rPr>
                <w:rFonts w:eastAsia="Times New Roman" w:cs="Times New Roman"/>
                <w:sz w:val="20"/>
                <w:szCs w:val="20"/>
              </w:rPr>
            </w:pPr>
            <w:r>
              <w:rPr>
                <w:rFonts w:eastAsia="Times New Roman" w:cs="Times New Roman"/>
                <w:color w:val="000000"/>
                <w:sz w:val="20"/>
                <w:szCs w:val="20"/>
                <w:highlight w:val="white"/>
              </w:rPr>
              <w:t>*ROSPA0031 Delta Dunării şi Complexul Razim Sinoe</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76E778" w14:textId="77777777" w:rsidR="00D2719F" w:rsidRDefault="00D2719F" w:rsidP="00C90B98">
            <w:pPr>
              <w:spacing w:after="0"/>
              <w:rPr>
                <w:rFonts w:eastAsia="Times New Roman" w:cs="Times New Roman"/>
                <w:sz w:val="20"/>
                <w:szCs w:val="20"/>
              </w:rPr>
            </w:pPr>
            <w:r>
              <w:rPr>
                <w:rFonts w:eastAsia="Times New Roman" w:cs="Times New Roman"/>
                <w:color w:val="000000"/>
                <w:sz w:val="20"/>
                <w:szCs w:val="20"/>
              </w:rPr>
              <w:t>5083,02 (100%)</w:t>
            </w:r>
          </w:p>
        </w:tc>
      </w:tr>
      <w:tr w:rsidR="00D2719F" w14:paraId="08FC94A6" w14:textId="77777777" w:rsidTr="00C90B98">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3361B1" w14:textId="77777777" w:rsidR="00D2719F" w:rsidRDefault="00D2719F" w:rsidP="00D2719F">
            <w:pPr>
              <w:spacing w:after="0"/>
              <w:ind w:firstLine="0"/>
              <w:rPr>
                <w:rFonts w:eastAsia="Times New Roman" w:cs="Times New Roman"/>
                <w:sz w:val="20"/>
                <w:szCs w:val="20"/>
              </w:rPr>
            </w:pPr>
            <w:r>
              <w:rPr>
                <w:rFonts w:eastAsia="Times New Roman" w:cs="Times New Roman"/>
                <w:color w:val="000000"/>
                <w:sz w:val="20"/>
                <w:szCs w:val="20"/>
                <w:highlight w:val="white"/>
              </w:rPr>
              <w:t>ROSPA0066 Limanu – Herghelia</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377E7F" w14:textId="77777777" w:rsidR="00D2719F" w:rsidRDefault="00D2719F" w:rsidP="00C90B98">
            <w:pPr>
              <w:spacing w:after="0"/>
              <w:rPr>
                <w:rFonts w:eastAsia="Times New Roman" w:cs="Times New Roman"/>
                <w:sz w:val="20"/>
                <w:szCs w:val="20"/>
              </w:rPr>
            </w:pPr>
            <w:r>
              <w:rPr>
                <w:rFonts w:eastAsia="Times New Roman" w:cs="Times New Roman"/>
                <w:color w:val="000000"/>
                <w:sz w:val="20"/>
                <w:szCs w:val="20"/>
              </w:rPr>
              <w:t>7,17 (81,37%)</w:t>
            </w:r>
          </w:p>
        </w:tc>
      </w:tr>
      <w:tr w:rsidR="00D2719F" w14:paraId="3E7CFF2B" w14:textId="77777777" w:rsidTr="00C90B98">
        <w:tc>
          <w:tcPr>
            <w:tcW w:w="5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DF54DB" w14:textId="77777777" w:rsidR="00D2719F" w:rsidRDefault="00D2719F" w:rsidP="00D2719F">
            <w:pPr>
              <w:spacing w:after="0"/>
              <w:ind w:firstLine="0"/>
              <w:rPr>
                <w:rFonts w:eastAsia="Times New Roman" w:cs="Times New Roman"/>
                <w:sz w:val="20"/>
                <w:szCs w:val="20"/>
              </w:rPr>
            </w:pPr>
            <w:r>
              <w:rPr>
                <w:rFonts w:eastAsia="Times New Roman" w:cs="Times New Roman"/>
                <w:color w:val="000000"/>
                <w:sz w:val="20"/>
                <w:szCs w:val="20"/>
                <w:highlight w:val="white"/>
              </w:rPr>
              <w:t>*ROSPA0019 Cheile Dobrogei</w:t>
            </w:r>
          </w:p>
        </w:tc>
        <w:tc>
          <w:tcPr>
            <w:tcW w:w="34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C74A5E" w14:textId="77777777" w:rsidR="00D2719F" w:rsidRDefault="00D2719F" w:rsidP="00C90B98">
            <w:pPr>
              <w:spacing w:after="0"/>
              <w:rPr>
                <w:rFonts w:eastAsia="Times New Roman" w:cs="Times New Roman"/>
                <w:sz w:val="20"/>
                <w:szCs w:val="20"/>
              </w:rPr>
            </w:pPr>
            <w:r>
              <w:rPr>
                <w:rFonts w:eastAsia="Times New Roman" w:cs="Times New Roman"/>
                <w:color w:val="000000"/>
                <w:sz w:val="20"/>
                <w:szCs w:val="20"/>
              </w:rPr>
              <w:t>15,52 (14,22%)</w:t>
            </w:r>
          </w:p>
        </w:tc>
      </w:tr>
    </w:tbl>
    <w:p w14:paraId="2329ACEA" w14:textId="77777777" w:rsidR="00D2719F" w:rsidRDefault="00D2719F" w:rsidP="00D2719F">
      <w:pPr>
        <w:ind w:firstLine="0"/>
        <w:jc w:val="center"/>
        <w:rPr>
          <w:b/>
          <w:lang w:val="ro-RO" w:eastAsia="en-GB"/>
        </w:rPr>
      </w:pPr>
    </w:p>
    <w:p w14:paraId="2B1D503D" w14:textId="1E9BF26E" w:rsidR="00D2719F" w:rsidRPr="00D2719F" w:rsidRDefault="00D2719F" w:rsidP="00D2719F">
      <w:pPr>
        <w:ind w:firstLine="0"/>
        <w:jc w:val="center"/>
        <w:rPr>
          <w:b/>
          <w:lang w:val="ro-RO" w:eastAsia="en-GB"/>
        </w:rPr>
      </w:pPr>
      <w:r>
        <w:rPr>
          <w:rFonts w:eastAsia="Times New Roman" w:cs="Times New Roman"/>
          <w:b/>
          <w:noProof/>
          <w:color w:val="FF0000"/>
        </w:rPr>
        <w:lastRenderedPageBreak/>
        <w:drawing>
          <wp:inline distT="0" distB="0" distL="0" distR="0" wp14:anchorId="5FB01743" wp14:editId="4D62270F">
            <wp:extent cx="5356722" cy="6454140"/>
            <wp:effectExtent l="0" t="0" r="0" b="3810"/>
            <wp:docPr id="214140197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2"/>
                    <a:srcRect b="14166"/>
                    <a:stretch>
                      <a:fillRect/>
                    </a:stretch>
                  </pic:blipFill>
                  <pic:spPr>
                    <a:xfrm>
                      <a:off x="0" y="0"/>
                      <a:ext cx="5366999" cy="6466522"/>
                    </a:xfrm>
                    <a:prstGeom prst="rect">
                      <a:avLst/>
                    </a:prstGeom>
                    <a:ln/>
                  </pic:spPr>
                </pic:pic>
              </a:graphicData>
            </a:graphic>
          </wp:inline>
        </w:drawing>
      </w:r>
    </w:p>
    <w:p w14:paraId="6916FC67" w14:textId="77777777" w:rsidR="00D2719F" w:rsidRDefault="00D2719F" w:rsidP="00D2719F">
      <w:pPr>
        <w:ind w:firstLine="567"/>
        <w:jc w:val="center"/>
        <w:rPr>
          <w:b/>
        </w:rPr>
      </w:pPr>
      <w:r w:rsidRPr="00D2719F">
        <w:rPr>
          <w:b/>
        </w:rPr>
        <w:t>Fig. 2.4.3.1 Siturile de importanță comunitară din zona costieră românească a Mării Negre</w:t>
      </w:r>
    </w:p>
    <w:p w14:paraId="00564C50" w14:textId="77777777" w:rsidR="00D2719F" w:rsidRDefault="00D2719F" w:rsidP="00D2719F">
      <w:pPr>
        <w:ind w:firstLine="567"/>
        <w:jc w:val="center"/>
      </w:pPr>
      <w:r>
        <w:rPr>
          <w:rFonts w:eastAsia="Times New Roman" w:cs="Times New Roman"/>
          <w:b/>
          <w:noProof/>
          <w:color w:val="FF0000"/>
        </w:rPr>
        <w:lastRenderedPageBreak/>
        <w:drawing>
          <wp:inline distT="0" distB="0" distL="0" distR="0" wp14:anchorId="04295422" wp14:editId="52653610">
            <wp:extent cx="5181600" cy="6225540"/>
            <wp:effectExtent l="0" t="0" r="0" b="3810"/>
            <wp:docPr id="214140197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3"/>
                    <a:srcRect b="15121"/>
                    <a:stretch>
                      <a:fillRect/>
                    </a:stretch>
                  </pic:blipFill>
                  <pic:spPr>
                    <a:xfrm>
                      <a:off x="0" y="0"/>
                      <a:ext cx="5181726" cy="6225691"/>
                    </a:xfrm>
                    <a:prstGeom prst="rect">
                      <a:avLst/>
                    </a:prstGeom>
                    <a:ln/>
                  </pic:spPr>
                </pic:pic>
              </a:graphicData>
            </a:graphic>
          </wp:inline>
        </w:drawing>
      </w:r>
    </w:p>
    <w:p w14:paraId="498D6485" w14:textId="50561DE3" w:rsidR="00D2719F" w:rsidRDefault="00D2719F" w:rsidP="00D2719F">
      <w:pPr>
        <w:ind w:firstLine="567"/>
        <w:jc w:val="center"/>
        <w:rPr>
          <w:rFonts w:eastAsia="Times New Roman" w:cs="Times New Roman"/>
          <w:b/>
        </w:rPr>
      </w:pPr>
      <w:r>
        <w:rPr>
          <w:rFonts w:eastAsia="Times New Roman" w:cs="Times New Roman"/>
          <w:b/>
        </w:rPr>
        <w:t>Fig. 2.4.3.2 Arii de importanță avifaunistică din zona costieră românească a Mării Negre</w:t>
      </w:r>
    </w:p>
    <w:p w14:paraId="7D665C80" w14:textId="77777777" w:rsidR="00D2719F" w:rsidRDefault="00D2719F" w:rsidP="00D2719F">
      <w:pPr>
        <w:ind w:firstLine="567"/>
        <w:jc w:val="center"/>
        <w:rPr>
          <w:rFonts w:eastAsia="Times New Roman" w:cs="Times New Roman"/>
          <w:b/>
        </w:rPr>
      </w:pPr>
    </w:p>
    <w:p w14:paraId="6464A643" w14:textId="7C829F1B" w:rsidR="00D2719F" w:rsidRDefault="00C90B98" w:rsidP="00D2719F">
      <w:pPr>
        <w:pStyle w:val="Heading3"/>
      </w:pPr>
      <w:bookmarkStart w:id="70" w:name="_Toc150501466"/>
      <w:bookmarkStart w:id="71" w:name="_Toc169625126"/>
      <w:r>
        <w:t>2.</w:t>
      </w:r>
      <w:r w:rsidR="00D2719F">
        <w:t>4.4. Resurse naturale</w:t>
      </w:r>
      <w:bookmarkEnd w:id="70"/>
      <w:bookmarkEnd w:id="71"/>
    </w:p>
    <w:p w14:paraId="044B3ED9" w14:textId="3A1ECCC4" w:rsidR="00D2719F" w:rsidRDefault="00C90B98" w:rsidP="00C90B98">
      <w:pPr>
        <w:pStyle w:val="Heading4"/>
        <w:spacing w:before="0" w:after="120"/>
      </w:pPr>
      <w:bookmarkStart w:id="72" w:name="_Toc169625127"/>
      <w:r>
        <w:t>2.</w:t>
      </w:r>
      <w:r w:rsidR="00D2719F">
        <w:t>4.4.1 Resursa stuficolă</w:t>
      </w:r>
      <w:bookmarkEnd w:id="72"/>
    </w:p>
    <w:p w14:paraId="55B6AA87" w14:textId="77777777" w:rsidR="00D2719F" w:rsidRDefault="00D2719F" w:rsidP="00C90B98">
      <w:pPr>
        <w:spacing w:before="0"/>
        <w:ind w:firstLine="567"/>
        <w:rPr>
          <w:rFonts w:eastAsia="Times New Roman" w:cs="Times New Roman"/>
          <w:color w:val="222222"/>
        </w:rPr>
      </w:pPr>
      <w:r>
        <w:rPr>
          <w:rFonts w:eastAsia="Times New Roman" w:cs="Times New Roman"/>
          <w:color w:val="222222"/>
        </w:rPr>
        <w:t>Stuful (</w:t>
      </w:r>
      <w:r>
        <w:rPr>
          <w:rFonts w:eastAsia="Times New Roman" w:cs="Times New Roman"/>
          <w:i/>
          <w:color w:val="222222"/>
        </w:rPr>
        <w:t>Phragmites australis</w:t>
      </w:r>
      <w:r>
        <w:rPr>
          <w:rFonts w:eastAsia="Times New Roman" w:cs="Times New Roman"/>
          <w:color w:val="222222"/>
        </w:rPr>
        <w:t>), formează una din cele mai întinse suprafețe compacte din Delta Dunării, acoperind peste 1500 de km</w:t>
      </w:r>
      <w:r>
        <w:rPr>
          <w:rFonts w:eastAsia="Times New Roman" w:cs="Times New Roman"/>
          <w:color w:val="222222"/>
          <w:vertAlign w:val="superscript"/>
        </w:rPr>
        <w:t>2</w:t>
      </w:r>
      <w:r>
        <w:rPr>
          <w:rFonts w:eastAsia="Times New Roman" w:cs="Times New Roman"/>
          <w:color w:val="222222"/>
        </w:rPr>
        <w:t xml:space="preserve"> din suprafața totală a acesteia. Stuful recoltat în Delta Dunării este utilizat: i) ca material în construcții, ii) ca bază pentru biomasă ”lemnoasă”/celulozică (sursă de energie locală tradițională), iii) pentru producerea de împletituri, iv) confecționarea de fascine folosite pentru protectia digurilor și v) ca hrană pentru </w:t>
      </w:r>
      <w:r>
        <w:rPr>
          <w:rFonts w:eastAsia="Times New Roman" w:cs="Times New Roman"/>
          <w:color w:val="222222"/>
        </w:rPr>
        <w:lastRenderedPageBreak/>
        <w:t xml:space="preserve">animale. De asemenea, masa stuficolă adăpostește un număr semnificativ de păsări, pești și o mare diversitate floristică ce atrage atenția specialiștilor și turiștilor. </w:t>
      </w:r>
    </w:p>
    <w:p w14:paraId="5BB8D083" w14:textId="25D8145C" w:rsidR="00D2719F" w:rsidRDefault="00D2719F" w:rsidP="00C90B98">
      <w:pPr>
        <w:spacing w:before="0"/>
        <w:ind w:firstLine="567"/>
        <w:rPr>
          <w:rFonts w:eastAsia="Times New Roman" w:cs="Times New Roman"/>
          <w:color w:val="222222"/>
        </w:rPr>
      </w:pPr>
      <w:r>
        <w:rPr>
          <w:rFonts w:eastAsia="Times New Roman" w:cs="Times New Roman"/>
          <w:color w:val="222222"/>
        </w:rPr>
        <w:t>Zonele cu resursă stuficolă pretabilă pentru materiale de construcții, biomasă și f</w:t>
      </w:r>
      <w:r w:rsidR="00C90B98">
        <w:rPr>
          <w:rFonts w:eastAsia="Times New Roman" w:cs="Times New Roman"/>
          <w:color w:val="222222"/>
        </w:rPr>
        <w:t>uraj sunt redate în Figurile 2.4.4</w:t>
      </w:r>
      <w:r>
        <w:rPr>
          <w:rFonts w:eastAsia="Times New Roman" w:cs="Times New Roman"/>
          <w:color w:val="222222"/>
        </w:rPr>
        <w:t>.1</w:t>
      </w:r>
      <w:r w:rsidR="00C90B98">
        <w:rPr>
          <w:rFonts w:eastAsia="Times New Roman" w:cs="Times New Roman"/>
          <w:color w:val="222222"/>
        </w:rPr>
        <w:t>.1, 2.4.4</w:t>
      </w:r>
      <w:r>
        <w:rPr>
          <w:rFonts w:eastAsia="Times New Roman" w:cs="Times New Roman"/>
          <w:color w:val="222222"/>
        </w:rPr>
        <w:t>.</w:t>
      </w:r>
      <w:r w:rsidR="00C90B98">
        <w:rPr>
          <w:rFonts w:eastAsia="Times New Roman" w:cs="Times New Roman"/>
          <w:color w:val="222222"/>
        </w:rPr>
        <w:t>1.2, respectiv 2.4.4</w:t>
      </w:r>
      <w:r>
        <w:rPr>
          <w:rFonts w:eastAsia="Times New Roman" w:cs="Times New Roman"/>
          <w:color w:val="222222"/>
        </w:rPr>
        <w:t>.</w:t>
      </w:r>
      <w:r w:rsidR="00C90B98">
        <w:rPr>
          <w:rFonts w:eastAsia="Times New Roman" w:cs="Times New Roman"/>
          <w:color w:val="222222"/>
        </w:rPr>
        <w:t>1.</w:t>
      </w:r>
      <w:r>
        <w:rPr>
          <w:rFonts w:eastAsia="Times New Roman" w:cs="Times New Roman"/>
          <w:color w:val="222222"/>
        </w:rPr>
        <w:t>3.</w:t>
      </w:r>
    </w:p>
    <w:p w14:paraId="48FB395B" w14:textId="77777777" w:rsidR="00C90B98" w:rsidRDefault="00C90B98" w:rsidP="00C90B98">
      <w:pPr>
        <w:spacing w:before="0"/>
        <w:ind w:firstLine="567"/>
        <w:rPr>
          <w:rFonts w:eastAsia="Times New Roman" w:cs="Times New Roman"/>
          <w:color w:val="222222"/>
        </w:rPr>
      </w:pPr>
    </w:p>
    <w:p w14:paraId="639EDB37" w14:textId="7A5949F7" w:rsidR="00C90B98" w:rsidRDefault="00C90B98" w:rsidP="00C90B98">
      <w:pPr>
        <w:spacing w:before="0"/>
        <w:ind w:firstLine="567"/>
        <w:rPr>
          <w:rFonts w:eastAsia="Times New Roman" w:cs="Times New Roman"/>
          <w:color w:val="222222"/>
        </w:rPr>
      </w:pPr>
      <w:r>
        <w:rPr>
          <w:rFonts w:eastAsia="Times New Roman" w:cs="Times New Roman"/>
          <w:noProof/>
        </w:rPr>
        <w:drawing>
          <wp:inline distT="0" distB="0" distL="0" distR="0" wp14:anchorId="4E7790CD" wp14:editId="2958A694">
            <wp:extent cx="5212080" cy="7124700"/>
            <wp:effectExtent l="0" t="0" r="7620" b="0"/>
            <wp:docPr id="214140197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4"/>
                    <a:srcRect/>
                    <a:stretch>
                      <a:fillRect/>
                    </a:stretch>
                  </pic:blipFill>
                  <pic:spPr>
                    <a:xfrm>
                      <a:off x="0" y="0"/>
                      <a:ext cx="5212197" cy="7124860"/>
                    </a:xfrm>
                    <a:prstGeom prst="rect">
                      <a:avLst/>
                    </a:prstGeom>
                    <a:ln/>
                  </pic:spPr>
                </pic:pic>
              </a:graphicData>
            </a:graphic>
          </wp:inline>
        </w:drawing>
      </w:r>
    </w:p>
    <w:p w14:paraId="1555E330" w14:textId="4BDFEC6A" w:rsidR="00C90B98" w:rsidRDefault="00C90B98" w:rsidP="00C90B98">
      <w:pPr>
        <w:spacing w:before="0"/>
        <w:ind w:firstLine="567"/>
        <w:jc w:val="center"/>
        <w:rPr>
          <w:rFonts w:eastAsia="Times New Roman" w:cs="Times New Roman"/>
          <w:b/>
          <w:color w:val="222222"/>
        </w:rPr>
      </w:pPr>
      <w:r w:rsidRPr="00C90B98">
        <w:rPr>
          <w:rFonts w:eastAsia="Times New Roman" w:cs="Times New Roman"/>
          <w:b/>
          <w:color w:val="222222"/>
        </w:rPr>
        <w:t xml:space="preserve">Fig. </w:t>
      </w:r>
      <w:r>
        <w:rPr>
          <w:rFonts w:eastAsia="Times New Roman" w:cs="Times New Roman"/>
          <w:b/>
          <w:color w:val="222222"/>
        </w:rPr>
        <w:t>2.4.4.1</w:t>
      </w:r>
      <w:r w:rsidRPr="00C90B98">
        <w:rPr>
          <w:rFonts w:eastAsia="Times New Roman" w:cs="Times New Roman"/>
          <w:b/>
          <w:color w:val="222222"/>
        </w:rPr>
        <w:t>.1 Harta zonelor cu stuf pretabil pentru acoperișuri</w:t>
      </w:r>
    </w:p>
    <w:p w14:paraId="687D8BE7" w14:textId="77777777" w:rsidR="00C90B98" w:rsidRDefault="00C90B98" w:rsidP="00C90B98">
      <w:pPr>
        <w:spacing w:before="0"/>
        <w:ind w:firstLine="567"/>
        <w:jc w:val="center"/>
        <w:rPr>
          <w:rFonts w:eastAsia="Times New Roman" w:cs="Times New Roman"/>
          <w:b/>
          <w:color w:val="222222"/>
        </w:rPr>
      </w:pPr>
    </w:p>
    <w:p w14:paraId="336CFE40" w14:textId="308FA049" w:rsidR="00C90B98" w:rsidRDefault="00C90B98" w:rsidP="00C90B98">
      <w:pPr>
        <w:spacing w:before="0"/>
        <w:ind w:firstLine="567"/>
        <w:jc w:val="center"/>
        <w:rPr>
          <w:rFonts w:eastAsia="Times New Roman" w:cs="Times New Roman"/>
          <w:b/>
          <w:color w:val="222222"/>
        </w:rPr>
      </w:pPr>
      <w:r>
        <w:rPr>
          <w:rFonts w:eastAsia="Times New Roman" w:cs="Times New Roman"/>
          <w:b/>
          <w:noProof/>
          <w:color w:val="000000"/>
        </w:rPr>
        <w:drawing>
          <wp:inline distT="0" distB="0" distL="0" distR="0" wp14:anchorId="1104D203" wp14:editId="46624795">
            <wp:extent cx="5059680" cy="7452360"/>
            <wp:effectExtent l="0" t="0" r="7620" b="0"/>
            <wp:docPr id="214140197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5"/>
                    <a:srcRect/>
                    <a:stretch>
                      <a:fillRect/>
                    </a:stretch>
                  </pic:blipFill>
                  <pic:spPr>
                    <a:xfrm>
                      <a:off x="0" y="0"/>
                      <a:ext cx="5060144" cy="7453043"/>
                    </a:xfrm>
                    <a:prstGeom prst="rect">
                      <a:avLst/>
                    </a:prstGeom>
                    <a:ln/>
                  </pic:spPr>
                </pic:pic>
              </a:graphicData>
            </a:graphic>
          </wp:inline>
        </w:drawing>
      </w:r>
    </w:p>
    <w:p w14:paraId="31B7A35F" w14:textId="424D8B44" w:rsidR="00C90B98" w:rsidRDefault="00C90B98" w:rsidP="00C90B98">
      <w:pPr>
        <w:spacing w:before="0"/>
        <w:ind w:firstLine="567"/>
        <w:jc w:val="center"/>
        <w:rPr>
          <w:rFonts w:eastAsia="Times New Roman" w:cs="Times New Roman"/>
          <w:b/>
          <w:color w:val="222222"/>
        </w:rPr>
      </w:pPr>
      <w:r w:rsidRPr="00C90B98">
        <w:rPr>
          <w:rFonts w:eastAsia="Times New Roman" w:cs="Times New Roman"/>
          <w:b/>
          <w:color w:val="222222"/>
        </w:rPr>
        <w:t xml:space="preserve">Fig. </w:t>
      </w:r>
      <w:r>
        <w:rPr>
          <w:rFonts w:eastAsia="Times New Roman" w:cs="Times New Roman"/>
          <w:b/>
          <w:color w:val="222222"/>
        </w:rPr>
        <w:t>2.4.4.1.2</w:t>
      </w:r>
      <w:r w:rsidRPr="00C90B98">
        <w:rPr>
          <w:rFonts w:eastAsia="Times New Roman" w:cs="Times New Roman"/>
          <w:b/>
          <w:color w:val="222222"/>
        </w:rPr>
        <w:t xml:space="preserve"> Harta cu zone cultivate cu stuf pretabil pentru biomasă</w:t>
      </w:r>
    </w:p>
    <w:p w14:paraId="4360EFAD" w14:textId="77777777" w:rsidR="00C90B98" w:rsidRPr="00C90B98" w:rsidRDefault="00C90B98" w:rsidP="00C90B98">
      <w:pPr>
        <w:spacing w:before="0"/>
        <w:ind w:firstLine="567"/>
        <w:jc w:val="center"/>
        <w:rPr>
          <w:rFonts w:eastAsia="Times New Roman" w:cs="Times New Roman"/>
          <w:b/>
          <w:color w:val="222222"/>
        </w:rPr>
      </w:pPr>
    </w:p>
    <w:p w14:paraId="33E49801" w14:textId="6F61E464" w:rsidR="00C90B98" w:rsidRDefault="00C90B98" w:rsidP="00C90B98">
      <w:pPr>
        <w:spacing w:before="0"/>
        <w:ind w:firstLine="567"/>
        <w:rPr>
          <w:rFonts w:eastAsia="Times New Roman" w:cs="Times New Roman"/>
          <w:color w:val="222222"/>
        </w:rPr>
      </w:pPr>
      <w:r>
        <w:rPr>
          <w:b/>
          <w:noProof/>
          <w:color w:val="000000"/>
        </w:rPr>
        <w:lastRenderedPageBreak/>
        <w:drawing>
          <wp:inline distT="0" distB="0" distL="0" distR="0" wp14:anchorId="1983CFA2" wp14:editId="17593A2D">
            <wp:extent cx="5189220" cy="7406640"/>
            <wp:effectExtent l="0" t="0" r="0" b="3810"/>
            <wp:docPr id="214140197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6"/>
                    <a:srcRect/>
                    <a:stretch>
                      <a:fillRect/>
                    </a:stretch>
                  </pic:blipFill>
                  <pic:spPr>
                    <a:xfrm>
                      <a:off x="0" y="0"/>
                      <a:ext cx="5189533" cy="7407087"/>
                    </a:xfrm>
                    <a:prstGeom prst="rect">
                      <a:avLst/>
                    </a:prstGeom>
                    <a:ln/>
                  </pic:spPr>
                </pic:pic>
              </a:graphicData>
            </a:graphic>
          </wp:inline>
        </w:drawing>
      </w:r>
    </w:p>
    <w:p w14:paraId="55198240" w14:textId="54ABB370" w:rsidR="00C90B98" w:rsidRDefault="00C90B98" w:rsidP="00C90B98">
      <w:pPr>
        <w:spacing w:before="0"/>
        <w:ind w:firstLine="567"/>
        <w:jc w:val="center"/>
        <w:rPr>
          <w:rFonts w:eastAsia="Times New Roman" w:cs="Times New Roman"/>
          <w:b/>
          <w:color w:val="222222"/>
        </w:rPr>
      </w:pPr>
      <w:r w:rsidRPr="00C90B98">
        <w:rPr>
          <w:rFonts w:eastAsia="Times New Roman" w:cs="Times New Roman"/>
          <w:b/>
          <w:color w:val="222222"/>
        </w:rPr>
        <w:t>Fig. 2.4.4.1.3 Harta zonelor cu stuf pretabile pentru pășunat</w:t>
      </w:r>
    </w:p>
    <w:p w14:paraId="5A0FBAD5" w14:textId="77777777" w:rsidR="00C90B98" w:rsidRPr="00C90B98" w:rsidRDefault="00C90B98" w:rsidP="00C90B98">
      <w:pPr>
        <w:spacing w:before="0"/>
        <w:ind w:firstLine="567"/>
        <w:jc w:val="center"/>
        <w:rPr>
          <w:rFonts w:eastAsia="Times New Roman" w:cs="Times New Roman"/>
          <w:b/>
          <w:color w:val="222222"/>
        </w:rPr>
      </w:pPr>
    </w:p>
    <w:p w14:paraId="5C2418C4" w14:textId="77777777" w:rsidR="00D2719F" w:rsidRDefault="00D2719F" w:rsidP="00C90B98">
      <w:pPr>
        <w:spacing w:before="0"/>
        <w:ind w:firstLine="567"/>
        <w:rPr>
          <w:rFonts w:eastAsia="Times New Roman" w:cs="Times New Roman"/>
          <w:color w:val="222222"/>
        </w:rPr>
      </w:pPr>
      <w:r>
        <w:rPr>
          <w:rFonts w:eastAsia="Times New Roman" w:cs="Times New Roman"/>
          <w:color w:val="222222"/>
        </w:rPr>
        <w:t xml:space="preserve">Activitatea de valorificare a resursei stuficole se poate face atât în scop comercial, cât și gospodăresc. ARBDD stabilește anual cotele admisibile pentru exploatarea stufului pe baza studiilor de evaluare a resurselor stuficole elaborate de instituții de cercetare specializate acreditate. Resursa stuficolă se valorifică prin atribuire directă organizaţiilor/asociaţiilor de </w:t>
      </w:r>
      <w:r>
        <w:rPr>
          <w:rFonts w:eastAsia="Times New Roman" w:cs="Times New Roman"/>
          <w:color w:val="222222"/>
        </w:rPr>
        <w:lastRenderedPageBreak/>
        <w:t>persoane fizice autorizate, legal constituite, în conformitate cu prevederile Legii 82/1993, și prin concesiune. În 2021, în zona de studiu existau în derulare opt contracte de concesiune, din care - trei active (Zmeica-Golovița, Sinoe și Buhaz).</w:t>
      </w:r>
    </w:p>
    <w:p w14:paraId="6FD6F59C" w14:textId="77777777" w:rsidR="00D2719F" w:rsidRDefault="00D2719F" w:rsidP="00C90B98">
      <w:pPr>
        <w:spacing w:before="0"/>
        <w:ind w:firstLine="567"/>
        <w:rPr>
          <w:rFonts w:eastAsia="Times New Roman" w:cs="Times New Roman"/>
        </w:rPr>
      </w:pPr>
      <w:r>
        <w:rPr>
          <w:rFonts w:eastAsia="Times New Roman" w:cs="Times New Roman"/>
        </w:rPr>
        <w:t>Conform raportărilor pentru sezonul de recoltare 2021-2022 în zonele concesionate s-au recoltat 5.208 t din cota autorizată de 5.391 tone(ARBDD, 2022). În 2021, au fost emise 13 autorizații pentru activitatea de valorificare a resursei stuficole și 7 permise de recoltare stuf în scop gospodăresc. Cantitatea totală recoltată în sezonul 2021-2022 în zonele stuficole aparţinând domeniului public de interes naţional, aflate în perimetrul rezervaţiei, a fost de 273,7 t, iar din amenajările piscicole din domeniul public judeţean s-a recoltat cantitatea de 755 t (ARBDD, 2022).</w:t>
      </w:r>
    </w:p>
    <w:p w14:paraId="24995CC8" w14:textId="77777777" w:rsidR="00D2719F" w:rsidRDefault="00D2719F" w:rsidP="00C90B98">
      <w:pPr>
        <w:spacing w:before="0"/>
        <w:ind w:firstLine="567"/>
      </w:pPr>
      <w:r>
        <w:rPr>
          <w:rFonts w:eastAsia="Times New Roman" w:cs="Times New Roman"/>
        </w:rPr>
        <w:t>Una din problemele legate de exploatarea stufului o constituie nivelul scăzut de valorificare a resursei stuficole în special în zonele centrale ale Deltei Dunării, unde se constată fenomenul de “îmbătrânire“ a stufăriilor ca urmare a dezvoltării mai multor generații de stuf în aceeași zonă cu consecințe negative asupra habitatelor naturale, problemă care ar putea fi diminuată prin promovarea unor metode variate de valorificare a biomasei, inclusiv pentru producerea peleților combustibili. Utilizarea acestei resurse poate stopa declinul industriei de celuloză și hârtie</w:t>
      </w:r>
      <w:r>
        <w:t>.</w:t>
      </w:r>
    </w:p>
    <w:p w14:paraId="217BB134" w14:textId="6E4B7C35" w:rsidR="00C90B98" w:rsidRDefault="00C90B98" w:rsidP="00C90B98">
      <w:pPr>
        <w:pStyle w:val="Heading4"/>
      </w:pPr>
      <w:bookmarkStart w:id="73" w:name="_Toc169625128"/>
      <w:r>
        <w:t>2.4.4.2 Resursa piscicolă</w:t>
      </w:r>
      <w:bookmarkEnd w:id="73"/>
    </w:p>
    <w:p w14:paraId="2149E538" w14:textId="77777777" w:rsidR="00C90B98" w:rsidRDefault="00C90B98" w:rsidP="00E86513">
      <w:pPr>
        <w:spacing w:before="0"/>
        <w:rPr>
          <w:rFonts w:eastAsia="Times New Roman" w:cs="Times New Roman"/>
          <w:i/>
        </w:rPr>
      </w:pPr>
      <w:r>
        <w:rPr>
          <w:rFonts w:eastAsia="Times New Roman" w:cs="Times New Roman"/>
          <w:i/>
        </w:rPr>
        <w:t>Pești cu valoare comercială</w:t>
      </w:r>
    </w:p>
    <w:p w14:paraId="2AEB5A34" w14:textId="77777777" w:rsidR="00C90B98" w:rsidRDefault="00C90B98" w:rsidP="00E86513">
      <w:pPr>
        <w:spacing w:before="0"/>
        <w:ind w:firstLine="567"/>
        <w:rPr>
          <w:rFonts w:eastAsia="Times New Roman" w:cs="Times New Roman"/>
        </w:rPr>
      </w:pPr>
      <w:r>
        <w:rPr>
          <w:rFonts w:eastAsia="Times New Roman" w:cs="Times New Roman"/>
        </w:rPr>
        <w:t>În prezent, resursa piscicolă necesită o atenție deosebită fiind afectată considerabil, în sens negativ, de suprapescuit, poluare, încălzire globală, introducerea de specii invazive, etc.. Toate acestea impun măsuri de reabilitare a calității mediului, stopare a poluării, gestionare durabilă și utilizare rațională a resursei piscicole pentru menținerea echilibrului ecosistemic referitor la biodiversitate, integritate populaţională, lanţuri trofice și stocuri.</w:t>
      </w:r>
    </w:p>
    <w:p w14:paraId="21F053F6" w14:textId="77777777" w:rsidR="00C90B98" w:rsidRDefault="00C90B98" w:rsidP="00E86513">
      <w:pPr>
        <w:spacing w:before="0"/>
        <w:ind w:firstLine="567"/>
        <w:rPr>
          <w:rFonts w:eastAsia="Times New Roman" w:cs="Times New Roman"/>
        </w:rPr>
      </w:pPr>
      <w:r>
        <w:rPr>
          <w:rFonts w:eastAsia="Times New Roman" w:cs="Times New Roman"/>
        </w:rPr>
        <w:t>Deși în ultimele decenii stocurile de pești au înregistrat diminuări progresive, totuși, în ultimii 6 ani, s-a înregistrat o creștere a diversității speciilor cu aproximativ 51% (INCDM, 2022). Această creștere a diversității s-a datorat prezenței unor specii auxiliare, cu sau fără valoare economică, apărute accidental (datorită schimbărilor climatice), sau în număr redus de exemplare, precum și diversificării și îmbunătățirii uneltelor şi tehnicilor de colectare folosite. Mai multe specii identificate aparţin familiilor Gobiidae și Mugilidae.</w:t>
      </w:r>
    </w:p>
    <w:p w14:paraId="1BD1BA65" w14:textId="77777777" w:rsidR="00C90B98" w:rsidRDefault="00C90B98" w:rsidP="00E86513">
      <w:pPr>
        <w:spacing w:before="0"/>
        <w:ind w:firstLine="567"/>
        <w:rPr>
          <w:rFonts w:eastAsia="Times New Roman" w:cs="Times New Roman"/>
        </w:rPr>
      </w:pPr>
      <w:r>
        <w:rPr>
          <w:rFonts w:eastAsia="Times New Roman" w:cs="Times New Roman"/>
        </w:rPr>
        <w:t xml:space="preserve">Structura populaţională a ultimilor ani, indică prezenţa în capturi a unui număr de 24 specii, cele mai importante fiind hamsia, stavridul, guvizii, chefalul, ca specii de talie mică, și calcanul, alosele (scrumbiile), ca specii de talie mai mare. În capturile din 2022, s-au înregistrat următoarele proporții: </w:t>
      </w:r>
      <w:r>
        <w:rPr>
          <w:rFonts w:eastAsia="Times New Roman" w:cs="Times New Roman"/>
          <w:i/>
        </w:rPr>
        <w:t>Scophthalmus maximus</w:t>
      </w:r>
      <w:r>
        <w:rPr>
          <w:rFonts w:eastAsia="Times New Roman" w:cs="Times New Roman"/>
        </w:rPr>
        <w:t xml:space="preserve"> - calcan (30,00-28,52%), </w:t>
      </w:r>
      <w:r>
        <w:rPr>
          <w:rFonts w:eastAsia="Times New Roman" w:cs="Times New Roman"/>
          <w:i/>
        </w:rPr>
        <w:t>Engraulis encrasicolus</w:t>
      </w:r>
      <w:r>
        <w:rPr>
          <w:rFonts w:eastAsia="Times New Roman" w:cs="Times New Roman"/>
        </w:rPr>
        <w:t xml:space="preserve"> - hamsia (15,60-11,41%), </w:t>
      </w:r>
      <w:r>
        <w:rPr>
          <w:rFonts w:eastAsia="Times New Roman" w:cs="Times New Roman"/>
          <w:i/>
        </w:rPr>
        <w:t>Trachurus mediterraneus ponticus</w:t>
      </w:r>
      <w:r>
        <w:rPr>
          <w:rFonts w:eastAsia="Times New Roman" w:cs="Times New Roman"/>
        </w:rPr>
        <w:t xml:space="preserve"> - stavrid (11,20-7,60%), </w:t>
      </w:r>
      <w:r>
        <w:rPr>
          <w:rFonts w:eastAsia="Times New Roman" w:cs="Times New Roman"/>
          <w:i/>
        </w:rPr>
        <w:t>Sprattus sprattus</w:t>
      </w:r>
      <w:r>
        <w:rPr>
          <w:rFonts w:eastAsia="Times New Roman" w:cs="Times New Roman"/>
        </w:rPr>
        <w:t xml:space="preserve"> – șprot (18,60 – 23,57%), </w:t>
      </w:r>
      <w:r>
        <w:rPr>
          <w:rFonts w:eastAsia="Times New Roman" w:cs="Times New Roman"/>
          <w:i/>
        </w:rPr>
        <w:t>Pomatomus saltatrix</w:t>
      </w:r>
      <w:r>
        <w:rPr>
          <w:rFonts w:eastAsia="Times New Roman" w:cs="Times New Roman"/>
        </w:rPr>
        <w:t xml:space="preserve"> – lufar (3,60-12,17%), </w:t>
      </w:r>
      <w:r>
        <w:rPr>
          <w:rFonts w:eastAsia="Times New Roman" w:cs="Times New Roman"/>
          <w:i/>
        </w:rPr>
        <w:t>Mullus barbatus</w:t>
      </w:r>
      <w:r>
        <w:rPr>
          <w:rFonts w:eastAsia="Times New Roman" w:cs="Times New Roman"/>
        </w:rPr>
        <w:t xml:space="preserve"> – barbun (5,36-9,89%) și speciile din familiile Gobiidae - guvizi (2,80-3,04%), Alosae – alose/scrumbii (1,60-2,28%) şi 1% alte specii (INCDM, 2022).</w:t>
      </w:r>
    </w:p>
    <w:p w14:paraId="57E866BE" w14:textId="77777777" w:rsidR="00C90B98" w:rsidRDefault="00C90B98" w:rsidP="00E86513">
      <w:pPr>
        <w:spacing w:before="0"/>
        <w:ind w:firstLine="567"/>
        <w:rPr>
          <w:rFonts w:eastAsia="Times New Roman" w:cs="Times New Roman"/>
        </w:rPr>
      </w:pPr>
      <w:r>
        <w:rPr>
          <w:rFonts w:eastAsia="Times New Roman" w:cs="Times New Roman"/>
        </w:rPr>
        <w:t xml:space="preserve">Un statut special îl au sturionii, specii cu foarte mare valoare economică, pentru care s-au impus restricții de exploatare, rezultate din necesitatea protecției și refacerii stocurilor </w:t>
      </w:r>
      <w:r>
        <w:rPr>
          <w:rFonts w:eastAsia="Times New Roman" w:cs="Times New Roman"/>
        </w:rPr>
        <w:lastRenderedPageBreak/>
        <w:t>naturale. Nisetrul (</w:t>
      </w:r>
      <w:r>
        <w:rPr>
          <w:rFonts w:eastAsia="Times New Roman" w:cs="Times New Roman"/>
          <w:i/>
        </w:rPr>
        <w:t>Acipenser gueldenstaedtii</w:t>
      </w:r>
      <w:r>
        <w:rPr>
          <w:rFonts w:eastAsia="Times New Roman" w:cs="Times New Roman"/>
        </w:rPr>
        <w:t>), păstruga (</w:t>
      </w:r>
      <w:r>
        <w:rPr>
          <w:rFonts w:eastAsia="Times New Roman" w:cs="Times New Roman"/>
          <w:i/>
        </w:rPr>
        <w:t>Acipenser stellatus</w:t>
      </w:r>
      <w:r>
        <w:rPr>
          <w:rFonts w:eastAsia="Times New Roman" w:cs="Times New Roman"/>
        </w:rPr>
        <w:t>) și morunul (</w:t>
      </w:r>
      <w:r>
        <w:rPr>
          <w:rFonts w:eastAsia="Times New Roman" w:cs="Times New Roman"/>
          <w:i/>
        </w:rPr>
        <w:t>Huso huso</w:t>
      </w:r>
      <w:r>
        <w:rPr>
          <w:rFonts w:eastAsia="Times New Roman" w:cs="Times New Roman"/>
        </w:rPr>
        <w:t>), se află pe lista speciilor pe cale de dispariție în Convenția privind Comerțul Internațional cu specii de Floră și Faună sălbatică, (CITES, Anexa II / Notificarea nr. 1998/13 pentru Conservare Sturioni, 1998).</w:t>
      </w:r>
    </w:p>
    <w:p w14:paraId="09BA6DC1" w14:textId="77777777" w:rsidR="00C90B98" w:rsidRDefault="00C90B98" w:rsidP="00E86513">
      <w:pPr>
        <w:spacing w:before="0"/>
        <w:ind w:firstLine="567"/>
        <w:rPr>
          <w:rFonts w:eastAsia="Times New Roman" w:cs="Times New Roman"/>
        </w:rPr>
      </w:pPr>
      <w:r>
        <w:rPr>
          <w:rFonts w:eastAsia="Times New Roman" w:cs="Times New Roman"/>
        </w:rPr>
        <w:t xml:space="preserve"> Stocurile de pești cu valoare comercială depind de disponibilitatea resurselor de hrană și a habitatelor de iernare, reproducere și creștere larvară. În urma cercetărilor realizate de INCDM Grigore Antipa și ANPA, au fost identificate zone semnificative pentru depunerea icrelor, precum și perioadele (anuale) de reproducere ale speciilor de pești (Ordinul 10/235 din 27 ianuarie 2023) pe baza: a) evaluărilor privind abundența și distribuția icrelor, larvelor, exemplarelor juvenile și aglomerărilor de pești; b) informațiilor despre capturi și debarcări, alături de, c) alte cunoștințe bibliografice și d) estimări ale experților.</w:t>
      </w:r>
    </w:p>
    <w:p w14:paraId="501139B6" w14:textId="476CFEC6" w:rsidR="00C90B98" w:rsidRDefault="00C90B98" w:rsidP="00E86513">
      <w:pPr>
        <w:spacing w:before="0"/>
        <w:ind w:firstLine="567"/>
        <w:rPr>
          <w:rFonts w:eastAsia="Times New Roman" w:cs="Times New Roman"/>
        </w:rPr>
      </w:pPr>
      <w:r>
        <w:rPr>
          <w:rFonts w:eastAsia="Times New Roman" w:cs="Times New Roman"/>
        </w:rPr>
        <w:t xml:space="preserve">Datorită caracterului migrator al speciilor de peşti din Marea Neagră se evaluează biomasa stocurilor de reproducători (SSB) şi se calculează indicatorul mortalitate prin pescuit în concordanță cu obținerea randamentului maxim durabil (FMSY), pentru principalele specii de peşti de interes comercial. Din analiza acestora rezultă că, în perioada 2019-2022, doar șprotul este exploatat durabil, calcanul și bacaliarul sunt supraexploatate, rechinul are stoc limitat, iar rapana se află în jurul punctelor de referință (Tabel </w:t>
      </w:r>
      <w:r w:rsidR="00E86513">
        <w:rPr>
          <w:rFonts w:eastAsia="Times New Roman" w:cs="Times New Roman"/>
        </w:rPr>
        <w:t>2.</w:t>
      </w:r>
      <w:r>
        <w:rPr>
          <w:rFonts w:eastAsia="Times New Roman" w:cs="Times New Roman"/>
        </w:rPr>
        <w:t xml:space="preserve">4.4.2.1). </w:t>
      </w:r>
    </w:p>
    <w:p w14:paraId="3FDFE896" w14:textId="77777777" w:rsidR="00C90B98" w:rsidRDefault="00C90B98" w:rsidP="00C90B98">
      <w:pPr>
        <w:ind w:firstLine="567"/>
        <w:rPr>
          <w:rFonts w:eastAsia="Times New Roman" w:cs="Times New Roman"/>
        </w:rPr>
      </w:pPr>
    </w:p>
    <w:p w14:paraId="0BEAAACC" w14:textId="3B76D669" w:rsidR="00C90B98" w:rsidRDefault="00C90B98" w:rsidP="00C90B98">
      <w:pPr>
        <w:spacing w:after="200"/>
        <w:jc w:val="center"/>
        <w:rPr>
          <w:rFonts w:eastAsia="Times New Roman" w:cs="Times New Roman"/>
          <w:b/>
        </w:rPr>
      </w:pPr>
      <w:r>
        <w:rPr>
          <w:rFonts w:eastAsia="Times New Roman" w:cs="Times New Roman"/>
          <w:b/>
        </w:rPr>
        <w:t xml:space="preserve">Tabel </w:t>
      </w:r>
      <w:r w:rsidR="00E86513">
        <w:rPr>
          <w:rFonts w:eastAsia="Times New Roman" w:cs="Times New Roman"/>
          <w:b/>
        </w:rPr>
        <w:t>2.</w:t>
      </w:r>
      <w:r>
        <w:rPr>
          <w:rFonts w:eastAsia="Times New Roman" w:cs="Times New Roman"/>
          <w:b/>
        </w:rPr>
        <w:t>4.4.2.1 Biomasa stocurilor de reproducători si mortalitatea prin pescuit (FMSY) la principalele specii comerciale din bazinul Mării Negre</w:t>
      </w:r>
    </w:p>
    <w:tbl>
      <w:tblPr>
        <w:tblW w:w="9226" w:type="dxa"/>
        <w:tblLayout w:type="fixed"/>
        <w:tblLook w:val="0400" w:firstRow="0" w:lastRow="0" w:firstColumn="0" w:lastColumn="0" w:noHBand="0" w:noVBand="1"/>
      </w:tblPr>
      <w:tblGrid>
        <w:gridCol w:w="2272"/>
        <w:gridCol w:w="805"/>
        <w:gridCol w:w="851"/>
        <w:gridCol w:w="850"/>
        <w:gridCol w:w="851"/>
        <w:gridCol w:w="850"/>
        <w:gridCol w:w="851"/>
        <w:gridCol w:w="1896"/>
      </w:tblGrid>
      <w:tr w:rsidR="00C90B98" w14:paraId="338F3A6F" w14:textId="77777777" w:rsidTr="00C90B98">
        <w:trPr>
          <w:trHeight w:val="194"/>
        </w:trPr>
        <w:tc>
          <w:tcPr>
            <w:tcW w:w="2272" w:type="dxa"/>
            <w:tcBorders>
              <w:top w:val="single" w:sz="8" w:space="0" w:color="000000"/>
              <w:left w:val="single" w:sz="8" w:space="0" w:color="000000"/>
              <w:bottom w:val="single" w:sz="6" w:space="0" w:color="000000"/>
              <w:right w:val="single" w:sz="8" w:space="0" w:color="000000"/>
            </w:tcBorders>
            <w:shd w:val="clear" w:color="auto" w:fill="F7CAAC"/>
            <w:tcMar>
              <w:top w:w="100" w:type="dxa"/>
              <w:left w:w="100" w:type="dxa"/>
              <w:bottom w:w="100" w:type="dxa"/>
              <w:right w:w="100" w:type="dxa"/>
            </w:tcMar>
          </w:tcPr>
          <w:p w14:paraId="44A70197" w14:textId="77777777" w:rsidR="00C90B98" w:rsidRDefault="00C90B98" w:rsidP="00E86513">
            <w:pPr>
              <w:spacing w:before="0" w:after="0" w:line="240" w:lineRule="auto"/>
              <w:jc w:val="center"/>
              <w:rPr>
                <w:rFonts w:eastAsia="Times New Roman" w:cs="Times New Roman"/>
                <w:sz w:val="20"/>
                <w:szCs w:val="20"/>
              </w:rPr>
            </w:pPr>
            <w:r>
              <w:rPr>
                <w:rFonts w:eastAsia="Times New Roman" w:cs="Times New Roman"/>
                <w:b/>
                <w:color w:val="1F1F1F"/>
                <w:sz w:val="20"/>
                <w:szCs w:val="20"/>
              </w:rPr>
              <w:t>Specia</w:t>
            </w:r>
          </w:p>
        </w:tc>
        <w:tc>
          <w:tcPr>
            <w:tcW w:w="1656" w:type="dxa"/>
            <w:gridSpan w:val="2"/>
            <w:tcBorders>
              <w:top w:val="single" w:sz="8" w:space="0" w:color="000000"/>
              <w:left w:val="single" w:sz="8" w:space="0" w:color="000000"/>
              <w:bottom w:val="single" w:sz="8" w:space="0" w:color="000000"/>
              <w:right w:val="single" w:sz="8" w:space="0" w:color="000000"/>
            </w:tcBorders>
            <w:shd w:val="clear" w:color="auto" w:fill="F7CAAC"/>
            <w:tcMar>
              <w:top w:w="100" w:type="dxa"/>
              <w:left w:w="100" w:type="dxa"/>
              <w:bottom w:w="100" w:type="dxa"/>
              <w:right w:w="100" w:type="dxa"/>
            </w:tcMar>
          </w:tcPr>
          <w:p w14:paraId="55F4E182" w14:textId="77777777" w:rsidR="00C90B98" w:rsidRDefault="00C90B98" w:rsidP="00E86513">
            <w:pPr>
              <w:spacing w:before="0" w:after="0" w:line="240" w:lineRule="auto"/>
              <w:jc w:val="center"/>
              <w:rPr>
                <w:rFonts w:eastAsia="Times New Roman" w:cs="Times New Roman"/>
                <w:sz w:val="20"/>
                <w:szCs w:val="20"/>
              </w:rPr>
            </w:pPr>
            <w:r>
              <w:rPr>
                <w:rFonts w:eastAsia="Times New Roman" w:cs="Times New Roman"/>
                <w:b/>
                <w:color w:val="232323"/>
                <w:sz w:val="20"/>
                <w:szCs w:val="20"/>
              </w:rPr>
              <w:t>2019</w:t>
            </w:r>
          </w:p>
        </w:tc>
        <w:tc>
          <w:tcPr>
            <w:tcW w:w="1701" w:type="dxa"/>
            <w:gridSpan w:val="2"/>
            <w:tcBorders>
              <w:top w:val="single" w:sz="8" w:space="0" w:color="000000"/>
              <w:left w:val="single" w:sz="8" w:space="0" w:color="000000"/>
              <w:bottom w:val="single" w:sz="8" w:space="0" w:color="000000"/>
              <w:right w:val="single" w:sz="8" w:space="0" w:color="000000"/>
            </w:tcBorders>
            <w:shd w:val="clear" w:color="auto" w:fill="F7CAAC"/>
            <w:tcMar>
              <w:top w:w="100" w:type="dxa"/>
              <w:left w:w="100" w:type="dxa"/>
              <w:bottom w:w="100" w:type="dxa"/>
              <w:right w:w="100" w:type="dxa"/>
            </w:tcMar>
          </w:tcPr>
          <w:p w14:paraId="2E7C2865" w14:textId="77777777" w:rsidR="00C90B98" w:rsidRDefault="00C90B98" w:rsidP="00E86513">
            <w:pPr>
              <w:spacing w:before="0" w:after="0" w:line="240" w:lineRule="auto"/>
              <w:jc w:val="center"/>
              <w:rPr>
                <w:rFonts w:eastAsia="Times New Roman" w:cs="Times New Roman"/>
                <w:sz w:val="20"/>
                <w:szCs w:val="20"/>
              </w:rPr>
            </w:pPr>
            <w:r>
              <w:rPr>
                <w:rFonts w:eastAsia="Times New Roman" w:cs="Times New Roman"/>
                <w:b/>
                <w:color w:val="232323"/>
                <w:sz w:val="20"/>
                <w:szCs w:val="20"/>
              </w:rPr>
              <w:t>2020</w:t>
            </w:r>
          </w:p>
        </w:tc>
        <w:tc>
          <w:tcPr>
            <w:tcW w:w="1701" w:type="dxa"/>
            <w:gridSpan w:val="2"/>
            <w:tcBorders>
              <w:top w:val="single" w:sz="8" w:space="0" w:color="000000"/>
              <w:left w:val="single" w:sz="8" w:space="0" w:color="000000"/>
              <w:bottom w:val="single" w:sz="8" w:space="0" w:color="000000"/>
              <w:right w:val="single" w:sz="8" w:space="0" w:color="000000"/>
            </w:tcBorders>
            <w:shd w:val="clear" w:color="auto" w:fill="F7CAAC"/>
            <w:tcMar>
              <w:top w:w="100" w:type="dxa"/>
              <w:left w:w="100" w:type="dxa"/>
              <w:bottom w:w="100" w:type="dxa"/>
              <w:right w:w="100" w:type="dxa"/>
            </w:tcMar>
          </w:tcPr>
          <w:p w14:paraId="6C26814E" w14:textId="77777777" w:rsidR="00C90B98" w:rsidRDefault="00C90B98" w:rsidP="00E86513">
            <w:pPr>
              <w:spacing w:before="0" w:after="0" w:line="240" w:lineRule="auto"/>
              <w:jc w:val="center"/>
              <w:rPr>
                <w:rFonts w:eastAsia="Times New Roman" w:cs="Times New Roman"/>
                <w:sz w:val="20"/>
                <w:szCs w:val="20"/>
              </w:rPr>
            </w:pPr>
            <w:r>
              <w:rPr>
                <w:rFonts w:eastAsia="Times New Roman" w:cs="Times New Roman"/>
                <w:b/>
                <w:color w:val="232323"/>
                <w:sz w:val="20"/>
                <w:szCs w:val="20"/>
              </w:rPr>
              <w:t>2021</w:t>
            </w:r>
          </w:p>
        </w:tc>
        <w:tc>
          <w:tcPr>
            <w:tcW w:w="1896" w:type="dxa"/>
            <w:tcBorders>
              <w:top w:val="single" w:sz="8" w:space="0" w:color="000000"/>
              <w:left w:val="single" w:sz="8" w:space="0" w:color="000000"/>
              <w:bottom w:val="single" w:sz="6" w:space="0" w:color="000000"/>
              <w:right w:val="single" w:sz="8" w:space="0" w:color="000000"/>
            </w:tcBorders>
            <w:shd w:val="clear" w:color="auto" w:fill="F7CAAC"/>
            <w:tcMar>
              <w:top w:w="100" w:type="dxa"/>
              <w:left w:w="100" w:type="dxa"/>
              <w:bottom w:w="100" w:type="dxa"/>
              <w:right w:w="100" w:type="dxa"/>
            </w:tcMar>
          </w:tcPr>
          <w:p w14:paraId="1C3B8CA4" w14:textId="77777777" w:rsidR="00C90B98" w:rsidRDefault="00C90B98" w:rsidP="00E86513">
            <w:pPr>
              <w:spacing w:before="0" w:after="0" w:line="240" w:lineRule="auto"/>
              <w:jc w:val="center"/>
              <w:rPr>
                <w:rFonts w:eastAsia="Times New Roman" w:cs="Times New Roman"/>
                <w:sz w:val="20"/>
                <w:szCs w:val="20"/>
              </w:rPr>
            </w:pPr>
            <w:r>
              <w:rPr>
                <w:rFonts w:eastAsia="Times New Roman" w:cs="Times New Roman"/>
                <w:b/>
                <w:color w:val="232323"/>
                <w:sz w:val="20"/>
                <w:szCs w:val="20"/>
              </w:rPr>
              <w:t>Starea stocului</w:t>
            </w:r>
          </w:p>
        </w:tc>
      </w:tr>
      <w:tr w:rsidR="00C90B98" w14:paraId="4412659F" w14:textId="77777777" w:rsidTr="00C90B98">
        <w:trPr>
          <w:trHeight w:val="17"/>
        </w:trPr>
        <w:tc>
          <w:tcPr>
            <w:tcW w:w="2272" w:type="dxa"/>
            <w:tcBorders>
              <w:top w:val="single" w:sz="6" w:space="0" w:color="000000"/>
              <w:left w:val="single" w:sz="8" w:space="0" w:color="000000"/>
              <w:bottom w:val="single" w:sz="8" w:space="0" w:color="000000"/>
              <w:right w:val="single" w:sz="8" w:space="0" w:color="000000"/>
            </w:tcBorders>
            <w:shd w:val="clear" w:color="auto" w:fill="DBDBDB"/>
            <w:tcMar>
              <w:top w:w="100" w:type="dxa"/>
              <w:left w:w="100" w:type="dxa"/>
              <w:bottom w:w="100" w:type="dxa"/>
              <w:right w:w="100" w:type="dxa"/>
            </w:tcMar>
          </w:tcPr>
          <w:p w14:paraId="18C17969" w14:textId="77777777" w:rsidR="00C90B98" w:rsidRDefault="00C90B98" w:rsidP="00E86513">
            <w:pPr>
              <w:spacing w:before="0" w:after="0" w:line="240" w:lineRule="auto"/>
              <w:rPr>
                <w:rFonts w:eastAsia="Times New Roman" w:cs="Times New Roman"/>
                <w:sz w:val="20"/>
                <w:szCs w:val="20"/>
              </w:rPr>
            </w:pPr>
            <w:r>
              <w:rPr>
                <w:rFonts w:eastAsia="Times New Roman" w:cs="Times New Roman"/>
                <w:color w:val="000000"/>
                <w:sz w:val="20"/>
                <w:szCs w:val="20"/>
              </w:rPr>
              <w:t> </w:t>
            </w:r>
          </w:p>
        </w:tc>
        <w:tc>
          <w:tcPr>
            <w:tcW w:w="805" w:type="dxa"/>
            <w:tcBorders>
              <w:top w:val="single" w:sz="8" w:space="0" w:color="000000"/>
              <w:left w:val="single" w:sz="8" w:space="0" w:color="000000"/>
              <w:bottom w:val="single" w:sz="8" w:space="0" w:color="000000"/>
              <w:right w:val="single" w:sz="8" w:space="0" w:color="000000"/>
            </w:tcBorders>
            <w:shd w:val="clear" w:color="auto" w:fill="DBDBDB"/>
            <w:tcMar>
              <w:top w:w="100" w:type="dxa"/>
              <w:left w:w="100" w:type="dxa"/>
              <w:bottom w:w="100" w:type="dxa"/>
              <w:right w:w="100" w:type="dxa"/>
            </w:tcMar>
          </w:tcPr>
          <w:p w14:paraId="515B76C1" w14:textId="77777777" w:rsidR="00C90B98" w:rsidRDefault="00C90B98" w:rsidP="00E86513">
            <w:pPr>
              <w:spacing w:before="0" w:after="0" w:line="240" w:lineRule="auto"/>
              <w:ind w:right="100" w:firstLine="0"/>
              <w:rPr>
                <w:rFonts w:eastAsia="Times New Roman" w:cs="Times New Roman"/>
                <w:sz w:val="20"/>
                <w:szCs w:val="20"/>
              </w:rPr>
            </w:pPr>
            <w:r>
              <w:rPr>
                <w:rFonts w:eastAsia="Times New Roman" w:cs="Times New Roman"/>
                <w:color w:val="1F1F1F"/>
                <w:sz w:val="20"/>
                <w:szCs w:val="20"/>
              </w:rPr>
              <w:t>SSB</w:t>
            </w:r>
          </w:p>
          <w:p w14:paraId="3CE79A23" w14:textId="77777777" w:rsidR="00C90B98" w:rsidRDefault="00C90B98" w:rsidP="00E86513">
            <w:pPr>
              <w:spacing w:before="0" w:after="0" w:line="240" w:lineRule="auto"/>
              <w:ind w:right="100" w:firstLine="0"/>
              <w:rPr>
                <w:rFonts w:eastAsia="Times New Roman" w:cs="Times New Roman"/>
                <w:sz w:val="20"/>
                <w:szCs w:val="20"/>
              </w:rPr>
            </w:pPr>
            <w:r>
              <w:rPr>
                <w:rFonts w:eastAsia="Times New Roman" w:cs="Times New Roman"/>
                <w:color w:val="1F1F1F"/>
                <w:sz w:val="20"/>
                <w:szCs w:val="20"/>
              </w:rPr>
              <w:t>tone</w:t>
            </w:r>
          </w:p>
        </w:tc>
        <w:tc>
          <w:tcPr>
            <w:tcW w:w="851" w:type="dxa"/>
            <w:tcBorders>
              <w:top w:val="single" w:sz="8" w:space="0" w:color="000000"/>
              <w:left w:val="single" w:sz="8" w:space="0" w:color="000000"/>
              <w:bottom w:val="single" w:sz="8" w:space="0" w:color="000000"/>
              <w:right w:val="single" w:sz="8" w:space="0" w:color="000000"/>
            </w:tcBorders>
            <w:shd w:val="clear" w:color="auto" w:fill="DBDBDB"/>
            <w:tcMar>
              <w:top w:w="100" w:type="dxa"/>
              <w:left w:w="100" w:type="dxa"/>
              <w:bottom w:w="100" w:type="dxa"/>
              <w:right w:w="100" w:type="dxa"/>
            </w:tcMar>
          </w:tcPr>
          <w:p w14:paraId="1C110A42" w14:textId="77777777" w:rsidR="00C90B98" w:rsidRDefault="00C90B98" w:rsidP="00E86513">
            <w:pPr>
              <w:spacing w:before="0" w:after="0" w:line="240" w:lineRule="auto"/>
              <w:jc w:val="center"/>
              <w:rPr>
                <w:rFonts w:eastAsia="Times New Roman" w:cs="Times New Roman"/>
                <w:sz w:val="20"/>
                <w:szCs w:val="20"/>
              </w:rPr>
            </w:pPr>
            <w:r>
              <w:rPr>
                <w:rFonts w:eastAsia="Times New Roman" w:cs="Times New Roman"/>
                <w:color w:val="1F1F1F"/>
                <w:sz w:val="20"/>
                <w:szCs w:val="20"/>
              </w:rPr>
              <w:t>FMSY</w:t>
            </w:r>
          </w:p>
        </w:tc>
        <w:tc>
          <w:tcPr>
            <w:tcW w:w="850" w:type="dxa"/>
            <w:tcBorders>
              <w:top w:val="single" w:sz="8" w:space="0" w:color="000000"/>
              <w:left w:val="single" w:sz="8" w:space="0" w:color="000000"/>
              <w:bottom w:val="single" w:sz="8" w:space="0" w:color="000000"/>
              <w:right w:val="single" w:sz="8" w:space="0" w:color="000000"/>
            </w:tcBorders>
            <w:shd w:val="clear" w:color="auto" w:fill="DBDBDB"/>
            <w:tcMar>
              <w:top w:w="100" w:type="dxa"/>
              <w:left w:w="100" w:type="dxa"/>
              <w:bottom w:w="100" w:type="dxa"/>
              <w:right w:w="100" w:type="dxa"/>
            </w:tcMar>
          </w:tcPr>
          <w:p w14:paraId="54C33BC6" w14:textId="77777777" w:rsidR="00C90B98" w:rsidRDefault="00C90B98" w:rsidP="00E86513">
            <w:pPr>
              <w:spacing w:before="0" w:after="0" w:line="240" w:lineRule="auto"/>
              <w:ind w:left="140" w:right="100" w:firstLine="0"/>
              <w:rPr>
                <w:rFonts w:eastAsia="Times New Roman" w:cs="Times New Roman"/>
                <w:sz w:val="20"/>
                <w:szCs w:val="20"/>
              </w:rPr>
            </w:pPr>
            <w:r>
              <w:rPr>
                <w:rFonts w:eastAsia="Times New Roman" w:cs="Times New Roman"/>
                <w:color w:val="1F1F1F"/>
                <w:sz w:val="20"/>
                <w:szCs w:val="20"/>
              </w:rPr>
              <w:t>SSB</w:t>
            </w:r>
          </w:p>
          <w:p w14:paraId="60D904CD" w14:textId="77777777" w:rsidR="00C90B98" w:rsidRDefault="00C90B98" w:rsidP="00E86513">
            <w:pPr>
              <w:spacing w:before="0" w:after="0" w:line="240" w:lineRule="auto"/>
              <w:ind w:left="140" w:right="100" w:firstLine="0"/>
              <w:rPr>
                <w:rFonts w:eastAsia="Times New Roman" w:cs="Times New Roman"/>
                <w:sz w:val="20"/>
                <w:szCs w:val="20"/>
              </w:rPr>
            </w:pPr>
            <w:r>
              <w:rPr>
                <w:rFonts w:eastAsia="Times New Roman" w:cs="Times New Roman"/>
                <w:color w:val="1C1C1C"/>
                <w:sz w:val="20"/>
                <w:szCs w:val="20"/>
              </w:rPr>
              <w:t>tone</w:t>
            </w:r>
          </w:p>
        </w:tc>
        <w:tc>
          <w:tcPr>
            <w:tcW w:w="851" w:type="dxa"/>
            <w:tcBorders>
              <w:top w:val="single" w:sz="8" w:space="0" w:color="000000"/>
              <w:left w:val="single" w:sz="8" w:space="0" w:color="000000"/>
              <w:bottom w:val="single" w:sz="8" w:space="0" w:color="000000"/>
              <w:right w:val="single" w:sz="8" w:space="0" w:color="000000"/>
            </w:tcBorders>
            <w:shd w:val="clear" w:color="auto" w:fill="DBDBDB"/>
            <w:tcMar>
              <w:top w:w="100" w:type="dxa"/>
              <w:left w:w="100" w:type="dxa"/>
              <w:bottom w:w="100" w:type="dxa"/>
              <w:right w:w="100" w:type="dxa"/>
            </w:tcMar>
          </w:tcPr>
          <w:p w14:paraId="009A1F91"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FMSY</w:t>
            </w:r>
          </w:p>
        </w:tc>
        <w:tc>
          <w:tcPr>
            <w:tcW w:w="850" w:type="dxa"/>
            <w:tcBorders>
              <w:top w:val="single" w:sz="8" w:space="0" w:color="000000"/>
              <w:left w:val="single" w:sz="8" w:space="0" w:color="000000"/>
              <w:bottom w:val="single" w:sz="8" w:space="0" w:color="000000"/>
              <w:right w:val="single" w:sz="8" w:space="0" w:color="000000"/>
            </w:tcBorders>
            <w:shd w:val="clear" w:color="auto" w:fill="DBDBDB"/>
            <w:tcMar>
              <w:top w:w="100" w:type="dxa"/>
              <w:left w:w="100" w:type="dxa"/>
              <w:bottom w:w="100" w:type="dxa"/>
              <w:right w:w="100" w:type="dxa"/>
            </w:tcMar>
          </w:tcPr>
          <w:p w14:paraId="33B9B127" w14:textId="77777777" w:rsidR="00C90B98" w:rsidRDefault="00C90B98" w:rsidP="00E86513">
            <w:pPr>
              <w:spacing w:before="0" w:after="0" w:line="240" w:lineRule="auto"/>
              <w:ind w:left="160" w:firstLine="0"/>
              <w:rPr>
                <w:rFonts w:eastAsia="Times New Roman" w:cs="Times New Roman"/>
                <w:sz w:val="20"/>
                <w:szCs w:val="20"/>
              </w:rPr>
            </w:pPr>
            <w:r>
              <w:rPr>
                <w:rFonts w:eastAsia="Times New Roman" w:cs="Times New Roman"/>
                <w:color w:val="1F1F1F"/>
                <w:sz w:val="20"/>
                <w:szCs w:val="20"/>
              </w:rPr>
              <w:t>SSB tone</w:t>
            </w:r>
          </w:p>
        </w:tc>
        <w:tc>
          <w:tcPr>
            <w:tcW w:w="851" w:type="dxa"/>
            <w:tcBorders>
              <w:top w:val="single" w:sz="8" w:space="0" w:color="000000"/>
              <w:left w:val="single" w:sz="8" w:space="0" w:color="000000"/>
              <w:bottom w:val="single" w:sz="8" w:space="0" w:color="000000"/>
              <w:right w:val="single" w:sz="8" w:space="0" w:color="000000"/>
            </w:tcBorders>
            <w:shd w:val="clear" w:color="auto" w:fill="DBDBDB"/>
            <w:tcMar>
              <w:top w:w="100" w:type="dxa"/>
              <w:left w:w="100" w:type="dxa"/>
              <w:bottom w:w="100" w:type="dxa"/>
              <w:right w:w="100" w:type="dxa"/>
            </w:tcMar>
          </w:tcPr>
          <w:p w14:paraId="75CDF6D7" w14:textId="77777777" w:rsidR="00C90B98" w:rsidRDefault="00C90B98" w:rsidP="00E86513">
            <w:pPr>
              <w:spacing w:before="0" w:after="0" w:line="240" w:lineRule="auto"/>
              <w:rPr>
                <w:rFonts w:eastAsia="Times New Roman" w:cs="Times New Roman"/>
                <w:sz w:val="20"/>
                <w:szCs w:val="20"/>
              </w:rPr>
            </w:pPr>
            <w:r>
              <w:rPr>
                <w:rFonts w:eastAsia="Times New Roman" w:cs="Times New Roman"/>
                <w:color w:val="1F1F1F"/>
                <w:sz w:val="20"/>
                <w:szCs w:val="20"/>
              </w:rPr>
              <w:t>FMSY</w:t>
            </w:r>
          </w:p>
        </w:tc>
        <w:tc>
          <w:tcPr>
            <w:tcW w:w="1896" w:type="dxa"/>
            <w:tcBorders>
              <w:top w:val="single" w:sz="6" w:space="0" w:color="000000"/>
              <w:left w:val="single" w:sz="8" w:space="0" w:color="000000"/>
              <w:bottom w:val="single" w:sz="8" w:space="0" w:color="000000"/>
              <w:right w:val="single" w:sz="8" w:space="0" w:color="000000"/>
            </w:tcBorders>
            <w:shd w:val="clear" w:color="auto" w:fill="DBDBDB"/>
            <w:tcMar>
              <w:top w:w="100" w:type="dxa"/>
              <w:left w:w="100" w:type="dxa"/>
              <w:bottom w:w="100" w:type="dxa"/>
              <w:right w:w="100" w:type="dxa"/>
            </w:tcMar>
          </w:tcPr>
          <w:p w14:paraId="79837AFE" w14:textId="77777777" w:rsidR="00C90B98" w:rsidRDefault="00C90B98" w:rsidP="00E86513">
            <w:pPr>
              <w:spacing w:before="0" w:after="0" w:line="240" w:lineRule="auto"/>
              <w:rPr>
                <w:rFonts w:eastAsia="Times New Roman" w:cs="Times New Roman"/>
                <w:sz w:val="20"/>
                <w:szCs w:val="20"/>
              </w:rPr>
            </w:pPr>
            <w:r>
              <w:rPr>
                <w:rFonts w:eastAsia="Times New Roman" w:cs="Times New Roman"/>
                <w:color w:val="1F1F1F"/>
                <w:sz w:val="20"/>
                <w:szCs w:val="20"/>
              </w:rPr>
              <w:t>(Z022)</w:t>
            </w:r>
          </w:p>
        </w:tc>
      </w:tr>
      <w:tr w:rsidR="00C90B98" w14:paraId="10BB4C04" w14:textId="77777777" w:rsidTr="00C90B98">
        <w:trPr>
          <w:trHeight w:val="265"/>
        </w:trPr>
        <w:tc>
          <w:tcPr>
            <w:tcW w:w="22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D16EA3"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 xml:space="preserve">Sprot, </w:t>
            </w:r>
            <w:r>
              <w:rPr>
                <w:rFonts w:eastAsia="Times New Roman" w:cs="Times New Roman"/>
                <w:i/>
                <w:color w:val="1F1F1F"/>
                <w:sz w:val="20"/>
                <w:szCs w:val="20"/>
              </w:rPr>
              <w:t>Sprattus sprattus</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8E2FF1"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D20A63"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000000"/>
                <w:sz w:val="20"/>
                <w:szCs w:val="20"/>
              </w:rPr>
              <w:t> </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E57000"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000000"/>
                <w:sz w:val="20"/>
                <w:szCs w:val="20"/>
              </w:rPr>
              <w:t> </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068964"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1,28</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D18F8E" w14:textId="77777777" w:rsidR="00C90B98" w:rsidRDefault="00C90B98" w:rsidP="00E86513">
            <w:pPr>
              <w:spacing w:before="0" w:after="0" w:line="240" w:lineRule="auto"/>
              <w:jc w:val="right"/>
              <w:rPr>
                <w:rFonts w:eastAsia="Times New Roman" w:cs="Times New Roman"/>
                <w:sz w:val="20"/>
                <w:szCs w:val="20"/>
              </w:rPr>
            </w:pPr>
            <w:r>
              <w:rPr>
                <w:rFonts w:eastAsia="Times New Roman" w:cs="Times New Roman"/>
                <w:color w:val="000000"/>
                <w:sz w:val="20"/>
                <w:szCs w:val="20"/>
              </w:rPr>
              <w:t> </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7D0657"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000000"/>
                <w:sz w:val="20"/>
                <w:szCs w:val="20"/>
              </w:rPr>
              <w:t> </w:t>
            </w:r>
          </w:p>
        </w:tc>
        <w:tc>
          <w:tcPr>
            <w:tcW w:w="189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D690396"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exploatat durabil</w:t>
            </w:r>
          </w:p>
        </w:tc>
      </w:tr>
      <w:tr w:rsidR="00C90B98" w14:paraId="6DB52F6C" w14:textId="77777777" w:rsidTr="00C90B98">
        <w:trPr>
          <w:trHeight w:val="63"/>
        </w:trPr>
        <w:tc>
          <w:tcPr>
            <w:tcW w:w="22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ABAD52" w14:textId="590C43DF" w:rsidR="00C90B98" w:rsidRPr="00E86513" w:rsidRDefault="00C90B98" w:rsidP="00E86513">
            <w:pPr>
              <w:spacing w:before="0" w:after="0" w:line="240" w:lineRule="auto"/>
              <w:ind w:firstLine="0"/>
              <w:rPr>
                <w:rFonts w:eastAsia="Times New Roman" w:cs="Times New Roman"/>
                <w:color w:val="1F1F1F"/>
                <w:sz w:val="20"/>
                <w:szCs w:val="20"/>
              </w:rPr>
            </w:pPr>
            <w:r>
              <w:rPr>
                <w:rFonts w:eastAsia="Times New Roman" w:cs="Times New Roman"/>
                <w:color w:val="1F1F1F"/>
                <w:sz w:val="20"/>
                <w:szCs w:val="20"/>
              </w:rPr>
              <w:t xml:space="preserve">Calcan, </w:t>
            </w:r>
            <w:r>
              <w:rPr>
                <w:rFonts w:eastAsia="Times New Roman" w:cs="Times New Roman"/>
                <w:i/>
                <w:color w:val="1F1F1F"/>
                <w:sz w:val="20"/>
                <w:szCs w:val="20"/>
              </w:rPr>
              <w:t>Psetta maeoticus</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24C795"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0959B8"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1,70</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C3E9B2" w14:textId="77777777" w:rsidR="00C90B98" w:rsidRDefault="00C90B98" w:rsidP="00E86513">
            <w:pPr>
              <w:spacing w:before="0" w:after="0" w:line="240" w:lineRule="auto"/>
              <w:jc w:val="right"/>
              <w:rPr>
                <w:rFonts w:eastAsia="Times New Roman" w:cs="Times New Roman"/>
                <w:sz w:val="20"/>
                <w:szCs w:val="20"/>
              </w:rPr>
            </w:pPr>
            <w:r>
              <w:rPr>
                <w:rFonts w:eastAsia="Times New Roman" w:cs="Times New Roman"/>
                <w:color w:val="000000"/>
                <w:sz w:val="20"/>
                <w:szCs w:val="20"/>
              </w:rPr>
              <w:t> </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E92343"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1,75</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FA93C3"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9034</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037230"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1,26</w:t>
            </w:r>
          </w:p>
        </w:tc>
        <w:tc>
          <w:tcPr>
            <w:tcW w:w="189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C4066D1"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Supraexploatat</w:t>
            </w:r>
          </w:p>
        </w:tc>
      </w:tr>
      <w:tr w:rsidR="00C90B98" w14:paraId="1185B3CA" w14:textId="77777777" w:rsidTr="00C90B98">
        <w:trPr>
          <w:trHeight w:val="612"/>
        </w:trPr>
        <w:tc>
          <w:tcPr>
            <w:tcW w:w="22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0B86DA" w14:textId="52649B3D" w:rsidR="00C90B98" w:rsidRPr="00E86513" w:rsidRDefault="00C90B98" w:rsidP="00E86513">
            <w:pPr>
              <w:spacing w:before="0" w:after="0" w:line="240" w:lineRule="auto"/>
              <w:ind w:firstLine="0"/>
              <w:rPr>
                <w:rFonts w:eastAsia="Times New Roman" w:cs="Times New Roman"/>
                <w:color w:val="1F1F1F"/>
                <w:sz w:val="20"/>
                <w:szCs w:val="20"/>
              </w:rPr>
            </w:pPr>
            <w:r>
              <w:rPr>
                <w:rFonts w:eastAsia="Times New Roman" w:cs="Times New Roman"/>
                <w:color w:val="1F1F1F"/>
                <w:sz w:val="20"/>
                <w:szCs w:val="20"/>
              </w:rPr>
              <w:t>Bacaliar,</w:t>
            </w:r>
            <w:r w:rsidR="00E86513">
              <w:rPr>
                <w:rFonts w:eastAsia="Times New Roman" w:cs="Times New Roman"/>
                <w:color w:val="1F1F1F"/>
                <w:sz w:val="20"/>
                <w:szCs w:val="20"/>
              </w:rPr>
              <w:t xml:space="preserve"> </w:t>
            </w:r>
            <w:r>
              <w:rPr>
                <w:rFonts w:eastAsia="Times New Roman" w:cs="Times New Roman"/>
                <w:i/>
                <w:color w:val="1F1F1F"/>
                <w:sz w:val="20"/>
                <w:szCs w:val="20"/>
              </w:rPr>
              <w:t>Merlangus merlangus euxinus</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414073"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523ACC"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000000"/>
                <w:sz w:val="20"/>
                <w:szCs w:val="20"/>
              </w:rPr>
              <w:t> </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A64E5F"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000000"/>
                <w:sz w:val="20"/>
                <w:szCs w:val="20"/>
              </w:rPr>
              <w:t> </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195712"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000000"/>
                <w:sz w:val="20"/>
                <w:szCs w:val="20"/>
              </w:rPr>
              <w:t> </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2E4618"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12827</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43B4F4"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1,24</w:t>
            </w:r>
          </w:p>
        </w:tc>
        <w:tc>
          <w:tcPr>
            <w:tcW w:w="189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881AAE4"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Supraexploatat</w:t>
            </w:r>
          </w:p>
        </w:tc>
      </w:tr>
      <w:tr w:rsidR="00C90B98" w14:paraId="04ACAF13" w14:textId="77777777" w:rsidTr="00C90B98">
        <w:trPr>
          <w:trHeight w:val="414"/>
        </w:trPr>
        <w:tc>
          <w:tcPr>
            <w:tcW w:w="22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4F0062"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Rechin,</w:t>
            </w:r>
            <w:r>
              <w:rPr>
                <w:rFonts w:eastAsia="Times New Roman" w:cs="Times New Roman"/>
                <w:i/>
                <w:color w:val="1F1F1F"/>
                <w:sz w:val="20"/>
                <w:szCs w:val="20"/>
              </w:rPr>
              <w:t xml:space="preserve"> Squalus acanthias</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CE8BB0"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D1C1D8" w14:textId="77777777" w:rsidR="00C90B98" w:rsidRDefault="00C90B98" w:rsidP="00E86513">
            <w:pPr>
              <w:spacing w:before="0" w:after="0" w:line="240" w:lineRule="auto"/>
              <w:jc w:val="right"/>
              <w:rPr>
                <w:rFonts w:eastAsia="Times New Roman" w:cs="Times New Roman"/>
                <w:sz w:val="20"/>
                <w:szCs w:val="20"/>
              </w:rPr>
            </w:pPr>
            <w:r>
              <w:rPr>
                <w:rFonts w:eastAsia="Times New Roman" w:cs="Times New Roman"/>
                <w:color w:val="000000"/>
                <w:sz w:val="20"/>
                <w:szCs w:val="20"/>
              </w:rPr>
              <w:t> </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064C50" w14:textId="77777777" w:rsidR="00C90B98" w:rsidRDefault="00C90B98" w:rsidP="00E86513">
            <w:pPr>
              <w:spacing w:before="0" w:after="0" w:line="240" w:lineRule="auto"/>
              <w:jc w:val="right"/>
              <w:rPr>
                <w:rFonts w:eastAsia="Times New Roman" w:cs="Times New Roman"/>
                <w:sz w:val="20"/>
                <w:szCs w:val="20"/>
              </w:rPr>
            </w:pPr>
            <w:r>
              <w:rPr>
                <w:rFonts w:eastAsia="Times New Roman" w:cs="Times New Roman"/>
                <w:color w:val="000000"/>
                <w:sz w:val="20"/>
                <w:szCs w:val="20"/>
              </w:rPr>
              <w:t> </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AA98E5" w14:textId="77777777" w:rsidR="00C90B98" w:rsidRDefault="00C90B98" w:rsidP="00E86513">
            <w:pPr>
              <w:spacing w:before="0" w:after="0" w:line="240" w:lineRule="auto"/>
              <w:jc w:val="right"/>
              <w:rPr>
                <w:rFonts w:eastAsia="Times New Roman" w:cs="Times New Roman"/>
                <w:sz w:val="20"/>
                <w:szCs w:val="20"/>
              </w:rPr>
            </w:pPr>
            <w:r>
              <w:rPr>
                <w:rFonts w:eastAsia="Times New Roman" w:cs="Times New Roman"/>
                <w:color w:val="000000"/>
                <w:sz w:val="20"/>
                <w:szCs w:val="20"/>
              </w:rPr>
              <w:t> </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B8382B" w14:textId="77777777" w:rsidR="00C90B98" w:rsidRDefault="00C90B98" w:rsidP="00E86513">
            <w:pPr>
              <w:spacing w:before="0" w:after="0" w:line="240" w:lineRule="auto"/>
              <w:jc w:val="right"/>
              <w:rPr>
                <w:rFonts w:eastAsia="Times New Roman" w:cs="Times New Roman"/>
                <w:sz w:val="20"/>
                <w:szCs w:val="20"/>
              </w:rPr>
            </w:pPr>
            <w:r>
              <w:rPr>
                <w:rFonts w:eastAsia="Times New Roman" w:cs="Times New Roman"/>
                <w:color w:val="000000"/>
                <w:sz w:val="20"/>
                <w:szCs w:val="20"/>
              </w:rPr>
              <w:t> </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4FC58E" w14:textId="77777777" w:rsidR="00C90B98" w:rsidRDefault="00C90B98" w:rsidP="00E86513">
            <w:pPr>
              <w:spacing w:before="0" w:after="0" w:line="240" w:lineRule="auto"/>
              <w:jc w:val="right"/>
              <w:rPr>
                <w:rFonts w:eastAsia="Times New Roman" w:cs="Times New Roman"/>
                <w:sz w:val="20"/>
                <w:szCs w:val="20"/>
              </w:rPr>
            </w:pPr>
            <w:r>
              <w:rPr>
                <w:rFonts w:eastAsia="Times New Roman" w:cs="Times New Roman"/>
                <w:color w:val="000000"/>
                <w:sz w:val="20"/>
                <w:szCs w:val="20"/>
              </w:rPr>
              <w:t> </w:t>
            </w:r>
          </w:p>
        </w:tc>
        <w:tc>
          <w:tcPr>
            <w:tcW w:w="189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A5AB3B2"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stoc epuizat</w:t>
            </w:r>
          </w:p>
        </w:tc>
      </w:tr>
      <w:tr w:rsidR="00C90B98" w14:paraId="1F8AC12E" w14:textId="77777777" w:rsidTr="00C90B98">
        <w:trPr>
          <w:trHeight w:val="488"/>
        </w:trPr>
        <w:tc>
          <w:tcPr>
            <w:tcW w:w="22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43130B" w14:textId="559A6319" w:rsidR="00C90B98" w:rsidRPr="00E86513" w:rsidRDefault="00C90B98" w:rsidP="00E86513">
            <w:pPr>
              <w:spacing w:before="0" w:after="0" w:line="240" w:lineRule="auto"/>
              <w:ind w:firstLine="0"/>
              <w:rPr>
                <w:rFonts w:eastAsia="Times New Roman" w:cs="Times New Roman"/>
                <w:color w:val="131313"/>
                <w:sz w:val="20"/>
                <w:szCs w:val="20"/>
              </w:rPr>
            </w:pPr>
            <w:r>
              <w:rPr>
                <w:rFonts w:eastAsia="Times New Roman" w:cs="Times New Roman"/>
                <w:color w:val="131313"/>
                <w:sz w:val="20"/>
                <w:szCs w:val="20"/>
              </w:rPr>
              <w:t>Rapana,</w:t>
            </w:r>
            <w:r w:rsidR="00E86513">
              <w:rPr>
                <w:rFonts w:eastAsia="Times New Roman" w:cs="Times New Roman"/>
                <w:color w:val="131313"/>
                <w:sz w:val="20"/>
                <w:szCs w:val="20"/>
              </w:rPr>
              <w:t xml:space="preserve"> </w:t>
            </w:r>
            <w:r>
              <w:rPr>
                <w:rFonts w:eastAsia="Times New Roman" w:cs="Times New Roman"/>
                <w:i/>
                <w:color w:val="1F1F1F"/>
                <w:sz w:val="20"/>
                <w:szCs w:val="20"/>
              </w:rPr>
              <w:t>Rapana venosa</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3E8C01"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8DB159"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0,20</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D95289"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000000"/>
                <w:sz w:val="20"/>
                <w:szCs w:val="20"/>
              </w:rPr>
              <w:t> </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403C3E"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0,92</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53F4B5"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67426</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DFA9F5"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1,01</w:t>
            </w:r>
          </w:p>
        </w:tc>
        <w:tc>
          <w:tcPr>
            <w:tcW w:w="189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E87EC8D"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000000"/>
                <w:sz w:val="20"/>
                <w:szCs w:val="20"/>
              </w:rPr>
              <w:t>în jurul punctelor de referință</w:t>
            </w:r>
          </w:p>
        </w:tc>
      </w:tr>
    </w:tbl>
    <w:p w14:paraId="2921C107" w14:textId="77777777" w:rsidR="00C90B98" w:rsidRDefault="00C90B98" w:rsidP="00E86513">
      <w:pPr>
        <w:spacing w:before="0"/>
        <w:jc w:val="center"/>
        <w:rPr>
          <w:rFonts w:eastAsia="Times New Roman" w:cs="Times New Roman"/>
          <w:b/>
        </w:rPr>
      </w:pPr>
    </w:p>
    <w:p w14:paraId="0EF6EFAE" w14:textId="1ED8946B" w:rsidR="00C90B98" w:rsidRDefault="00C90B98" w:rsidP="00E86513">
      <w:pPr>
        <w:spacing w:before="0"/>
        <w:ind w:firstLine="567"/>
        <w:rPr>
          <w:rFonts w:eastAsia="Times New Roman" w:cs="Times New Roman"/>
        </w:rPr>
      </w:pPr>
      <w:r>
        <w:rPr>
          <w:rFonts w:eastAsia="Times New Roman" w:cs="Times New Roman"/>
          <w:color w:val="000000"/>
        </w:rPr>
        <w:t>Distribuția populației în funcție de vârstă și dimensiuni</w:t>
      </w:r>
      <w:r>
        <w:rPr>
          <w:rFonts w:eastAsia="Times New Roman" w:cs="Times New Roman"/>
        </w:rPr>
        <w:t xml:space="preserve">, pentru anii 2021 și 2022, este redată în Tabelul </w:t>
      </w:r>
      <w:r w:rsidR="00E86513">
        <w:rPr>
          <w:rFonts w:eastAsia="Times New Roman" w:cs="Times New Roman"/>
        </w:rPr>
        <w:t>2.</w:t>
      </w:r>
      <w:r>
        <w:rPr>
          <w:rFonts w:eastAsia="Times New Roman" w:cs="Times New Roman"/>
        </w:rPr>
        <w:t xml:space="preserve">4.4.2.2. </w:t>
      </w:r>
    </w:p>
    <w:p w14:paraId="32559A4A" w14:textId="77777777" w:rsidR="00C90B98" w:rsidRDefault="00C90B98" w:rsidP="00C90B98">
      <w:pPr>
        <w:ind w:firstLine="567"/>
        <w:rPr>
          <w:rFonts w:eastAsia="Times New Roman" w:cs="Times New Roman"/>
        </w:rPr>
      </w:pPr>
    </w:p>
    <w:p w14:paraId="190CC594" w14:textId="75C29AA5" w:rsidR="00C90B98" w:rsidRDefault="00C90B98" w:rsidP="00C90B98">
      <w:pPr>
        <w:spacing w:line="240" w:lineRule="auto"/>
        <w:jc w:val="center"/>
        <w:rPr>
          <w:rFonts w:eastAsia="Times New Roman" w:cs="Times New Roman"/>
        </w:rPr>
      </w:pPr>
      <w:r>
        <w:rPr>
          <w:rFonts w:eastAsia="Times New Roman" w:cs="Times New Roman"/>
          <w:b/>
          <w:color w:val="000000"/>
        </w:rPr>
        <w:t xml:space="preserve">Tabel </w:t>
      </w:r>
      <w:r w:rsidR="00E86513">
        <w:rPr>
          <w:rFonts w:eastAsia="Times New Roman" w:cs="Times New Roman"/>
          <w:b/>
          <w:color w:val="000000"/>
        </w:rPr>
        <w:t>2.</w:t>
      </w:r>
      <w:r>
        <w:rPr>
          <w:rFonts w:eastAsia="Times New Roman" w:cs="Times New Roman"/>
          <w:b/>
          <w:color w:val="000000"/>
        </w:rPr>
        <w:t xml:space="preserve">4.4.2.2 Stocurile de </w:t>
      </w:r>
      <w:r>
        <w:rPr>
          <w:rFonts w:eastAsia="Times New Roman" w:cs="Times New Roman"/>
          <w:b/>
        </w:rPr>
        <w:t>specii exploatabile</w:t>
      </w:r>
      <w:r>
        <w:rPr>
          <w:rFonts w:eastAsia="Times New Roman" w:cs="Times New Roman"/>
          <w:b/>
          <w:color w:val="000000"/>
        </w:rPr>
        <w:t xml:space="preserve"> comerciali în funcție de vârstă și dimensiuni</w:t>
      </w:r>
    </w:p>
    <w:tbl>
      <w:tblPr>
        <w:tblW w:w="9006" w:type="dxa"/>
        <w:tblLayout w:type="fixed"/>
        <w:tblLook w:val="0400" w:firstRow="0" w:lastRow="0" w:firstColumn="0" w:lastColumn="0" w:noHBand="0" w:noVBand="1"/>
      </w:tblPr>
      <w:tblGrid>
        <w:gridCol w:w="2825"/>
        <w:gridCol w:w="993"/>
        <w:gridCol w:w="1134"/>
        <w:gridCol w:w="1078"/>
        <w:gridCol w:w="937"/>
        <w:gridCol w:w="977"/>
        <w:gridCol w:w="1062"/>
      </w:tblGrid>
      <w:tr w:rsidR="00C90B98" w14:paraId="4931E3D2" w14:textId="77777777" w:rsidTr="00E86513">
        <w:trPr>
          <w:trHeight w:val="680"/>
        </w:trPr>
        <w:tc>
          <w:tcPr>
            <w:tcW w:w="2825" w:type="dxa"/>
            <w:tcBorders>
              <w:top w:val="single" w:sz="8" w:space="0" w:color="000000"/>
              <w:left w:val="single" w:sz="8" w:space="0" w:color="000000"/>
              <w:bottom w:val="single" w:sz="6" w:space="0" w:color="000000"/>
              <w:right w:val="single" w:sz="8" w:space="0" w:color="000000"/>
            </w:tcBorders>
            <w:shd w:val="clear" w:color="auto" w:fill="F7CAAC"/>
            <w:tcMar>
              <w:top w:w="100" w:type="dxa"/>
              <w:left w:w="100" w:type="dxa"/>
              <w:bottom w:w="100" w:type="dxa"/>
              <w:right w:w="100" w:type="dxa"/>
            </w:tcMar>
          </w:tcPr>
          <w:p w14:paraId="1A047730" w14:textId="77777777" w:rsidR="00C90B98" w:rsidRDefault="00C90B98" w:rsidP="00E86513">
            <w:pPr>
              <w:spacing w:before="0" w:after="0" w:line="240" w:lineRule="auto"/>
              <w:rPr>
                <w:rFonts w:eastAsia="Times New Roman" w:cs="Times New Roman"/>
                <w:b/>
                <w:sz w:val="20"/>
                <w:szCs w:val="20"/>
              </w:rPr>
            </w:pPr>
            <w:r>
              <w:rPr>
                <w:rFonts w:eastAsia="Times New Roman" w:cs="Times New Roman"/>
                <w:b/>
                <w:sz w:val="20"/>
                <w:szCs w:val="20"/>
              </w:rPr>
              <w:lastRenderedPageBreak/>
              <w:t>Specii</w:t>
            </w:r>
          </w:p>
        </w:tc>
        <w:tc>
          <w:tcPr>
            <w:tcW w:w="2127" w:type="dxa"/>
            <w:gridSpan w:val="2"/>
            <w:tcBorders>
              <w:top w:val="single" w:sz="8" w:space="0" w:color="000000"/>
              <w:left w:val="single" w:sz="8" w:space="0" w:color="000000"/>
              <w:bottom w:val="single" w:sz="8" w:space="0" w:color="000000"/>
              <w:right w:val="single" w:sz="8" w:space="0" w:color="000000"/>
            </w:tcBorders>
            <w:shd w:val="clear" w:color="auto" w:fill="F7CAAC"/>
            <w:tcMar>
              <w:top w:w="100" w:type="dxa"/>
              <w:left w:w="100" w:type="dxa"/>
              <w:bottom w:w="100" w:type="dxa"/>
              <w:right w:w="100" w:type="dxa"/>
            </w:tcMar>
          </w:tcPr>
          <w:p w14:paraId="385D3DA9" w14:textId="77777777" w:rsidR="00C90B98" w:rsidRDefault="00C90B98" w:rsidP="00E86513">
            <w:pPr>
              <w:spacing w:before="0" w:after="0" w:line="240" w:lineRule="auto"/>
              <w:ind w:firstLine="0"/>
              <w:rPr>
                <w:rFonts w:eastAsia="Times New Roman" w:cs="Times New Roman"/>
                <w:b/>
                <w:sz w:val="20"/>
                <w:szCs w:val="20"/>
              </w:rPr>
            </w:pPr>
            <w:r>
              <w:rPr>
                <w:rFonts w:eastAsia="Times New Roman" w:cs="Times New Roman"/>
                <w:b/>
                <w:sz w:val="20"/>
                <w:szCs w:val="20"/>
              </w:rPr>
              <w:t>Lm</w:t>
            </w:r>
          </w:p>
          <w:p w14:paraId="6C135256" w14:textId="77777777" w:rsidR="00C90B98" w:rsidRDefault="00C90B98" w:rsidP="00E86513">
            <w:pPr>
              <w:spacing w:before="0" w:after="0" w:line="240" w:lineRule="auto"/>
              <w:ind w:firstLine="0"/>
              <w:rPr>
                <w:rFonts w:eastAsia="Times New Roman" w:cs="Times New Roman"/>
                <w:b/>
                <w:sz w:val="20"/>
                <w:szCs w:val="20"/>
              </w:rPr>
            </w:pPr>
            <w:r>
              <w:rPr>
                <w:rFonts w:eastAsia="Times New Roman" w:cs="Times New Roman"/>
                <w:b/>
                <w:sz w:val="20"/>
                <w:szCs w:val="20"/>
              </w:rPr>
              <w:t>(lungimea medie, cm)</w:t>
            </w:r>
          </w:p>
        </w:tc>
        <w:tc>
          <w:tcPr>
            <w:tcW w:w="2015" w:type="dxa"/>
            <w:gridSpan w:val="2"/>
            <w:tcBorders>
              <w:top w:val="single" w:sz="8" w:space="0" w:color="000000"/>
              <w:left w:val="single" w:sz="8" w:space="0" w:color="000000"/>
              <w:bottom w:val="single" w:sz="8" w:space="0" w:color="000000"/>
              <w:right w:val="single" w:sz="8" w:space="0" w:color="000000"/>
            </w:tcBorders>
            <w:shd w:val="clear" w:color="auto" w:fill="F7CAAC"/>
            <w:tcMar>
              <w:top w:w="100" w:type="dxa"/>
              <w:left w:w="100" w:type="dxa"/>
              <w:bottom w:w="100" w:type="dxa"/>
              <w:right w:w="100" w:type="dxa"/>
            </w:tcMar>
          </w:tcPr>
          <w:p w14:paraId="3C4A9432" w14:textId="77777777" w:rsidR="00C90B98" w:rsidRDefault="00C90B98" w:rsidP="00E86513">
            <w:pPr>
              <w:spacing w:before="0" w:after="0" w:line="240" w:lineRule="auto"/>
              <w:ind w:firstLine="0"/>
              <w:rPr>
                <w:rFonts w:eastAsia="Times New Roman" w:cs="Times New Roman"/>
                <w:b/>
                <w:sz w:val="20"/>
                <w:szCs w:val="20"/>
              </w:rPr>
            </w:pPr>
            <w:r>
              <w:rPr>
                <w:rFonts w:eastAsia="Times New Roman" w:cs="Times New Roman"/>
                <w:b/>
                <w:sz w:val="20"/>
                <w:szCs w:val="20"/>
              </w:rPr>
              <w:t>Gm</w:t>
            </w:r>
          </w:p>
          <w:p w14:paraId="14240BD2" w14:textId="77777777" w:rsidR="00C90B98" w:rsidRDefault="00C90B98" w:rsidP="00E86513">
            <w:pPr>
              <w:spacing w:before="0" w:after="0" w:line="240" w:lineRule="auto"/>
              <w:ind w:firstLine="0"/>
              <w:rPr>
                <w:rFonts w:eastAsia="Times New Roman" w:cs="Times New Roman"/>
                <w:b/>
                <w:sz w:val="20"/>
                <w:szCs w:val="20"/>
              </w:rPr>
            </w:pPr>
            <w:r>
              <w:rPr>
                <w:rFonts w:eastAsia="Times New Roman" w:cs="Times New Roman"/>
                <w:b/>
                <w:sz w:val="20"/>
                <w:szCs w:val="20"/>
              </w:rPr>
              <w:t>(greutatea medie, g)</w:t>
            </w:r>
          </w:p>
        </w:tc>
        <w:tc>
          <w:tcPr>
            <w:tcW w:w="2039" w:type="dxa"/>
            <w:gridSpan w:val="2"/>
            <w:tcBorders>
              <w:top w:val="single" w:sz="8" w:space="0" w:color="000000"/>
              <w:left w:val="single" w:sz="8" w:space="0" w:color="000000"/>
              <w:bottom w:val="single" w:sz="8" w:space="0" w:color="000000"/>
              <w:right w:val="single" w:sz="8" w:space="0" w:color="000000"/>
            </w:tcBorders>
            <w:shd w:val="clear" w:color="auto" w:fill="F7CAAC"/>
            <w:tcMar>
              <w:top w:w="100" w:type="dxa"/>
              <w:left w:w="100" w:type="dxa"/>
              <w:bottom w:w="100" w:type="dxa"/>
              <w:right w:w="100" w:type="dxa"/>
            </w:tcMar>
          </w:tcPr>
          <w:p w14:paraId="45E63FF8" w14:textId="77777777" w:rsidR="00C90B98" w:rsidRDefault="00C90B98" w:rsidP="00E86513">
            <w:pPr>
              <w:spacing w:before="0" w:after="0" w:line="240" w:lineRule="auto"/>
              <w:ind w:firstLine="0"/>
              <w:rPr>
                <w:rFonts w:eastAsia="Times New Roman" w:cs="Times New Roman"/>
                <w:b/>
                <w:sz w:val="20"/>
                <w:szCs w:val="20"/>
              </w:rPr>
            </w:pPr>
            <w:r>
              <w:rPr>
                <w:rFonts w:eastAsia="Times New Roman" w:cs="Times New Roman"/>
                <w:b/>
                <w:sz w:val="20"/>
                <w:szCs w:val="20"/>
              </w:rPr>
              <w:t>Vârstă (ani)</w:t>
            </w:r>
          </w:p>
          <w:p w14:paraId="2D30EE47" w14:textId="77777777" w:rsidR="00C90B98" w:rsidRDefault="00C90B98" w:rsidP="00E86513">
            <w:pPr>
              <w:spacing w:before="0" w:after="0" w:line="240" w:lineRule="auto"/>
              <w:ind w:firstLine="0"/>
              <w:rPr>
                <w:rFonts w:eastAsia="Times New Roman" w:cs="Times New Roman"/>
                <w:b/>
                <w:sz w:val="20"/>
                <w:szCs w:val="20"/>
              </w:rPr>
            </w:pPr>
            <w:r>
              <w:rPr>
                <w:rFonts w:eastAsia="Times New Roman" w:cs="Times New Roman"/>
                <w:b/>
                <w:sz w:val="20"/>
                <w:szCs w:val="20"/>
              </w:rPr>
              <w:t>(% predominantă)</w:t>
            </w:r>
          </w:p>
        </w:tc>
      </w:tr>
      <w:tr w:rsidR="00C90B98" w14:paraId="470CAFDB" w14:textId="77777777" w:rsidTr="00E86513">
        <w:trPr>
          <w:trHeight w:val="169"/>
        </w:trPr>
        <w:tc>
          <w:tcPr>
            <w:tcW w:w="2825" w:type="dxa"/>
            <w:tcBorders>
              <w:top w:val="single" w:sz="6" w:space="0" w:color="000000"/>
              <w:left w:val="single" w:sz="8" w:space="0" w:color="000000"/>
              <w:bottom w:val="single" w:sz="8" w:space="0" w:color="000000"/>
              <w:right w:val="single" w:sz="8" w:space="0" w:color="000000"/>
            </w:tcBorders>
            <w:shd w:val="clear" w:color="auto" w:fill="DBDBDB"/>
            <w:tcMar>
              <w:top w:w="100" w:type="dxa"/>
              <w:left w:w="100" w:type="dxa"/>
              <w:bottom w:w="100" w:type="dxa"/>
              <w:right w:w="100" w:type="dxa"/>
            </w:tcMar>
          </w:tcPr>
          <w:p w14:paraId="19FDDAD0" w14:textId="77777777" w:rsidR="00C90B98" w:rsidRDefault="00C90B98" w:rsidP="00E86513">
            <w:pPr>
              <w:spacing w:before="0" w:after="0" w:line="240" w:lineRule="auto"/>
              <w:jc w:val="center"/>
              <w:rPr>
                <w:rFonts w:eastAsia="Times New Roman" w:cs="Times New Roman"/>
                <w:sz w:val="20"/>
                <w:szCs w:val="20"/>
              </w:rPr>
            </w:pPr>
            <w:r>
              <w:rPr>
                <w:rFonts w:eastAsia="Times New Roman" w:cs="Times New Roman"/>
                <w:b/>
                <w:color w:val="000000"/>
                <w:sz w:val="20"/>
                <w:szCs w:val="20"/>
              </w:rPr>
              <w:t> </w:t>
            </w:r>
          </w:p>
        </w:tc>
        <w:tc>
          <w:tcPr>
            <w:tcW w:w="993" w:type="dxa"/>
            <w:tcBorders>
              <w:top w:val="single" w:sz="8" w:space="0" w:color="000000"/>
              <w:left w:val="single" w:sz="8" w:space="0" w:color="000000"/>
              <w:bottom w:val="single" w:sz="8" w:space="0" w:color="000000"/>
              <w:right w:val="single" w:sz="8" w:space="0" w:color="000000"/>
            </w:tcBorders>
            <w:shd w:val="clear" w:color="auto" w:fill="DBDBDB"/>
            <w:tcMar>
              <w:top w:w="100" w:type="dxa"/>
              <w:left w:w="100" w:type="dxa"/>
              <w:bottom w:w="100" w:type="dxa"/>
              <w:right w:w="100" w:type="dxa"/>
            </w:tcMar>
          </w:tcPr>
          <w:p w14:paraId="3AC02A24"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b/>
                <w:color w:val="1F1F1F"/>
                <w:sz w:val="20"/>
                <w:szCs w:val="20"/>
              </w:rPr>
              <w:t>2021</w:t>
            </w:r>
          </w:p>
        </w:tc>
        <w:tc>
          <w:tcPr>
            <w:tcW w:w="1134" w:type="dxa"/>
            <w:tcBorders>
              <w:top w:val="single" w:sz="8" w:space="0" w:color="000000"/>
              <w:left w:val="single" w:sz="8" w:space="0" w:color="000000"/>
              <w:bottom w:val="single" w:sz="8" w:space="0" w:color="000000"/>
              <w:right w:val="single" w:sz="8" w:space="0" w:color="000000"/>
            </w:tcBorders>
            <w:shd w:val="clear" w:color="auto" w:fill="DBDBDB"/>
            <w:tcMar>
              <w:top w:w="100" w:type="dxa"/>
              <w:left w:w="100" w:type="dxa"/>
              <w:bottom w:w="100" w:type="dxa"/>
              <w:right w:w="100" w:type="dxa"/>
            </w:tcMar>
          </w:tcPr>
          <w:p w14:paraId="791D72FA"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b/>
                <w:color w:val="1F1F1F"/>
                <w:sz w:val="20"/>
                <w:szCs w:val="20"/>
              </w:rPr>
              <w:t>2022</w:t>
            </w:r>
          </w:p>
        </w:tc>
        <w:tc>
          <w:tcPr>
            <w:tcW w:w="1078" w:type="dxa"/>
            <w:tcBorders>
              <w:top w:val="single" w:sz="8" w:space="0" w:color="000000"/>
              <w:left w:val="single" w:sz="8" w:space="0" w:color="000000"/>
              <w:bottom w:val="single" w:sz="8" w:space="0" w:color="000000"/>
              <w:right w:val="single" w:sz="8" w:space="0" w:color="000000"/>
            </w:tcBorders>
            <w:shd w:val="clear" w:color="auto" w:fill="DBDBDB"/>
            <w:tcMar>
              <w:top w:w="100" w:type="dxa"/>
              <w:left w:w="100" w:type="dxa"/>
              <w:bottom w:w="100" w:type="dxa"/>
              <w:right w:w="100" w:type="dxa"/>
            </w:tcMar>
          </w:tcPr>
          <w:p w14:paraId="79D0E118"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b/>
                <w:color w:val="1F1F1F"/>
                <w:sz w:val="20"/>
                <w:szCs w:val="20"/>
              </w:rPr>
              <w:t>2021</w:t>
            </w:r>
          </w:p>
        </w:tc>
        <w:tc>
          <w:tcPr>
            <w:tcW w:w="937" w:type="dxa"/>
            <w:tcBorders>
              <w:top w:val="single" w:sz="8" w:space="0" w:color="000000"/>
              <w:left w:val="single" w:sz="8" w:space="0" w:color="000000"/>
              <w:bottom w:val="single" w:sz="8" w:space="0" w:color="000000"/>
              <w:right w:val="single" w:sz="8" w:space="0" w:color="000000"/>
            </w:tcBorders>
            <w:shd w:val="clear" w:color="auto" w:fill="DBDBDB"/>
            <w:tcMar>
              <w:top w:w="100" w:type="dxa"/>
              <w:left w:w="100" w:type="dxa"/>
              <w:bottom w:w="100" w:type="dxa"/>
              <w:right w:w="100" w:type="dxa"/>
            </w:tcMar>
          </w:tcPr>
          <w:p w14:paraId="5D5854B9"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b/>
                <w:color w:val="1F1F1F"/>
                <w:sz w:val="20"/>
                <w:szCs w:val="20"/>
              </w:rPr>
              <w:t>2022</w:t>
            </w:r>
          </w:p>
        </w:tc>
        <w:tc>
          <w:tcPr>
            <w:tcW w:w="977" w:type="dxa"/>
            <w:tcBorders>
              <w:top w:val="single" w:sz="8" w:space="0" w:color="000000"/>
              <w:left w:val="single" w:sz="8" w:space="0" w:color="000000"/>
              <w:bottom w:val="single" w:sz="8" w:space="0" w:color="000000"/>
              <w:right w:val="single" w:sz="8" w:space="0" w:color="000000"/>
            </w:tcBorders>
            <w:shd w:val="clear" w:color="auto" w:fill="DBDBDB"/>
            <w:tcMar>
              <w:top w:w="100" w:type="dxa"/>
              <w:left w:w="100" w:type="dxa"/>
              <w:bottom w:w="100" w:type="dxa"/>
              <w:right w:w="100" w:type="dxa"/>
            </w:tcMar>
          </w:tcPr>
          <w:p w14:paraId="20B7128D"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b/>
                <w:color w:val="1F1F1F"/>
                <w:sz w:val="20"/>
                <w:szCs w:val="20"/>
              </w:rPr>
              <w:t>2021</w:t>
            </w:r>
          </w:p>
        </w:tc>
        <w:tc>
          <w:tcPr>
            <w:tcW w:w="1062" w:type="dxa"/>
            <w:tcBorders>
              <w:top w:val="single" w:sz="8" w:space="0" w:color="000000"/>
              <w:left w:val="single" w:sz="8" w:space="0" w:color="000000"/>
              <w:bottom w:val="single" w:sz="8" w:space="0" w:color="000000"/>
              <w:right w:val="single" w:sz="8" w:space="0" w:color="000000"/>
            </w:tcBorders>
            <w:shd w:val="clear" w:color="auto" w:fill="DBDBDB"/>
            <w:tcMar>
              <w:top w:w="100" w:type="dxa"/>
              <w:left w:w="100" w:type="dxa"/>
              <w:bottom w:w="100" w:type="dxa"/>
              <w:right w:w="100" w:type="dxa"/>
            </w:tcMar>
          </w:tcPr>
          <w:p w14:paraId="2A4F80CB"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b/>
                <w:color w:val="1F1F1F"/>
                <w:sz w:val="20"/>
                <w:szCs w:val="20"/>
              </w:rPr>
              <w:t>2022</w:t>
            </w:r>
          </w:p>
        </w:tc>
      </w:tr>
      <w:tr w:rsidR="00C90B98" w14:paraId="397F43C2" w14:textId="77777777" w:rsidTr="00E86513">
        <w:trPr>
          <w:trHeight w:val="249"/>
        </w:trPr>
        <w:tc>
          <w:tcPr>
            <w:tcW w:w="2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CC342AB"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b/>
                <w:color w:val="1F1F1F"/>
                <w:sz w:val="20"/>
                <w:szCs w:val="20"/>
              </w:rPr>
              <w:t xml:space="preserve">Sprot, </w:t>
            </w:r>
            <w:r>
              <w:rPr>
                <w:rFonts w:eastAsia="Times New Roman" w:cs="Times New Roman"/>
                <w:i/>
                <w:color w:val="1F1F1F"/>
                <w:sz w:val="20"/>
                <w:szCs w:val="20"/>
              </w:rPr>
              <w:t>Sprattus sprattus</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9E1795A"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7,55</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9F96CBA"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7,87</w:t>
            </w:r>
          </w:p>
        </w:tc>
        <w:tc>
          <w:tcPr>
            <w:tcW w:w="10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0CCFF4D"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3,19</w:t>
            </w:r>
          </w:p>
        </w:tc>
        <w:tc>
          <w:tcPr>
            <w:tcW w:w="9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36AFDBE"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3,27</w:t>
            </w:r>
          </w:p>
        </w:tc>
        <w:tc>
          <w:tcPr>
            <w:tcW w:w="9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A955AE3" w14:textId="77777777" w:rsidR="00C90B98" w:rsidRDefault="00C90B98" w:rsidP="00E86513">
            <w:pPr>
              <w:spacing w:before="0" w:after="0" w:line="240" w:lineRule="auto"/>
              <w:ind w:firstLine="0"/>
              <w:rPr>
                <w:rFonts w:eastAsia="Times New Roman" w:cs="Times New Roman"/>
                <w:color w:val="1F1F1F"/>
                <w:sz w:val="20"/>
                <w:szCs w:val="20"/>
              </w:rPr>
            </w:pPr>
            <w:r>
              <w:rPr>
                <w:rFonts w:eastAsia="Times New Roman" w:cs="Times New Roman"/>
                <w:color w:val="1F1F1F"/>
                <w:sz w:val="20"/>
                <w:szCs w:val="20"/>
              </w:rPr>
              <w:t>1</w:t>
            </w:r>
          </w:p>
          <w:p w14:paraId="6ECC696A"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(57%)</w:t>
            </w:r>
          </w:p>
        </w:tc>
        <w:tc>
          <w:tcPr>
            <w:tcW w:w="10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2F4F521" w14:textId="77777777" w:rsidR="00C90B98" w:rsidRDefault="00C90B98" w:rsidP="00E86513">
            <w:pPr>
              <w:spacing w:before="0" w:after="0" w:line="240" w:lineRule="auto"/>
              <w:ind w:firstLine="0"/>
              <w:rPr>
                <w:rFonts w:eastAsia="Times New Roman" w:cs="Times New Roman"/>
                <w:color w:val="1F1F1F"/>
                <w:sz w:val="20"/>
                <w:szCs w:val="20"/>
              </w:rPr>
            </w:pPr>
            <w:r>
              <w:rPr>
                <w:rFonts w:eastAsia="Times New Roman" w:cs="Times New Roman"/>
                <w:color w:val="1F1F1F"/>
                <w:sz w:val="20"/>
                <w:szCs w:val="20"/>
              </w:rPr>
              <w:t>1</w:t>
            </w:r>
          </w:p>
          <w:p w14:paraId="7A6CC2EF"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(63%)</w:t>
            </w:r>
          </w:p>
        </w:tc>
      </w:tr>
      <w:tr w:rsidR="00C90B98" w14:paraId="471440EF" w14:textId="77777777" w:rsidTr="00E86513">
        <w:trPr>
          <w:trHeight w:val="474"/>
        </w:trPr>
        <w:tc>
          <w:tcPr>
            <w:tcW w:w="2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25749E8"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b/>
                <w:color w:val="1F1F1F"/>
                <w:sz w:val="20"/>
                <w:szCs w:val="20"/>
              </w:rPr>
              <w:t xml:space="preserve">Calcan, </w:t>
            </w:r>
            <w:r>
              <w:rPr>
                <w:rFonts w:eastAsia="Times New Roman" w:cs="Times New Roman"/>
                <w:i/>
                <w:color w:val="1F1F1F"/>
                <w:sz w:val="20"/>
                <w:szCs w:val="20"/>
              </w:rPr>
              <w:t>Psetta maeoticus</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9BB40B7"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51,32</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FAE9ADA"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55,09</w:t>
            </w:r>
          </w:p>
        </w:tc>
        <w:tc>
          <w:tcPr>
            <w:tcW w:w="10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8776606"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2566,42</w:t>
            </w:r>
          </w:p>
        </w:tc>
        <w:tc>
          <w:tcPr>
            <w:tcW w:w="9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791E34C"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3332,9</w:t>
            </w:r>
          </w:p>
        </w:tc>
        <w:tc>
          <w:tcPr>
            <w:tcW w:w="9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2C9C2C3" w14:textId="77777777" w:rsidR="00C90B98" w:rsidRDefault="00C90B98" w:rsidP="00E86513">
            <w:pPr>
              <w:spacing w:before="0" w:after="0" w:line="240" w:lineRule="auto"/>
              <w:ind w:firstLine="0"/>
              <w:rPr>
                <w:rFonts w:eastAsia="Times New Roman" w:cs="Times New Roman"/>
                <w:color w:val="1F1F1F"/>
                <w:sz w:val="20"/>
                <w:szCs w:val="20"/>
              </w:rPr>
            </w:pPr>
            <w:r>
              <w:rPr>
                <w:rFonts w:eastAsia="Times New Roman" w:cs="Times New Roman"/>
                <w:color w:val="1F1F1F"/>
                <w:sz w:val="20"/>
                <w:szCs w:val="20"/>
              </w:rPr>
              <w:t>3</w:t>
            </w:r>
          </w:p>
          <w:p w14:paraId="014178E7"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(26%)</w:t>
            </w:r>
          </w:p>
        </w:tc>
        <w:tc>
          <w:tcPr>
            <w:tcW w:w="10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7C7E306" w14:textId="77777777" w:rsidR="00C90B98" w:rsidRDefault="00C90B98" w:rsidP="00E86513">
            <w:pPr>
              <w:spacing w:before="0" w:after="0" w:line="240" w:lineRule="auto"/>
              <w:ind w:firstLine="0"/>
              <w:rPr>
                <w:rFonts w:eastAsia="Times New Roman" w:cs="Times New Roman"/>
                <w:color w:val="1F1F1F"/>
                <w:sz w:val="20"/>
                <w:szCs w:val="20"/>
              </w:rPr>
            </w:pPr>
            <w:r>
              <w:rPr>
                <w:rFonts w:eastAsia="Times New Roman" w:cs="Times New Roman"/>
                <w:color w:val="1F1F1F"/>
                <w:sz w:val="20"/>
                <w:szCs w:val="20"/>
              </w:rPr>
              <w:t>3</w:t>
            </w:r>
          </w:p>
          <w:p w14:paraId="5A5D445B"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(38%)</w:t>
            </w:r>
          </w:p>
        </w:tc>
      </w:tr>
      <w:tr w:rsidR="00C90B98" w14:paraId="5482C326" w14:textId="77777777" w:rsidTr="00E86513">
        <w:trPr>
          <w:trHeight w:val="990"/>
        </w:trPr>
        <w:tc>
          <w:tcPr>
            <w:tcW w:w="2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F0BDD8C"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b/>
                <w:color w:val="1F1F1F"/>
                <w:sz w:val="20"/>
                <w:szCs w:val="20"/>
              </w:rPr>
              <w:t xml:space="preserve">Bacaliar, </w:t>
            </w:r>
            <w:r>
              <w:rPr>
                <w:rFonts w:eastAsia="Times New Roman" w:cs="Times New Roman"/>
                <w:i/>
                <w:color w:val="1F1F1F"/>
                <w:sz w:val="20"/>
                <w:szCs w:val="20"/>
              </w:rPr>
              <w:t>Merlangus merlangus euxinus</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53F4410"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13,21</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722EB8F"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12,43</w:t>
            </w:r>
          </w:p>
        </w:tc>
        <w:tc>
          <w:tcPr>
            <w:tcW w:w="10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1B3AD4E"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16,05</w:t>
            </w:r>
          </w:p>
        </w:tc>
        <w:tc>
          <w:tcPr>
            <w:tcW w:w="9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50C79CE"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15,37</w:t>
            </w:r>
          </w:p>
        </w:tc>
        <w:tc>
          <w:tcPr>
            <w:tcW w:w="9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63F3774" w14:textId="77777777" w:rsidR="00E86513" w:rsidRDefault="00E86513" w:rsidP="00E86513">
            <w:pPr>
              <w:spacing w:before="0" w:after="0" w:line="240" w:lineRule="auto"/>
              <w:ind w:firstLine="0"/>
              <w:rPr>
                <w:rFonts w:eastAsia="Times New Roman" w:cs="Times New Roman"/>
                <w:color w:val="1F1F1F"/>
                <w:sz w:val="20"/>
                <w:szCs w:val="20"/>
              </w:rPr>
            </w:pPr>
            <w:r>
              <w:rPr>
                <w:rFonts w:eastAsia="Times New Roman" w:cs="Times New Roman"/>
                <w:color w:val="1F1F1F"/>
                <w:sz w:val="20"/>
                <w:szCs w:val="20"/>
              </w:rPr>
              <w:t>2</w:t>
            </w:r>
          </w:p>
          <w:p w14:paraId="1AA9A00A" w14:textId="45B39A9C"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(27,5%)</w:t>
            </w:r>
          </w:p>
        </w:tc>
        <w:tc>
          <w:tcPr>
            <w:tcW w:w="10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86D6F0E" w14:textId="77777777" w:rsidR="00C90B98" w:rsidRDefault="00C90B98" w:rsidP="00E86513">
            <w:pPr>
              <w:spacing w:before="0" w:after="0" w:line="240" w:lineRule="auto"/>
              <w:ind w:firstLine="0"/>
              <w:rPr>
                <w:rFonts w:eastAsia="Times New Roman" w:cs="Times New Roman"/>
                <w:color w:val="1F1F1F"/>
                <w:sz w:val="20"/>
                <w:szCs w:val="20"/>
              </w:rPr>
            </w:pPr>
            <w:r>
              <w:rPr>
                <w:rFonts w:eastAsia="Times New Roman" w:cs="Times New Roman"/>
                <w:color w:val="1F1F1F"/>
                <w:sz w:val="20"/>
                <w:szCs w:val="20"/>
              </w:rPr>
              <w:t>1</w:t>
            </w:r>
          </w:p>
          <w:p w14:paraId="194A5A9C"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(42%)</w:t>
            </w:r>
          </w:p>
        </w:tc>
      </w:tr>
      <w:tr w:rsidR="00C90B98" w14:paraId="1369B238" w14:textId="77777777" w:rsidTr="00E86513">
        <w:trPr>
          <w:trHeight w:val="231"/>
        </w:trPr>
        <w:tc>
          <w:tcPr>
            <w:tcW w:w="2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78576A7" w14:textId="123F1C62" w:rsidR="00C90B98" w:rsidRDefault="00C90B98" w:rsidP="00E86513">
            <w:pPr>
              <w:spacing w:before="0" w:after="0" w:line="240" w:lineRule="auto"/>
              <w:ind w:firstLine="0"/>
              <w:rPr>
                <w:rFonts w:eastAsia="Times New Roman" w:cs="Times New Roman"/>
                <w:sz w:val="20"/>
                <w:szCs w:val="20"/>
              </w:rPr>
            </w:pPr>
            <w:r>
              <w:rPr>
                <w:rFonts w:eastAsia="Times New Roman" w:cs="Times New Roman"/>
                <w:b/>
                <w:color w:val="1F1F1F"/>
                <w:sz w:val="20"/>
                <w:szCs w:val="20"/>
              </w:rPr>
              <w:t>Rechin, </w:t>
            </w:r>
            <w:r>
              <w:rPr>
                <w:rFonts w:eastAsia="Times New Roman" w:cs="Times New Roman"/>
                <w:i/>
                <w:color w:val="1F1F1F"/>
                <w:sz w:val="20"/>
                <w:szCs w:val="20"/>
              </w:rPr>
              <w:t>Squalus acanthias</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625A316"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106,73</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CEE423B"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83,99</w:t>
            </w:r>
          </w:p>
        </w:tc>
        <w:tc>
          <w:tcPr>
            <w:tcW w:w="10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B6FB6F7"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5970,93</w:t>
            </w:r>
          </w:p>
        </w:tc>
        <w:tc>
          <w:tcPr>
            <w:tcW w:w="9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7CAD9EE"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3360,26</w:t>
            </w:r>
          </w:p>
        </w:tc>
        <w:tc>
          <w:tcPr>
            <w:tcW w:w="9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C173BC8" w14:textId="77777777" w:rsidR="00C90B98" w:rsidRDefault="00C90B98" w:rsidP="00E86513">
            <w:pPr>
              <w:spacing w:before="0" w:after="0" w:line="240" w:lineRule="auto"/>
              <w:ind w:right="-100" w:firstLine="0"/>
              <w:rPr>
                <w:rFonts w:eastAsia="Times New Roman" w:cs="Times New Roman"/>
                <w:color w:val="1F1F1F"/>
                <w:sz w:val="20"/>
                <w:szCs w:val="20"/>
              </w:rPr>
            </w:pPr>
            <w:r>
              <w:rPr>
                <w:rFonts w:eastAsia="Times New Roman" w:cs="Times New Roman"/>
                <w:color w:val="1F1F1F"/>
                <w:sz w:val="20"/>
                <w:szCs w:val="20"/>
              </w:rPr>
              <w:t>14</w:t>
            </w:r>
          </w:p>
          <w:p w14:paraId="125D239A" w14:textId="77777777" w:rsidR="00C90B98" w:rsidRDefault="00C90B98" w:rsidP="00E86513">
            <w:pPr>
              <w:spacing w:before="0" w:after="0" w:line="240" w:lineRule="auto"/>
              <w:ind w:right="-100" w:firstLine="0"/>
              <w:rPr>
                <w:rFonts w:eastAsia="Times New Roman" w:cs="Times New Roman"/>
                <w:sz w:val="20"/>
                <w:szCs w:val="20"/>
              </w:rPr>
            </w:pPr>
            <w:r>
              <w:rPr>
                <w:rFonts w:eastAsia="Times New Roman" w:cs="Times New Roman"/>
                <w:color w:val="1F1F1F"/>
                <w:sz w:val="20"/>
                <w:szCs w:val="20"/>
              </w:rPr>
              <w:t>(28%)</w:t>
            </w:r>
          </w:p>
        </w:tc>
        <w:tc>
          <w:tcPr>
            <w:tcW w:w="10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A2B8A6A"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19 (27,5%)</w:t>
            </w:r>
          </w:p>
        </w:tc>
      </w:tr>
      <w:tr w:rsidR="00C90B98" w14:paraId="25B24A1E" w14:textId="77777777" w:rsidTr="00E86513">
        <w:trPr>
          <w:trHeight w:val="471"/>
        </w:trPr>
        <w:tc>
          <w:tcPr>
            <w:tcW w:w="2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8E6BA2D"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b/>
                <w:color w:val="131313"/>
                <w:sz w:val="20"/>
                <w:szCs w:val="20"/>
              </w:rPr>
              <w:t xml:space="preserve">Rapana, </w:t>
            </w:r>
            <w:r>
              <w:rPr>
                <w:rFonts w:eastAsia="Times New Roman" w:cs="Times New Roman"/>
                <w:i/>
                <w:color w:val="1F1F1F"/>
                <w:sz w:val="20"/>
                <w:szCs w:val="20"/>
              </w:rPr>
              <w:t>Rapana venosa</w:t>
            </w:r>
          </w:p>
        </w:tc>
        <w:tc>
          <w:tcPr>
            <w:tcW w:w="9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6813427"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000000"/>
                <w:sz w:val="20"/>
                <w:szCs w:val="20"/>
              </w:rPr>
              <w:t>7,03</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5BA93E9"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6,20</w:t>
            </w:r>
          </w:p>
        </w:tc>
        <w:tc>
          <w:tcPr>
            <w:tcW w:w="10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1C92006"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5,90</w:t>
            </w:r>
          </w:p>
        </w:tc>
        <w:tc>
          <w:tcPr>
            <w:tcW w:w="9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BDE3982"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4,64</w:t>
            </w:r>
          </w:p>
        </w:tc>
        <w:tc>
          <w:tcPr>
            <w:tcW w:w="9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750F3F6" w14:textId="77777777" w:rsidR="00C90B98" w:rsidRDefault="00C90B98" w:rsidP="00E86513">
            <w:pPr>
              <w:spacing w:before="0" w:after="0" w:line="240" w:lineRule="auto"/>
              <w:ind w:firstLine="0"/>
              <w:rPr>
                <w:rFonts w:eastAsia="Times New Roman" w:cs="Times New Roman"/>
                <w:sz w:val="20"/>
                <w:szCs w:val="20"/>
              </w:rPr>
            </w:pPr>
          </w:p>
        </w:tc>
        <w:tc>
          <w:tcPr>
            <w:tcW w:w="10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7AC05FF" w14:textId="77777777" w:rsidR="00C90B98" w:rsidRDefault="00C90B98" w:rsidP="00E86513">
            <w:pPr>
              <w:spacing w:before="0" w:after="0" w:line="240" w:lineRule="auto"/>
              <w:ind w:firstLine="0"/>
              <w:rPr>
                <w:rFonts w:eastAsia="Times New Roman" w:cs="Times New Roman"/>
                <w:color w:val="1F1F1F"/>
                <w:sz w:val="20"/>
                <w:szCs w:val="20"/>
              </w:rPr>
            </w:pPr>
            <w:r>
              <w:rPr>
                <w:rFonts w:eastAsia="Times New Roman" w:cs="Times New Roman"/>
                <w:color w:val="1F1F1F"/>
                <w:sz w:val="20"/>
                <w:szCs w:val="20"/>
              </w:rPr>
              <w:t>4</w:t>
            </w:r>
          </w:p>
          <w:p w14:paraId="7D6EFB79" w14:textId="77777777" w:rsidR="00C90B98" w:rsidRDefault="00C90B98" w:rsidP="00E86513">
            <w:pPr>
              <w:spacing w:before="0" w:after="0" w:line="240" w:lineRule="auto"/>
              <w:ind w:firstLine="0"/>
              <w:rPr>
                <w:rFonts w:eastAsia="Times New Roman" w:cs="Times New Roman"/>
                <w:sz w:val="20"/>
                <w:szCs w:val="20"/>
              </w:rPr>
            </w:pPr>
            <w:r>
              <w:rPr>
                <w:rFonts w:eastAsia="Times New Roman" w:cs="Times New Roman"/>
                <w:color w:val="1F1F1F"/>
                <w:sz w:val="20"/>
                <w:szCs w:val="20"/>
              </w:rPr>
              <w:t>(17,1%)</w:t>
            </w:r>
          </w:p>
        </w:tc>
      </w:tr>
    </w:tbl>
    <w:p w14:paraId="43D22FCC" w14:textId="77777777" w:rsidR="00C90B98" w:rsidRDefault="00C90B98" w:rsidP="00E86513">
      <w:pPr>
        <w:spacing w:before="0"/>
        <w:jc w:val="center"/>
        <w:rPr>
          <w:rFonts w:eastAsia="Times New Roman" w:cs="Times New Roman"/>
          <w:b/>
        </w:rPr>
      </w:pPr>
    </w:p>
    <w:p w14:paraId="71808936" w14:textId="77777777" w:rsidR="00C90B98" w:rsidRDefault="00C90B98" w:rsidP="00E86513">
      <w:pPr>
        <w:spacing w:before="0"/>
        <w:rPr>
          <w:rFonts w:eastAsia="Times New Roman" w:cs="Times New Roman"/>
          <w:i/>
        </w:rPr>
      </w:pPr>
      <w:r>
        <w:rPr>
          <w:rFonts w:eastAsia="Times New Roman" w:cs="Times New Roman"/>
          <w:i/>
        </w:rPr>
        <w:t>Moluște</w:t>
      </w:r>
    </w:p>
    <w:p w14:paraId="6B1CD03B" w14:textId="77777777" w:rsidR="00C90B98" w:rsidRDefault="00C90B98" w:rsidP="00E86513">
      <w:pPr>
        <w:spacing w:before="0"/>
        <w:ind w:firstLine="567"/>
        <w:rPr>
          <w:rFonts w:eastAsia="Times New Roman" w:cs="Times New Roman"/>
        </w:rPr>
      </w:pPr>
      <w:r>
        <w:rPr>
          <w:rFonts w:eastAsia="Times New Roman" w:cs="Times New Roman"/>
        </w:rPr>
        <w:t>În România principalele moluște valorificabile sunt midia (</w:t>
      </w:r>
      <w:r>
        <w:rPr>
          <w:rFonts w:eastAsia="Times New Roman" w:cs="Times New Roman"/>
          <w:i/>
        </w:rPr>
        <w:t>Mytilus galloprovincialis</w:t>
      </w:r>
      <w:r>
        <w:rPr>
          <w:rFonts w:eastAsia="Times New Roman" w:cs="Times New Roman"/>
        </w:rPr>
        <w:t>) și rapana (</w:t>
      </w:r>
      <w:r>
        <w:rPr>
          <w:rFonts w:eastAsia="Times New Roman" w:cs="Times New Roman"/>
          <w:i/>
        </w:rPr>
        <w:t>Rapana venosa</w:t>
      </w:r>
      <w:r>
        <w:rPr>
          <w:rFonts w:eastAsia="Times New Roman" w:cs="Times New Roman"/>
        </w:rPr>
        <w:t>). Datorită valorii nutriționale ridicate și capacității de formare de populații foarte extinse, midia din Marea Neagră este o componentă de bază în lanțul trofic marin, cu valoare ecologică (în procese de biofiltrare) și economică: resursă marină exploatabilă prin valorificare directă și acvacultură.</w:t>
      </w:r>
    </w:p>
    <w:p w14:paraId="4B6D4BC3" w14:textId="52AE03B4" w:rsidR="00C90B98" w:rsidRDefault="00C90B98" w:rsidP="00E86513">
      <w:pPr>
        <w:spacing w:before="0"/>
        <w:ind w:firstLine="567"/>
        <w:rPr>
          <w:rFonts w:eastAsia="Times New Roman" w:cs="Times New Roman"/>
        </w:rPr>
      </w:pPr>
      <w:r>
        <w:rPr>
          <w:rFonts w:eastAsia="Times New Roman" w:cs="Times New Roman"/>
        </w:rPr>
        <w:t xml:space="preserve">Midia de adânc are comunități caracteristice şi bine delimitate la adâncimea de 25–45 m și 48 –70 m, fiind dominantă la 30 şi 50 m adâncime (Fig. </w:t>
      </w:r>
      <w:r w:rsidR="00E86513">
        <w:rPr>
          <w:rFonts w:eastAsia="Times New Roman" w:cs="Times New Roman"/>
        </w:rPr>
        <w:t>2.</w:t>
      </w:r>
      <w:r>
        <w:rPr>
          <w:rFonts w:eastAsia="Times New Roman" w:cs="Times New Roman"/>
        </w:rPr>
        <w:t>4.4.2.1). În mediul natural abundența medie a juvenililor este de 3-4 ori mai mare în populațiile de pe fundurile pietroase și scrădiș în amestec cu nisip, decât pe cele mâloase. Cel mai mare grad de productivitate îl au midiile din clasele de mărime de 20–40 mm care formează nucleul productiv de bază. În coloniile de midii din zone de influență fluvială (dulcicolă) aportul anual de productivitate se bazează pe exemplare tinere, în vârstă de 1-2 ani. În populațiile profundale structura dimensională este heterogenă, dar predomină midiile în vârstă de 3-5 ani.</w:t>
      </w:r>
    </w:p>
    <w:p w14:paraId="767EA7CC" w14:textId="77777777" w:rsidR="00E86513" w:rsidRDefault="00E86513" w:rsidP="00E86513">
      <w:pPr>
        <w:spacing w:before="0"/>
        <w:ind w:firstLine="567"/>
        <w:rPr>
          <w:rFonts w:eastAsia="Times New Roman" w:cs="Times New Roman"/>
        </w:rPr>
      </w:pPr>
      <w:r>
        <w:rPr>
          <w:rFonts w:eastAsia="Times New Roman" w:cs="Times New Roman"/>
          <w:i/>
        </w:rPr>
        <w:t>Rapana venosa</w:t>
      </w:r>
      <w:r>
        <w:rPr>
          <w:rFonts w:eastAsia="Times New Roman" w:cs="Times New Roman"/>
        </w:rPr>
        <w:t xml:space="preserve"> este cel mai cunoscut reprezentant al malacofaunei din Marea Neagră, intrat accidental în Marea Neagră, prin apa de balast a navelor. </w:t>
      </w:r>
      <w:r>
        <w:rPr>
          <w:rFonts w:eastAsia="Times New Roman" w:cs="Times New Roman"/>
          <w:i/>
        </w:rPr>
        <w:t>R. venosa</w:t>
      </w:r>
      <w:r>
        <w:rPr>
          <w:rFonts w:eastAsia="Times New Roman" w:cs="Times New Roman"/>
        </w:rPr>
        <w:t xml:space="preserve"> a colonizat rapid zona bentală şi este întâlnită pe toate tipurile de substrat. S-a instalat pe arii de distribuție extinse, de la 0 la 70 m larg, în noile condiții de la țărmul românesc. Are caracteristici adaptative de excepție, nu are prădători, nici specii concurente la spațiu și hrană. Cele mai abundente populaţii sunt cantonate 3 – 20 m adâncime, pe substrat dur natural sau artificial. În prezent, domină capturile pescărești (pâna la 90%), consumând major stocurile de midie.</w:t>
      </w:r>
    </w:p>
    <w:p w14:paraId="3B005A12" w14:textId="77777777" w:rsidR="00C90B98" w:rsidRDefault="00C90B98" w:rsidP="00C90B98">
      <w:pPr>
        <w:spacing w:after="200"/>
        <w:ind w:firstLine="567"/>
        <w:rPr>
          <w:rFonts w:eastAsia="Times New Roman" w:cs="Times New Roman"/>
        </w:rPr>
      </w:pPr>
    </w:p>
    <w:p w14:paraId="178C4367" w14:textId="77777777" w:rsidR="00C90B98" w:rsidRDefault="00C90B98" w:rsidP="00C90B98">
      <w:pPr>
        <w:spacing w:after="200"/>
        <w:jc w:val="center"/>
        <w:rPr>
          <w:rFonts w:eastAsia="Times New Roman" w:cs="Times New Roman"/>
        </w:rPr>
      </w:pPr>
      <w:r>
        <w:rPr>
          <w:rFonts w:eastAsia="Times New Roman" w:cs="Times New Roman"/>
          <w:noProof/>
        </w:rPr>
        <w:lastRenderedPageBreak/>
        <w:drawing>
          <wp:inline distT="0" distB="0" distL="0" distR="0" wp14:anchorId="21B2738A" wp14:editId="56073A11">
            <wp:extent cx="4644224" cy="4072544"/>
            <wp:effectExtent l="0" t="0" r="0" b="0"/>
            <wp:docPr id="214140197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7"/>
                    <a:srcRect/>
                    <a:stretch>
                      <a:fillRect/>
                    </a:stretch>
                  </pic:blipFill>
                  <pic:spPr>
                    <a:xfrm>
                      <a:off x="0" y="0"/>
                      <a:ext cx="4644224" cy="4072544"/>
                    </a:xfrm>
                    <a:prstGeom prst="rect">
                      <a:avLst/>
                    </a:prstGeom>
                    <a:ln/>
                  </pic:spPr>
                </pic:pic>
              </a:graphicData>
            </a:graphic>
          </wp:inline>
        </w:drawing>
      </w:r>
    </w:p>
    <w:p w14:paraId="7B02783E" w14:textId="4B0F0A3B" w:rsidR="00C90B98" w:rsidRDefault="00C90B98" w:rsidP="00C90B98">
      <w:pPr>
        <w:jc w:val="center"/>
        <w:rPr>
          <w:rFonts w:eastAsia="Times New Roman" w:cs="Times New Roman"/>
          <w:b/>
          <w:color w:val="000000"/>
          <w:highlight w:val="white"/>
        </w:rPr>
      </w:pPr>
      <w:r>
        <w:rPr>
          <w:rFonts w:eastAsia="Times New Roman" w:cs="Times New Roman"/>
          <w:b/>
          <w:color w:val="000000"/>
          <w:highlight w:val="white"/>
        </w:rPr>
        <w:t xml:space="preserve">Fig. </w:t>
      </w:r>
      <w:r w:rsidR="00E86513">
        <w:rPr>
          <w:rFonts w:eastAsia="Times New Roman" w:cs="Times New Roman"/>
          <w:b/>
          <w:color w:val="000000"/>
          <w:highlight w:val="white"/>
        </w:rPr>
        <w:t>2.</w:t>
      </w:r>
      <w:r>
        <w:rPr>
          <w:rFonts w:eastAsia="Times New Roman" w:cs="Times New Roman"/>
          <w:b/>
          <w:color w:val="000000"/>
          <w:highlight w:val="white"/>
        </w:rPr>
        <w:t xml:space="preserve">4.4.2.1 Harta câmpurilor cu </w:t>
      </w:r>
      <w:r>
        <w:rPr>
          <w:rFonts w:eastAsia="Times New Roman" w:cs="Times New Roman"/>
          <w:b/>
          <w:i/>
          <w:color w:val="000000"/>
          <w:highlight w:val="white"/>
        </w:rPr>
        <w:t>Mytilus galloprovincialis</w:t>
      </w:r>
      <w:r>
        <w:rPr>
          <w:rFonts w:eastAsia="Times New Roman" w:cs="Times New Roman"/>
          <w:b/>
          <w:color w:val="000000"/>
          <w:highlight w:val="white"/>
        </w:rPr>
        <w:t xml:space="preserve"> de pe șelful românesc al Mării Negre (Teacă și colab., 2013)</w:t>
      </w:r>
    </w:p>
    <w:p w14:paraId="28CBDAB6" w14:textId="77777777" w:rsidR="00C90B98" w:rsidRDefault="00C90B98" w:rsidP="00E86513">
      <w:pPr>
        <w:spacing w:before="0"/>
        <w:ind w:firstLine="567"/>
        <w:rPr>
          <w:rFonts w:eastAsia="Times New Roman" w:cs="Times New Roman"/>
        </w:rPr>
      </w:pPr>
    </w:p>
    <w:p w14:paraId="17A4A09D" w14:textId="77777777" w:rsidR="00C90B98" w:rsidRDefault="00C90B98" w:rsidP="00E86513">
      <w:pPr>
        <w:spacing w:before="0"/>
        <w:ind w:firstLine="567"/>
        <w:rPr>
          <w:rFonts w:eastAsia="Times New Roman" w:cs="Times New Roman"/>
          <w:u w:val="single"/>
        </w:rPr>
      </w:pPr>
      <w:r>
        <w:rPr>
          <w:rFonts w:eastAsia="Times New Roman" w:cs="Times New Roman"/>
        </w:rPr>
        <w:t xml:space="preserve">Pe lângă cele două specii cu valoare comercială, există și alte moluște valorificabile economic: </w:t>
      </w:r>
      <w:r>
        <w:rPr>
          <w:rFonts w:eastAsia="Times New Roman" w:cs="Times New Roman"/>
          <w:i/>
        </w:rPr>
        <w:t>Mya arenaria</w:t>
      </w:r>
      <w:r>
        <w:rPr>
          <w:rFonts w:eastAsia="Times New Roman" w:cs="Times New Roman"/>
        </w:rPr>
        <w:t xml:space="preserve"> (psamobiontă cultivabilă), </w:t>
      </w:r>
      <w:r>
        <w:rPr>
          <w:rFonts w:eastAsia="Times New Roman" w:cs="Times New Roman"/>
          <w:i/>
        </w:rPr>
        <w:t>Lentidium mediterraneum</w:t>
      </w:r>
      <w:r>
        <w:rPr>
          <w:rFonts w:eastAsia="Times New Roman" w:cs="Times New Roman"/>
        </w:rPr>
        <w:t xml:space="preserve"> și </w:t>
      </w:r>
      <w:r>
        <w:rPr>
          <w:rFonts w:eastAsia="Times New Roman" w:cs="Times New Roman"/>
          <w:i/>
        </w:rPr>
        <w:t>Chamelea gallina</w:t>
      </w:r>
      <w:r>
        <w:rPr>
          <w:rFonts w:eastAsia="Times New Roman" w:cs="Times New Roman"/>
        </w:rPr>
        <w:t xml:space="preserve"> – vongola, care are deja cota de pescuit de 1.000 t anual, cu mențiunea că uneltele folosite nu sunt prietenoase cu mediul.</w:t>
      </w:r>
    </w:p>
    <w:p w14:paraId="678C6A1D" w14:textId="4BBDD219" w:rsidR="00E86513" w:rsidRDefault="00E86513" w:rsidP="00E86513">
      <w:pPr>
        <w:pStyle w:val="Heading4"/>
      </w:pPr>
      <w:bookmarkStart w:id="74" w:name="_Toc169625129"/>
      <w:r>
        <w:t>2.4.4.3 Resursa de apă subterană</w:t>
      </w:r>
      <w:bookmarkEnd w:id="74"/>
    </w:p>
    <w:p w14:paraId="10CFB820" w14:textId="17BFDEFD" w:rsidR="00E86513" w:rsidRDefault="00E86513" w:rsidP="00E86513">
      <w:pPr>
        <w:spacing w:before="0"/>
        <w:ind w:firstLine="567"/>
        <w:rPr>
          <w:rFonts w:eastAsia="Times New Roman" w:cs="Times New Roman"/>
        </w:rPr>
      </w:pPr>
      <w:r>
        <w:rPr>
          <w:rFonts w:eastAsia="Times New Roman" w:cs="Times New Roman"/>
        </w:rPr>
        <w:t xml:space="preserve">În zona costieră există următoarele corpuri de ape subterane (conform </w:t>
      </w:r>
      <w:r>
        <w:rPr>
          <w:rFonts w:eastAsia="Times New Roman" w:cs="Times New Roman"/>
          <w:i/>
        </w:rPr>
        <w:t>Planului de Management actualizat al fluviului Dunărea, Deltei Dunării, spațiului hidrografic Dobrogea și apelor costiere (2022-2027), aprobat prin HG 392/2023 – Anexa 4.1 Descrierea caracteristicilor corpurilor de apă subterană</w:t>
      </w:r>
      <w:r>
        <w:rPr>
          <w:rFonts w:eastAsia="Times New Roman" w:cs="Times New Roman"/>
        </w:rPr>
        <w:t>, Fig. 2.4.4.3.1):</w:t>
      </w:r>
    </w:p>
    <w:p w14:paraId="0BD75216" w14:textId="77777777" w:rsidR="00E86513" w:rsidRDefault="00E86513" w:rsidP="00E86513">
      <w:pPr>
        <w:numPr>
          <w:ilvl w:val="0"/>
          <w:numId w:val="24"/>
        </w:numPr>
        <w:pBdr>
          <w:top w:val="nil"/>
          <w:left w:val="nil"/>
          <w:bottom w:val="nil"/>
          <w:right w:val="nil"/>
          <w:between w:val="nil"/>
        </w:pBdr>
        <w:spacing w:before="0"/>
        <w:ind w:left="426" w:firstLine="0"/>
        <w:rPr>
          <w:rFonts w:eastAsia="Times New Roman" w:cs="Times New Roman"/>
          <w:color w:val="000000"/>
        </w:rPr>
      </w:pPr>
      <w:r>
        <w:rPr>
          <w:rFonts w:eastAsia="Times New Roman" w:cs="Times New Roman"/>
          <w:color w:val="000000"/>
        </w:rPr>
        <w:t>Corpul de apă subterană RODL01 (Tulcea), de tip mixt (freatic şi de adâncime), este cantonat în depozite calcaroase triasice situate la sud de oraşul Tulcea, în lungul Dunării şi în partea NV a lacului Razim. Cea mai mare parte din suprafaţa acestui corp de apă subterană mixt (freatic şi de adâncime) este acoperită de terenuri cultivate.</w:t>
      </w:r>
    </w:p>
    <w:p w14:paraId="5E74BAC8" w14:textId="77777777" w:rsidR="00E86513" w:rsidRDefault="00E86513" w:rsidP="00E86513">
      <w:pPr>
        <w:numPr>
          <w:ilvl w:val="0"/>
          <w:numId w:val="24"/>
        </w:numPr>
        <w:pBdr>
          <w:top w:val="nil"/>
          <w:left w:val="nil"/>
          <w:bottom w:val="nil"/>
          <w:right w:val="nil"/>
          <w:between w:val="nil"/>
        </w:pBdr>
        <w:spacing w:before="0"/>
        <w:ind w:left="425" w:firstLine="0"/>
        <w:rPr>
          <w:rFonts w:eastAsia="Times New Roman" w:cs="Times New Roman"/>
          <w:color w:val="000000"/>
        </w:rPr>
      </w:pPr>
      <w:r>
        <w:rPr>
          <w:rFonts w:eastAsia="Times New Roman" w:cs="Times New Roman"/>
          <w:color w:val="000000"/>
        </w:rPr>
        <w:t xml:space="preserve">Corpul de apă subterană RODL04 (Cobadin-Mangalia) este un corp de adâncime acumulat în depozite de calcare oolitice şi lumaşelice sarmaţiene (Kersonian) situate în extremitatea SE a Dobrogei. Suprafaţa majoritară a corpului de apă subterană (85%) este </w:t>
      </w:r>
      <w:r>
        <w:rPr>
          <w:rFonts w:eastAsia="Times New Roman" w:cs="Times New Roman"/>
          <w:color w:val="000000"/>
        </w:rPr>
        <w:lastRenderedPageBreak/>
        <w:t xml:space="preserve">acoperită cu terenuri arabile, iar alimentarea acviferului se face, în principal, din precipitaţii şi din pierderile difuze de apă din sistemele de irigaţii existente. </w:t>
      </w:r>
    </w:p>
    <w:p w14:paraId="3F2E6B9D" w14:textId="4DBC6840" w:rsidR="00E86513" w:rsidRDefault="00E86513" w:rsidP="00E86513">
      <w:pPr>
        <w:numPr>
          <w:ilvl w:val="0"/>
          <w:numId w:val="24"/>
        </w:numPr>
        <w:pBdr>
          <w:top w:val="nil"/>
          <w:left w:val="nil"/>
          <w:bottom w:val="nil"/>
          <w:right w:val="nil"/>
          <w:between w:val="nil"/>
        </w:pBdr>
        <w:spacing w:before="0"/>
        <w:ind w:left="425" w:firstLine="0"/>
        <w:rPr>
          <w:rFonts w:eastAsia="Times New Roman" w:cs="Times New Roman"/>
          <w:color w:val="000000"/>
        </w:rPr>
      </w:pPr>
      <w:r>
        <w:rPr>
          <w:rFonts w:eastAsia="Times New Roman" w:cs="Times New Roman"/>
          <w:color w:val="000000"/>
        </w:rPr>
        <w:t xml:space="preserve">Corpul de apă subterană RODL05 – Dobrogea Centrală, este un corp de apă freatică de tip poros-permeabil, fiind localizat în aluviuni actuale şi subactuale (atribuite Holocenului), în depozite loessoide (de vârstă pleistocen superior-holocenă), în loess (atribuit Pleistocenului mediu-Pleistocenului superior), precum şi la limita dintre loessuri/loessoide şi partea </w:t>
      </w:r>
      <w:r>
        <w:rPr>
          <w:rFonts w:eastAsia="Times New Roman" w:cs="Times New Roman"/>
          <w:color w:val="000000"/>
        </w:rPr>
        <w:pgNum/>
      </w:r>
      <w:r>
        <w:rPr>
          <w:rFonts w:eastAsia="Times New Roman" w:cs="Times New Roman"/>
          <w:color w:val="000000"/>
        </w:rPr>
        <w:t>roblem</w:t>
      </w:r>
      <w:r>
        <w:rPr>
          <w:rFonts w:eastAsia="Times New Roman" w:cs="Times New Roman"/>
          <w:color w:val="000000"/>
        </w:rPr>
        <w:pgNum/>
      </w:r>
      <w:r>
        <w:rPr>
          <w:rFonts w:eastAsia="Times New Roman" w:cs="Times New Roman"/>
          <w:color w:val="000000"/>
        </w:rPr>
        <w:t xml:space="preserve"> alterată a calcarelor (atribuite Jurasicului mediu, Jurasicului superior sau Cretacicului inferior) sau a şisturilor verzi (atribuite Precambrianului superior). Acest corp constituie sursa </w:t>
      </w:r>
      <w:r>
        <w:rPr>
          <w:rFonts w:eastAsia="Times New Roman" w:cs="Times New Roman"/>
          <w:color w:val="000000"/>
        </w:rPr>
        <w:pgNum/>
      </w:r>
      <w:r>
        <w:rPr>
          <w:rFonts w:eastAsia="Times New Roman" w:cs="Times New Roman"/>
          <w:color w:val="000000"/>
        </w:rPr>
        <w:t>roblem</w:t>
      </w:r>
      <w:r>
        <w:rPr>
          <w:rFonts w:eastAsia="Times New Roman" w:cs="Times New Roman"/>
          <w:color w:val="000000"/>
        </w:rPr>
        <w:pgNum/>
      </w:r>
      <w:r>
        <w:rPr>
          <w:rFonts w:eastAsia="Times New Roman" w:cs="Times New Roman"/>
          <w:color w:val="000000"/>
        </w:rPr>
        <w:pgNum/>
      </w:r>
      <w:r>
        <w:rPr>
          <w:rFonts w:eastAsia="Times New Roman" w:cs="Times New Roman"/>
          <w:color w:val="000000"/>
        </w:rPr>
        <w:t xml:space="preserve"> de alimentare cu apă a majorităţii localităţilor din Dobrogea Centrală. Cea mai mare parte a suprafeţei corpului de apă este acoperită de terenuri agricole (86 %).</w:t>
      </w:r>
    </w:p>
    <w:p w14:paraId="72E34185" w14:textId="74CA91A9" w:rsidR="00E86513" w:rsidRDefault="00E86513" w:rsidP="00E86513">
      <w:pPr>
        <w:numPr>
          <w:ilvl w:val="0"/>
          <w:numId w:val="24"/>
        </w:numPr>
        <w:pBdr>
          <w:top w:val="nil"/>
          <w:left w:val="nil"/>
          <w:bottom w:val="nil"/>
          <w:right w:val="nil"/>
          <w:between w:val="nil"/>
        </w:pBdr>
        <w:spacing w:before="0"/>
        <w:ind w:left="425" w:firstLine="0"/>
        <w:rPr>
          <w:rFonts w:eastAsia="Times New Roman" w:cs="Times New Roman"/>
          <w:color w:val="000000"/>
        </w:rPr>
      </w:pPr>
      <w:r>
        <w:rPr>
          <w:rFonts w:eastAsia="Times New Roman" w:cs="Times New Roman"/>
          <w:color w:val="000000"/>
        </w:rPr>
        <w:t>Corpul de apă subterană RODL06</w:t>
      </w:r>
      <w:r>
        <w:t xml:space="preserve"> </w:t>
      </w:r>
      <w:r>
        <w:rPr>
          <w:rFonts w:eastAsia="Times New Roman" w:cs="Times New Roman"/>
          <w:color w:val="000000"/>
        </w:rPr>
        <w:t xml:space="preserve">(Platforma Valahă)  este un corp de apă subterană de adâncime, transfrontalier, cu o mare extindere, acoperind </w:t>
      </w:r>
      <w:r>
        <w:rPr>
          <w:rFonts w:eastAsia="Times New Roman" w:cs="Times New Roman"/>
          <w:color w:val="000000"/>
        </w:rPr>
        <w:pgNum/>
      </w:r>
      <w:r>
        <w:rPr>
          <w:rFonts w:eastAsia="Times New Roman" w:cs="Times New Roman"/>
          <w:color w:val="000000"/>
        </w:rPr>
        <w:t xml:space="preserve">roblem Platforma Valahă. Din punct de vedere al cunoașterii și al exploatării, prezintă două zone, </w:t>
      </w:r>
      <w:r>
        <w:rPr>
          <w:rFonts w:eastAsia="Times New Roman" w:cs="Times New Roman"/>
          <w:color w:val="000000"/>
        </w:rPr>
        <w:pgNum/>
      </w:r>
      <w:r>
        <w:rPr>
          <w:rFonts w:eastAsia="Times New Roman" w:cs="Times New Roman"/>
          <w:color w:val="000000"/>
        </w:rPr>
        <w:t>roblem</w:t>
      </w:r>
      <w:r>
        <w:rPr>
          <w:rFonts w:eastAsia="Times New Roman" w:cs="Times New Roman"/>
          <w:color w:val="000000"/>
        </w:rPr>
        <w:pgNum/>
      </w:r>
      <w:r>
        <w:rPr>
          <w:rFonts w:eastAsia="Times New Roman" w:cs="Times New Roman"/>
          <w:color w:val="000000"/>
        </w:rPr>
        <w:pgNum/>
      </w:r>
      <w:r>
        <w:rPr>
          <w:rFonts w:eastAsia="Times New Roman" w:cs="Times New Roman"/>
          <w:color w:val="000000"/>
        </w:rPr>
        <w:t xml:space="preserve">a:  a) zona cu dezvoltare în  Dobrogea de Sud şi  b) zona Giurgiu – Călăraşi. Referitor la prima zonă, cea care prezintă interes pentru zona costieră, acviferul de adâncime – dar </w:t>
      </w:r>
      <w:r>
        <w:rPr>
          <w:rFonts w:eastAsia="Times New Roman" w:cs="Times New Roman"/>
          <w:color w:val="000000"/>
        </w:rPr>
        <w:pgNum/>
      </w:r>
      <w:r>
        <w:rPr>
          <w:rFonts w:eastAsia="Times New Roman" w:cs="Times New Roman"/>
          <w:color w:val="000000"/>
        </w:rPr>
        <w:t xml:space="preserve">roblem şi cu nivel liber (sectorul adiacent Dunării) -  este cantonat în formaţiuni calcaroase şi dolomitice jurasice şi barremiene, uneori fracturate şi carstificate, cu extindere </w:t>
      </w:r>
      <w:r>
        <w:rPr>
          <w:rFonts w:eastAsia="Times New Roman" w:cs="Times New Roman"/>
          <w:color w:val="000000"/>
        </w:rPr>
        <w:pgNum/>
      </w:r>
      <w:r>
        <w:rPr>
          <w:rFonts w:eastAsia="Times New Roman" w:cs="Times New Roman"/>
          <w:color w:val="000000"/>
        </w:rPr>
        <w:t>roblem</w:t>
      </w:r>
      <w:r>
        <w:rPr>
          <w:rFonts w:eastAsia="Times New Roman" w:cs="Times New Roman"/>
          <w:color w:val="000000"/>
        </w:rPr>
        <w:pgNum/>
      </w:r>
      <w:r>
        <w:rPr>
          <w:rFonts w:eastAsia="Times New Roman" w:cs="Times New Roman"/>
          <w:color w:val="000000"/>
        </w:rPr>
        <w:t xml:space="preserve"> (aprox. 4500 km</w:t>
      </w:r>
      <w:r>
        <w:rPr>
          <w:rFonts w:eastAsia="Times New Roman" w:cs="Times New Roman"/>
          <w:color w:val="000000"/>
          <w:vertAlign w:val="superscript"/>
        </w:rPr>
        <w:t>2</w:t>
      </w:r>
      <w:r>
        <w:rPr>
          <w:rFonts w:eastAsia="Times New Roman" w:cs="Times New Roman"/>
          <w:color w:val="000000"/>
        </w:rPr>
        <w:t xml:space="preserve">) în întreaga Dobroge de Sud. Aria de alimentare </w:t>
      </w:r>
      <w:r>
        <w:rPr>
          <w:rFonts w:eastAsia="Times New Roman" w:cs="Times New Roman"/>
          <w:color w:val="000000"/>
        </w:rPr>
        <w:pgNum/>
      </w:r>
      <w:r>
        <w:rPr>
          <w:rFonts w:eastAsia="Times New Roman" w:cs="Times New Roman"/>
          <w:color w:val="000000"/>
        </w:rPr>
        <w:t xml:space="preserve">roblem este </w:t>
      </w:r>
      <w:r>
        <w:rPr>
          <w:rFonts w:eastAsia="Times New Roman" w:cs="Times New Roman"/>
          <w:color w:val="000000"/>
        </w:rPr>
        <w:pgNum/>
      </w:r>
      <w:r>
        <w:rPr>
          <w:rFonts w:eastAsia="Times New Roman" w:cs="Times New Roman"/>
          <w:color w:val="000000"/>
        </w:rPr>
        <w:t xml:space="preserve">roblem  în partea de sud – vest a regiunii, iar direcţia </w:t>
      </w:r>
      <w:r>
        <w:rPr>
          <w:rFonts w:eastAsia="Times New Roman" w:cs="Times New Roman"/>
          <w:color w:val="000000"/>
        </w:rPr>
        <w:pgNum/>
      </w:r>
      <w:r>
        <w:rPr>
          <w:rFonts w:eastAsia="Times New Roman" w:cs="Times New Roman"/>
          <w:color w:val="000000"/>
        </w:rPr>
        <w:t>roblem</w:t>
      </w:r>
      <w:r>
        <w:rPr>
          <w:rFonts w:eastAsia="Times New Roman" w:cs="Times New Roman"/>
          <w:color w:val="000000"/>
        </w:rPr>
        <w:pgNum/>
      </w:r>
      <w:r>
        <w:rPr>
          <w:rFonts w:eastAsia="Times New Roman" w:cs="Times New Roman"/>
          <w:color w:val="000000"/>
        </w:rPr>
        <w:pgNum/>
      </w:r>
      <w:r>
        <w:rPr>
          <w:rFonts w:eastAsia="Times New Roman" w:cs="Times New Roman"/>
          <w:color w:val="000000"/>
        </w:rPr>
        <w:t xml:space="preserve"> de curgere are o orientare VSV – ENE. Aria de drenare majoră este </w:t>
      </w:r>
      <w:r>
        <w:rPr>
          <w:rFonts w:eastAsia="Times New Roman" w:cs="Times New Roman"/>
          <w:color w:val="000000"/>
        </w:rPr>
        <w:pgNum/>
      </w:r>
      <w:r>
        <w:rPr>
          <w:rFonts w:eastAsia="Times New Roman" w:cs="Times New Roman"/>
          <w:color w:val="000000"/>
        </w:rPr>
        <w:t>roblem în zona lacului Siutghiol. Cea mai mare parte a suprafeţei a acestui corp de apă subterană este acoperită de terenuri agricole.</w:t>
      </w:r>
    </w:p>
    <w:p w14:paraId="13558334" w14:textId="2409862B" w:rsidR="00E86513" w:rsidRDefault="00E86513" w:rsidP="00E86513">
      <w:pPr>
        <w:numPr>
          <w:ilvl w:val="0"/>
          <w:numId w:val="24"/>
        </w:numPr>
        <w:pBdr>
          <w:top w:val="nil"/>
          <w:left w:val="nil"/>
          <w:bottom w:val="nil"/>
          <w:right w:val="nil"/>
          <w:between w:val="nil"/>
        </w:pBdr>
        <w:tabs>
          <w:tab w:val="left" w:pos="709"/>
        </w:tabs>
        <w:spacing w:before="0"/>
        <w:ind w:left="426" w:firstLine="0"/>
        <w:rPr>
          <w:rFonts w:eastAsia="Times New Roman" w:cs="Times New Roman"/>
          <w:color w:val="000000"/>
        </w:rPr>
      </w:pPr>
      <w:r>
        <w:rPr>
          <w:rFonts w:eastAsia="Times New Roman" w:cs="Times New Roman"/>
          <w:color w:val="000000"/>
        </w:rPr>
        <w:t xml:space="preserve">Corpul de apă subterană RODL08 – Casimcea de tip mixt (freatic şi de adâncime), este carstic-fisural, fiind localizat în depozite jurasic-medii şi/sau în depozite jurasic-superioare. Depozitele carbonatice prezintă numeroase fisuri şi goluri carstice. Depozitele jurasic mediu-jurasic superioare se dispun discordant peste şisturile verzi şi mulează un relief </w:t>
      </w:r>
      <w:r>
        <w:rPr>
          <w:rFonts w:eastAsia="Times New Roman" w:cs="Times New Roman"/>
          <w:color w:val="000000"/>
        </w:rPr>
        <w:pgNum/>
      </w:r>
      <w:r>
        <w:rPr>
          <w:rFonts w:eastAsia="Times New Roman" w:cs="Times New Roman"/>
          <w:color w:val="000000"/>
        </w:rPr>
        <w:t>roblem</w:t>
      </w:r>
      <w:r>
        <w:rPr>
          <w:rFonts w:eastAsia="Times New Roman" w:cs="Times New Roman"/>
          <w:color w:val="000000"/>
        </w:rPr>
        <w:pgNum/>
      </w:r>
      <w:r>
        <w:rPr>
          <w:rFonts w:eastAsia="Times New Roman" w:cs="Times New Roman"/>
          <w:color w:val="000000"/>
        </w:rPr>
        <w:pgNum/>
      </w:r>
      <w:r>
        <w:rPr>
          <w:rFonts w:eastAsia="Times New Roman" w:cs="Times New Roman"/>
          <w:color w:val="000000"/>
        </w:rPr>
        <w:t>an</w:t>
      </w:r>
      <w:r>
        <w:rPr>
          <w:rFonts w:eastAsia="Times New Roman" w:cs="Times New Roman"/>
          <w:color w:val="000000"/>
        </w:rPr>
        <w:pgNum/>
      </w:r>
      <w:r>
        <w:rPr>
          <w:rFonts w:eastAsia="Times New Roman" w:cs="Times New Roman"/>
          <w:color w:val="000000"/>
        </w:rPr>
        <w:t xml:space="preserve">. Aceste depozite sunt uşor ondulate şi formează, de-a lungul cursului inferior al râului Casimcea, sinclinalul Casimcea-Midia orientat de la nord-vest spre sud-est. Sinclinalul este uşor asimetric, având flancul de sud-vest mai înclinat. În interiorul său, sinclinalul prezintă mai multe cute secundare, care-I imprimă un </w:t>
      </w:r>
      <w:r>
        <w:rPr>
          <w:rFonts w:eastAsia="Times New Roman" w:cs="Times New Roman"/>
          <w:color w:val="000000"/>
        </w:rPr>
        <w:pgNum/>
      </w:r>
      <w:r>
        <w:rPr>
          <w:rFonts w:eastAsia="Times New Roman" w:cs="Times New Roman"/>
          <w:color w:val="000000"/>
        </w:rPr>
        <w:t>roblem</w:t>
      </w:r>
      <w:r>
        <w:rPr>
          <w:rFonts w:eastAsia="Times New Roman" w:cs="Times New Roman"/>
          <w:color w:val="000000"/>
        </w:rPr>
        <w:pgNum/>
      </w:r>
      <w:r>
        <w:rPr>
          <w:rFonts w:eastAsia="Times New Roman" w:cs="Times New Roman"/>
          <w:color w:val="000000"/>
        </w:rPr>
        <w:pgNum/>
      </w:r>
      <w:r>
        <w:rPr>
          <w:rFonts w:eastAsia="Times New Roman" w:cs="Times New Roman"/>
          <w:color w:val="000000"/>
        </w:rPr>
        <w:t xml:space="preserve"> de sinclinoriu. Sistemul acvifer jurasic este reprezentat prin hidrostructura Târguşor-Sârtorman-Piatra-Luminiţa. Aceasta reprezintă un </w:t>
      </w:r>
      <w:r>
        <w:rPr>
          <w:rFonts w:eastAsia="Times New Roman" w:cs="Times New Roman"/>
          <w:color w:val="000000"/>
        </w:rPr>
        <w:pgNum/>
      </w:r>
      <w:r>
        <w:rPr>
          <w:rFonts w:eastAsia="Times New Roman" w:cs="Times New Roman"/>
          <w:color w:val="000000"/>
        </w:rPr>
        <w:t>roblem</w:t>
      </w:r>
      <w:r>
        <w:rPr>
          <w:rFonts w:eastAsia="Times New Roman" w:cs="Times New Roman"/>
          <w:color w:val="000000"/>
        </w:rPr>
        <w:pgNum/>
      </w:r>
      <w:r>
        <w:rPr>
          <w:rFonts w:eastAsia="Times New Roman" w:cs="Times New Roman"/>
          <w:color w:val="000000"/>
        </w:rPr>
        <w:pgNum/>
      </w:r>
      <w:r>
        <w:rPr>
          <w:rFonts w:eastAsia="Times New Roman" w:cs="Times New Roman"/>
          <w:color w:val="000000"/>
        </w:rPr>
        <w:t xml:space="preserve"> oientat de la nord-vest la sud-est, ridicat axial spre nord-vest. Acviferul este alimentat din precipitaţii, din apele de suprafaţă şi prin condensare endocarstică. Ca și în cazul celorlalte corpuri de apă subterane, cea mai mare parte a suprafeţei corpului de apă este acoperită de terenuri agricole (68 %).</w:t>
      </w:r>
    </w:p>
    <w:p w14:paraId="52972D58" w14:textId="0EB8CAC7" w:rsidR="00E86513" w:rsidRDefault="00E86513" w:rsidP="00E86513">
      <w:pPr>
        <w:numPr>
          <w:ilvl w:val="0"/>
          <w:numId w:val="24"/>
        </w:numPr>
        <w:pBdr>
          <w:top w:val="nil"/>
          <w:left w:val="nil"/>
          <w:bottom w:val="nil"/>
          <w:right w:val="nil"/>
          <w:between w:val="nil"/>
        </w:pBdr>
        <w:spacing w:before="0"/>
        <w:ind w:left="426" w:firstLine="0"/>
        <w:rPr>
          <w:rFonts w:eastAsia="Times New Roman" w:cs="Times New Roman"/>
          <w:color w:val="000000"/>
        </w:rPr>
      </w:pPr>
      <w:r>
        <w:rPr>
          <w:rFonts w:eastAsia="Times New Roman" w:cs="Times New Roman"/>
          <w:color w:val="000000"/>
        </w:rPr>
        <w:t xml:space="preserve">Corpul de apă subterană RODL09 – Dobrogea de Nord este un corp de apă de tip poros-permeabil, fiind localizat în aluviuni actuale şi subactuale (atribuite Holocenului), în depozite loessoide (Pleistocen superior-Holocen), în loess (Pleistocen mediu-Pleistocen superior), precum şi la limita dintre loessuri/loessoide şi partea </w:t>
      </w:r>
      <w:r>
        <w:rPr>
          <w:rFonts w:eastAsia="Times New Roman" w:cs="Times New Roman"/>
          <w:color w:val="000000"/>
        </w:rPr>
        <w:pgNum/>
      </w:r>
      <w:r>
        <w:rPr>
          <w:rFonts w:eastAsia="Times New Roman" w:cs="Times New Roman"/>
          <w:color w:val="000000"/>
        </w:rPr>
        <w:t>roblem</w:t>
      </w:r>
      <w:r>
        <w:rPr>
          <w:rFonts w:eastAsia="Times New Roman" w:cs="Times New Roman"/>
          <w:color w:val="000000"/>
        </w:rPr>
        <w:pgNum/>
      </w:r>
      <w:r>
        <w:rPr>
          <w:rFonts w:eastAsia="Times New Roman" w:cs="Times New Roman"/>
          <w:color w:val="000000"/>
        </w:rPr>
        <w:t xml:space="preserve"> alterată a depozitelor </w:t>
      </w:r>
      <w:r>
        <w:rPr>
          <w:rFonts w:eastAsia="Times New Roman" w:cs="Times New Roman"/>
          <w:color w:val="000000"/>
        </w:rPr>
        <w:pgNum/>
      </w:r>
      <w:r>
        <w:rPr>
          <w:rFonts w:eastAsia="Times New Roman" w:cs="Times New Roman"/>
          <w:color w:val="000000"/>
        </w:rPr>
        <w:t>roblem</w:t>
      </w:r>
      <w:r>
        <w:rPr>
          <w:rFonts w:eastAsia="Times New Roman" w:cs="Times New Roman"/>
          <w:color w:val="000000"/>
        </w:rPr>
        <w:pgNum/>
      </w:r>
      <w:r>
        <w:rPr>
          <w:rFonts w:eastAsia="Times New Roman" w:cs="Times New Roman"/>
          <w:color w:val="000000"/>
        </w:rPr>
        <w:pgNum/>
      </w:r>
      <w:r>
        <w:rPr>
          <w:rFonts w:eastAsia="Times New Roman" w:cs="Times New Roman"/>
          <w:color w:val="000000"/>
        </w:rPr>
        <w:t xml:space="preserve">an-superioare, paleozoice şi mezozoice. Cea mai mare parte </w:t>
      </w:r>
      <w:r>
        <w:rPr>
          <w:rFonts w:eastAsia="Times New Roman" w:cs="Times New Roman"/>
          <w:color w:val="000000"/>
        </w:rPr>
        <w:lastRenderedPageBreak/>
        <w:t>a suprafeței corpului de apă este ocupată de terenuri agricole (62 %), dar există şi un procent însemnat de păduri pe suprafaţa corpului de apă (29%).</w:t>
      </w:r>
    </w:p>
    <w:p w14:paraId="0CB35F71" w14:textId="4B18FA49" w:rsidR="00E86513" w:rsidRDefault="00E86513" w:rsidP="00E86513">
      <w:pPr>
        <w:numPr>
          <w:ilvl w:val="0"/>
          <w:numId w:val="24"/>
        </w:numPr>
        <w:pBdr>
          <w:top w:val="nil"/>
          <w:left w:val="nil"/>
          <w:bottom w:val="nil"/>
          <w:right w:val="nil"/>
          <w:between w:val="nil"/>
        </w:pBdr>
        <w:spacing w:before="0"/>
        <w:ind w:left="426" w:firstLine="0"/>
        <w:rPr>
          <w:rFonts w:eastAsia="Times New Roman" w:cs="Times New Roman"/>
          <w:color w:val="000000"/>
        </w:rPr>
      </w:pPr>
      <w:r>
        <w:rPr>
          <w:rFonts w:eastAsia="Times New Roman" w:cs="Times New Roman"/>
          <w:color w:val="000000"/>
        </w:rPr>
        <w:t xml:space="preserve">Corpul de apă subterană RODL10 – Dobrogea de Sud este un corp de apă freatic, de tip poros-permeabil sau fisural, fiind localizat în aluviuni actuale şi subactuale (atribuite Holocenului), în depozite loessoide (Pleistocen superior-Holocen), în loess (Pleistocen mediu-Pleistocen superior), precum şi la limita dintre loessuri/loessoide/argile roşii şi partea </w:t>
      </w:r>
      <w:r>
        <w:rPr>
          <w:rFonts w:eastAsia="Times New Roman" w:cs="Times New Roman"/>
          <w:color w:val="000000"/>
        </w:rPr>
        <w:pgNum/>
      </w:r>
      <w:r>
        <w:rPr>
          <w:rFonts w:eastAsia="Times New Roman" w:cs="Times New Roman"/>
          <w:color w:val="000000"/>
        </w:rPr>
        <w:t>roblem</w:t>
      </w:r>
      <w:r>
        <w:rPr>
          <w:rFonts w:eastAsia="Times New Roman" w:cs="Times New Roman"/>
          <w:color w:val="000000"/>
        </w:rPr>
        <w:pgNum/>
      </w:r>
      <w:r>
        <w:rPr>
          <w:rFonts w:eastAsia="Times New Roman" w:cs="Times New Roman"/>
          <w:color w:val="000000"/>
        </w:rPr>
        <w:t xml:space="preserve"> a depozitelor sarmaţiene (Formaţiunea de Cotu Văii), badenian-superioare (Formaţiunea de Seimeni) sau cretacic-inferioare. Cea mai mare parte a suprafeţei corpului de apă RODL10 este acoperită de terenuri agricole (83 %).</w:t>
      </w:r>
    </w:p>
    <w:p w14:paraId="586116B1" w14:textId="77777777" w:rsidR="00E86513" w:rsidRDefault="00E86513" w:rsidP="00E86513">
      <w:pPr>
        <w:spacing w:before="0"/>
        <w:ind w:left="426"/>
        <w:rPr>
          <w:rFonts w:eastAsia="Times New Roman" w:cs="Times New Roman"/>
        </w:rPr>
      </w:pPr>
    </w:p>
    <w:p w14:paraId="1FB05753" w14:textId="1846AC8C" w:rsidR="00E86513" w:rsidRDefault="00E86513" w:rsidP="00E86513">
      <w:pPr>
        <w:spacing w:after="200" w:line="240" w:lineRule="auto"/>
        <w:ind w:left="426" w:firstLine="0"/>
        <w:jc w:val="center"/>
        <w:rPr>
          <w:rFonts w:eastAsia="Times New Roman" w:cs="Times New Roman"/>
        </w:rPr>
      </w:pPr>
      <w:r>
        <w:rPr>
          <w:rFonts w:eastAsia="Times New Roman" w:cs="Times New Roman"/>
          <w:noProof/>
        </w:rPr>
        <w:drawing>
          <wp:inline distT="0" distB="0" distL="0" distR="0" wp14:anchorId="49448C3F" wp14:editId="65C52886">
            <wp:extent cx="5566968" cy="4085949"/>
            <wp:effectExtent l="0" t="0" r="0" b="0"/>
            <wp:docPr id="2141401976" name="image28.png" descr="C:\Users\Geo\Pictures\harta ape subterane.png"/>
            <wp:cNvGraphicFramePr/>
            <a:graphic xmlns:a="http://schemas.openxmlformats.org/drawingml/2006/main">
              <a:graphicData uri="http://schemas.openxmlformats.org/drawingml/2006/picture">
                <pic:pic xmlns:pic="http://schemas.openxmlformats.org/drawingml/2006/picture">
                  <pic:nvPicPr>
                    <pic:cNvPr id="0" name="image28.png" descr="C:\Users\Geo\Pictures\harta ape subterane.png"/>
                    <pic:cNvPicPr preferRelativeResize="0"/>
                  </pic:nvPicPr>
                  <pic:blipFill>
                    <a:blip r:embed="rId38"/>
                    <a:srcRect/>
                    <a:stretch>
                      <a:fillRect/>
                    </a:stretch>
                  </pic:blipFill>
                  <pic:spPr>
                    <a:xfrm>
                      <a:off x="0" y="0"/>
                      <a:ext cx="5566968" cy="4085949"/>
                    </a:xfrm>
                    <a:prstGeom prst="rect">
                      <a:avLst/>
                    </a:prstGeom>
                    <a:ln/>
                  </pic:spPr>
                </pic:pic>
              </a:graphicData>
            </a:graphic>
          </wp:inline>
        </w:drawing>
      </w:r>
    </w:p>
    <w:p w14:paraId="4B12C885" w14:textId="57B07C23" w:rsidR="00E86513" w:rsidRDefault="00E86513" w:rsidP="00E86513">
      <w:pPr>
        <w:jc w:val="center"/>
        <w:rPr>
          <w:rFonts w:eastAsia="Times New Roman" w:cs="Times New Roman"/>
          <w:b/>
        </w:rPr>
      </w:pPr>
      <w:r>
        <w:rPr>
          <w:rFonts w:eastAsia="Times New Roman" w:cs="Times New Roman"/>
          <w:b/>
        </w:rPr>
        <w:t>Fig. 2.4.4.3.1 Harta cu delimitarea corpurilor de apa subterana administrate de Administrația Bazinală de apă Dobrogea-Litoral (</w:t>
      </w:r>
      <w:r>
        <w:rPr>
          <w:rFonts w:eastAsia="Times New Roman" w:cs="Times New Roman"/>
          <w:b/>
          <w:i/>
        </w:rPr>
        <w:t>sursa: Planului de Management actualizat al fluviului Dunărea, Deltei Dunării, spațiului hidrografic Dobrogea și apelor costiere (2022-2027)</w:t>
      </w:r>
    </w:p>
    <w:p w14:paraId="2AA36717" w14:textId="77777777" w:rsidR="00E86513" w:rsidRDefault="00E86513" w:rsidP="00E86513">
      <w:pPr>
        <w:pBdr>
          <w:top w:val="nil"/>
          <w:left w:val="nil"/>
          <w:bottom w:val="nil"/>
          <w:right w:val="nil"/>
          <w:between w:val="nil"/>
        </w:pBdr>
        <w:ind w:firstLine="567"/>
        <w:rPr>
          <w:rFonts w:eastAsia="Times New Roman" w:cs="Times New Roman"/>
          <w:color w:val="000000"/>
        </w:rPr>
      </w:pPr>
    </w:p>
    <w:p w14:paraId="59B6AFDA" w14:textId="06C2957F" w:rsidR="00E86513" w:rsidRDefault="00E86513" w:rsidP="00E86513">
      <w:pPr>
        <w:spacing w:before="0"/>
        <w:ind w:firstLine="567"/>
        <w:rPr>
          <w:rFonts w:eastAsia="Times New Roman" w:cs="Times New Roman"/>
        </w:rPr>
      </w:pPr>
      <w:r>
        <w:rPr>
          <w:rFonts w:eastAsia="Times New Roman" w:cs="Times New Roman"/>
        </w:rPr>
        <w:t xml:space="preserve">Conform Planului de Management actualizat al fluviului Dunărea, Deltei Dunării, spațiului hidrografic Dobrogea și apelor costiere (2022-2027), niciunul dintre corpurile de apă subterane nu a fost identificat la risc de neatingere a stării bune, din punct de vedere cantitativ. Totuși, presiunea pe exploatarea apelor subterane pentru diverse folosințe (populație, industrie, zootehnie, etc.) este în creştere, volumele de apă subterană captate în ultimii ani fiind tot mai mari. Această </w:t>
      </w:r>
      <w:r>
        <w:rPr>
          <w:rFonts w:eastAsia="Times New Roman" w:cs="Times New Roman"/>
        </w:rPr>
        <w:pgNum/>
      </w:r>
      <w:r>
        <w:rPr>
          <w:rFonts w:eastAsia="Times New Roman" w:cs="Times New Roman"/>
        </w:rPr>
        <w:t xml:space="preserve">roblem a creșterii volumului de ape subterane exploatat, indusă de creşterea </w:t>
      </w:r>
      <w:r>
        <w:rPr>
          <w:rFonts w:eastAsia="Times New Roman" w:cs="Times New Roman"/>
        </w:rPr>
        <w:lastRenderedPageBreak/>
        <w:t>numărului de utilizatori economici şi schimbarea profilului acestora, precum și creşterea numărului de localităţi dotate cu reţele de distribuţie a apei potabile și cu captări din surse subterane, este amplificată și de factori naturali, în particular seceta, afectând astfel reîncărcarea acviferelor.</w:t>
      </w:r>
    </w:p>
    <w:p w14:paraId="50851782" w14:textId="58C3165E" w:rsidR="00E86513" w:rsidRDefault="00E86513" w:rsidP="00E86513">
      <w:pPr>
        <w:pStyle w:val="Heading4"/>
      </w:pPr>
      <w:bookmarkStart w:id="75" w:name="_Toc169625130"/>
      <w:r>
        <w:t>2.4.4.4. Calcare și șisturi verzi</w:t>
      </w:r>
      <w:bookmarkEnd w:id="75"/>
    </w:p>
    <w:p w14:paraId="1CE3C3D9" w14:textId="77777777" w:rsidR="00E86513" w:rsidRDefault="00E86513" w:rsidP="00E86513">
      <w:pPr>
        <w:spacing w:before="0"/>
        <w:ind w:firstLine="567"/>
        <w:rPr>
          <w:rFonts w:eastAsia="Times New Roman" w:cs="Times New Roman"/>
          <w:color w:val="000000"/>
        </w:rPr>
      </w:pPr>
      <w:r>
        <w:rPr>
          <w:rFonts w:eastAsia="Times New Roman" w:cs="Times New Roman"/>
          <w:color w:val="000000"/>
        </w:rPr>
        <w:t xml:space="preserve">În partea central-sudică a zonei costiere, resursele subsolului sunt reprezentate și de substanțe și roci utile și materiale de construcții: calcar la Techirghiol și Corbu, șisturi verzi și cuarțite la Istria și Mihai Viteazu. Dintre acestea, doar calcarul este în prezent exploatat, în zona costieră existând în 2021 două perimetre de exploatare a calcarului industrial și de construcții localizate în Corbu și Luminița-Tasaul. </w:t>
      </w:r>
    </w:p>
    <w:p w14:paraId="68DD2BB4" w14:textId="71EDD531" w:rsidR="00E86513" w:rsidRDefault="00E86513" w:rsidP="00E86513">
      <w:pPr>
        <w:pStyle w:val="Heading4"/>
      </w:pPr>
      <w:bookmarkStart w:id="76" w:name="_Toc169625131"/>
      <w:r>
        <w:t>2.4.4.5 Nisip</w:t>
      </w:r>
      <w:bookmarkEnd w:id="76"/>
    </w:p>
    <w:p w14:paraId="07E28A5C" w14:textId="77777777" w:rsidR="00E86513" w:rsidRDefault="00E86513" w:rsidP="00E86513">
      <w:pPr>
        <w:spacing w:before="0"/>
        <w:ind w:firstLine="567"/>
        <w:rPr>
          <w:rFonts w:eastAsia="Times New Roman" w:cs="Times New Roman"/>
          <w:color w:val="222222"/>
        </w:rPr>
      </w:pPr>
      <w:r>
        <w:rPr>
          <w:rFonts w:eastAsia="Times New Roman" w:cs="Times New Roman"/>
          <w:color w:val="000000"/>
        </w:rPr>
        <w:t xml:space="preserve">Nisipul din mare este, cu precădere, folosit în lucrările de protecție contra eroziunii costiere pentru </w:t>
      </w:r>
      <w:sdt>
        <w:sdtPr>
          <w:tag w:val="goog_rdk_37"/>
          <w:id w:val="1905025672"/>
        </w:sdtPr>
        <w:sdtContent>
          <w:r>
            <w:rPr>
              <w:rFonts w:eastAsia="Times New Roman" w:cs="Times New Roman"/>
              <w:color w:val="000000"/>
            </w:rPr>
            <w:t>înnisiparea</w:t>
          </w:r>
        </w:sdtContent>
      </w:sdt>
      <w:r>
        <w:rPr>
          <w:rFonts w:eastAsia="Times New Roman" w:cs="Times New Roman"/>
          <w:color w:val="000000"/>
        </w:rPr>
        <w:t xml:space="preserve"> artificială a plajelor. În cadrul proiectului de interes național </w:t>
      </w:r>
      <w:r>
        <w:rPr>
          <w:rFonts w:eastAsia="Times New Roman" w:cs="Times New Roman"/>
          <w:color w:val="222222"/>
          <w:highlight w:val="white"/>
        </w:rPr>
        <w:t>„Protecţia şi reabilitarea părţii sudice a litoralului românesc al Mării Negre în zona Mamaia Sud, Tomis Nord, Tomis Centru, Tomis Sud, Eforie Nord”</w:t>
      </w:r>
      <w:r>
        <w:rPr>
          <w:rFonts w:eastAsia="Times New Roman" w:cs="Times New Roman"/>
          <w:color w:val="000000"/>
        </w:rPr>
        <w:t xml:space="preserve">, au fost acordate permise de exploatare a nisipului (perioada 2015-2016) către compania Van Oord </w:t>
      </w:r>
      <w:r>
        <w:rPr>
          <w:rFonts w:eastAsia="Times New Roman" w:cs="Times New Roman"/>
          <w:color w:val="222222"/>
          <w:highlight w:val="white"/>
        </w:rPr>
        <w:t>Dredging and Marine Contractors BV Rotterdam</w:t>
      </w:r>
      <w:r>
        <w:rPr>
          <w:rFonts w:eastAsia="Times New Roman" w:cs="Times New Roman"/>
          <w:color w:val="000000"/>
        </w:rPr>
        <w:t xml:space="preserve"> în trei perimetre (Van Oord 1, Van Oord 2 și Van Oord 3), pentru un volum de 7.800.000 m</w:t>
      </w:r>
      <w:r>
        <w:rPr>
          <w:rFonts w:eastAsia="Times New Roman" w:cs="Times New Roman"/>
          <w:color w:val="000000"/>
          <w:vertAlign w:val="superscript"/>
        </w:rPr>
        <w:t>3</w:t>
      </w:r>
      <w:r>
        <w:rPr>
          <w:rFonts w:eastAsia="Times New Roman" w:cs="Times New Roman"/>
          <w:color w:val="000000"/>
        </w:rPr>
        <w:t xml:space="preserve">. În prezent, sunt valabile trei permise de exploatare a nisipului din Marea neagră, deținute tot de Van Oord </w:t>
      </w:r>
      <w:r>
        <w:rPr>
          <w:rFonts w:eastAsia="Times New Roman" w:cs="Times New Roman"/>
          <w:color w:val="222222"/>
          <w:highlight w:val="white"/>
        </w:rPr>
        <w:t>Dredging and Marine Contractors BV Rotterdam (</w:t>
      </w:r>
      <w:hyperlink r:id="rId39">
        <w:r>
          <w:rPr>
            <w:rFonts w:eastAsia="Times New Roman" w:cs="Times New Roman"/>
            <w:color w:val="0000FF"/>
            <w:highlight w:val="white"/>
            <w:u w:val="single"/>
          </w:rPr>
          <w:t>https://www.namr.ro/wp-content/uploads/2023/03/permise_exploatare_14_03_2023.pdf</w:t>
        </w:r>
      </w:hyperlink>
      <w:r>
        <w:rPr>
          <w:rFonts w:eastAsia="Times New Roman" w:cs="Times New Roman"/>
          <w:color w:val="222222"/>
          <w:highlight w:val="white"/>
        </w:rPr>
        <w:t>).</w:t>
      </w:r>
    </w:p>
    <w:p w14:paraId="18E2A977" w14:textId="77777777" w:rsidR="00E86513" w:rsidRDefault="00E86513" w:rsidP="00E86513">
      <w:pPr>
        <w:spacing w:before="0"/>
        <w:ind w:firstLine="567"/>
        <w:rPr>
          <w:rFonts w:eastAsia="Times New Roman" w:cs="Times New Roman"/>
        </w:rPr>
      </w:pPr>
      <w:r>
        <w:rPr>
          <w:rFonts w:eastAsia="Times New Roman" w:cs="Times New Roman"/>
        </w:rPr>
        <w:t>În cazul acestei resurse nu se pune problema nesustenabilității exploatării, deoarece extragerea nisipului se face, în prezent, doar în scopul protecției contra eroziunii, prin lărgirea plajelor prin înnisipare, activitate realizată doar ocazional.</w:t>
      </w:r>
    </w:p>
    <w:p w14:paraId="4A8BFCFE" w14:textId="5CCEDF31" w:rsidR="00E86513" w:rsidRDefault="00E86513" w:rsidP="00E86513">
      <w:pPr>
        <w:pStyle w:val="Heading4"/>
      </w:pPr>
      <w:bookmarkStart w:id="77" w:name="_Toc169625132"/>
      <w:r>
        <w:t>2.4.4.6 Nămol sapropelic</w:t>
      </w:r>
      <w:bookmarkEnd w:id="77"/>
    </w:p>
    <w:p w14:paraId="7775700A" w14:textId="77777777" w:rsidR="00E86513" w:rsidRDefault="00E86513" w:rsidP="00E86513">
      <w:pPr>
        <w:spacing w:before="0"/>
        <w:ind w:firstLine="567"/>
        <w:rPr>
          <w:rFonts w:eastAsia="Times New Roman" w:cs="Times New Roman"/>
        </w:rPr>
      </w:pPr>
      <w:r>
        <w:rPr>
          <w:rFonts w:eastAsia="Times New Roman" w:cs="Times New Roman"/>
        </w:rPr>
        <w:t>Unul dintre factorii de dezvoltare ai UAT Techirghiol este nămolul sapropelic, resursa naturală din lacul cu același nume. Nămolul se află sub formă sedimentată pe fundul lacului, în anumite zone ale acestuia pe o arie totală de aproximativ 98 ha, într-un strat cu o grosime de circa 0,6 m (conform Strategia Integrată de Dezvoltare Urbană a orașului Techirghiol pentru perioada 2021-2027).</w:t>
      </w:r>
      <w:r>
        <w:t xml:space="preserve"> </w:t>
      </w:r>
      <w:r>
        <w:rPr>
          <w:rFonts w:eastAsia="Times New Roman" w:cs="Times New Roman"/>
        </w:rPr>
        <w:t xml:space="preserve">Principalele probleme referitoare la resursa de nămol din lacul Techirghiol sunt legate, pe de o parte, de pericolul contaminǎrii microbiologice, din cauza proximitǎții activității turistice, modificǎrilor hidrologice şi a deficiențelor în colectarea apelor uzate și a celor meteorice, iar pe de altǎ parte, de pierderea diversitǎții şi afectarea principalelor specii ce contribuie la formarea sapropelului, amplificată de efectele schimbărilor climatice. </w:t>
      </w:r>
    </w:p>
    <w:p w14:paraId="6F5832AE" w14:textId="77777777" w:rsidR="00E86513" w:rsidRDefault="00E86513" w:rsidP="00E86513">
      <w:pPr>
        <w:spacing w:before="0"/>
        <w:ind w:firstLine="567"/>
        <w:rPr>
          <w:rFonts w:eastAsia="Times New Roman" w:cs="Times New Roman"/>
        </w:rPr>
      </w:pPr>
      <w:r>
        <w:rPr>
          <w:rFonts w:eastAsia="Times New Roman" w:cs="Times New Roman"/>
        </w:rPr>
        <w:t>În aceste condiții, exploatarea nǎmolului, concesionatǎ în prezent mai multor firme, trebuie monitorizatǎ cu atenție, pentru evitarea riscurilor de supraexploatare şi/sau scǎdere a calitǎții acestuia. În prezent, sunt active două licențe de exploatare a nămolului terapeutic (în perimetrele Techirghiol Gughis și Lacul Techirghiol Est) și două licențe de exploatare a nămolului sapropelic (în perimetrele Techirghiol-lac-SBRT și Delta).</w:t>
      </w:r>
    </w:p>
    <w:p w14:paraId="259D3194" w14:textId="01FA4951" w:rsidR="00E86513" w:rsidRDefault="00E86513" w:rsidP="00E86513">
      <w:pPr>
        <w:pStyle w:val="Heading4"/>
      </w:pPr>
      <w:bookmarkStart w:id="78" w:name="_Toc169625133"/>
      <w:r>
        <w:lastRenderedPageBreak/>
        <w:t>2.4.4.7 Ape mezotermale sulfuroase</w:t>
      </w:r>
      <w:bookmarkEnd w:id="78"/>
    </w:p>
    <w:p w14:paraId="1A83B1B1" w14:textId="77777777" w:rsidR="00E86513" w:rsidRDefault="00E86513" w:rsidP="00E86513">
      <w:pPr>
        <w:spacing w:before="0"/>
        <w:ind w:firstLine="567"/>
        <w:rPr>
          <w:rFonts w:eastAsia="Times New Roman" w:cs="Times New Roman"/>
          <w:color w:val="000000"/>
        </w:rPr>
      </w:pPr>
      <w:bookmarkStart w:id="79" w:name="_heading=h.2et92p0" w:colFirst="0" w:colLast="0"/>
      <w:bookmarkEnd w:id="79"/>
      <w:r>
        <w:rPr>
          <w:rFonts w:eastAsia="Times New Roman" w:cs="Times New Roman"/>
          <w:color w:val="000000"/>
        </w:rPr>
        <w:t xml:space="preserve">Zăcământul de apă mezotermală sulfuroasă existent în zona Costinești-Mangalia este cantonat în roci calcaroase de vârstă eocenă, cretacică, jurasică și paleozoică. În prezent (2023) sunt active (fie în vigoare, fie în aprobare) 4 licențe de exploatare pentru ape minerale terapeutice. </w:t>
      </w:r>
      <w:r>
        <w:rPr>
          <w:rFonts w:eastAsia="Times New Roman" w:cs="Times New Roman"/>
        </w:rPr>
        <w:t>Fiind o resursă regenerabilă, nu se pune, în prezent, problema nesustenabilității exploatării acesteia.</w:t>
      </w:r>
    </w:p>
    <w:p w14:paraId="57F8251B" w14:textId="65BAB9F1" w:rsidR="00E86513" w:rsidRDefault="00E86513" w:rsidP="00E86513">
      <w:pPr>
        <w:pStyle w:val="Heading3"/>
      </w:pPr>
      <w:bookmarkStart w:id="80" w:name="_Toc150501467"/>
      <w:bookmarkStart w:id="81" w:name="_Toc169625134"/>
      <w:r>
        <w:t>2.4.5 Patrimoniul cultural</w:t>
      </w:r>
      <w:bookmarkEnd w:id="80"/>
      <w:bookmarkEnd w:id="81"/>
    </w:p>
    <w:p w14:paraId="65B46FF9" w14:textId="77777777" w:rsidR="00E86513" w:rsidRDefault="00E86513" w:rsidP="00E86513">
      <w:pPr>
        <w:spacing w:before="0"/>
        <w:ind w:firstLine="567"/>
        <w:rPr>
          <w:rFonts w:eastAsia="Times New Roman" w:cs="Times New Roman"/>
        </w:rPr>
      </w:pPr>
      <w:r>
        <w:rPr>
          <w:rFonts w:eastAsia="Times New Roman" w:cs="Times New Roman"/>
        </w:rPr>
        <w:t>Pe teritoriul zonei costiere românești au fost identificate și clasate în Lista Monumentelor Istorice (LMI) din România 426 de monumente, ansambluri și situri terestre, dintre care 297 în județul Constanța și 129 în județul Tulcea. Alături de acestea, în LMI este clasat și Situl arheologic subacvatic situat pe platforma continentală românească a Mării Negre, aparținând atât județului Constanța, cât și județului Tulcea. Situl arheologic subacvatic cuprinde vestigii arheologice subacvatice din perioadele greacă arhaica, clasică și elenistică, romană, romano-bizantină, medievală și modernă.</w:t>
      </w:r>
    </w:p>
    <w:p w14:paraId="56388443" w14:textId="77777777" w:rsidR="00E86513" w:rsidRDefault="00E86513" w:rsidP="00E86513">
      <w:pPr>
        <w:spacing w:before="0"/>
        <w:ind w:firstLine="567"/>
        <w:rPr>
          <w:rFonts w:eastAsia="Times New Roman" w:cs="Times New Roman"/>
        </w:rPr>
      </w:pPr>
      <w:r>
        <w:rPr>
          <w:rFonts w:eastAsia="Times New Roman" w:cs="Times New Roman"/>
        </w:rPr>
        <w:t>Conform Legii 422/2001 privind protejarea monumentelor istorice cu modificările ulterioare și OM nr. 2260/2008 privind Normele metodologice de clasare și inventariere a monumentelor istorice cu modificările ulterioare, patrimonial cultural imobil este clasificat în patru categorii: arheologic, de arhitectură, de for public, memorial și funerar și în două grupe valorice, respectiv grupa A - monumente de valoare națională și internațională și grupa B - monumente de valoare locală.</w:t>
      </w:r>
    </w:p>
    <w:p w14:paraId="5136F241" w14:textId="77777777" w:rsidR="00E86513" w:rsidRDefault="00E86513" w:rsidP="00E86513">
      <w:pPr>
        <w:spacing w:before="0"/>
        <w:ind w:firstLine="567"/>
        <w:rPr>
          <w:rFonts w:eastAsia="Times New Roman" w:cs="Times New Roman"/>
        </w:rPr>
      </w:pPr>
      <w:r>
        <w:rPr>
          <w:rFonts w:eastAsia="Times New Roman" w:cs="Times New Roman"/>
        </w:rPr>
        <w:t>Repartiția monumentelor istorice clasate în UAT-urile din partea nordică a zonei costiere (județul Tulcea)este următoarea:</w:t>
      </w:r>
    </w:p>
    <w:p w14:paraId="43F88161" w14:textId="77777777" w:rsidR="00E86513" w:rsidRDefault="00E86513" w:rsidP="00E86513">
      <w:pPr>
        <w:spacing w:before="0"/>
        <w:ind w:firstLine="567"/>
        <w:rPr>
          <w:rFonts w:eastAsia="Times New Roman" w:cs="Times New Roman"/>
        </w:rPr>
      </w:pPr>
      <w:r>
        <w:rPr>
          <w:rFonts w:eastAsia="Times New Roman" w:cs="Times New Roman"/>
        </w:rPr>
        <w:t>- com. C.A.Rosetti – 1 sit arheologic, grupă valorică B;</w:t>
      </w:r>
    </w:p>
    <w:p w14:paraId="2F8830F1" w14:textId="77777777" w:rsidR="00E86513" w:rsidRDefault="00E86513" w:rsidP="00E86513">
      <w:pPr>
        <w:spacing w:before="0"/>
        <w:ind w:firstLine="567"/>
        <w:rPr>
          <w:rFonts w:eastAsia="Times New Roman" w:cs="Times New Roman"/>
        </w:rPr>
      </w:pPr>
      <w:r>
        <w:rPr>
          <w:rFonts w:eastAsia="Times New Roman" w:cs="Times New Roman"/>
        </w:rPr>
        <w:t>- oraș Sulina – 64 poziții în total, dintre care un sit arheologic clasat în grupa valorică A; 59 monumente, ansambluri și situri de arhitectură, dintre care 2 situri urbane și 5 ansambluri de arhitectură, 17 clasate în grupa valorică A și 42 în grupa valorică B; 5 situri funerare grupa valorică A;</w:t>
      </w:r>
    </w:p>
    <w:p w14:paraId="16CA6B10" w14:textId="77777777" w:rsidR="00E86513" w:rsidRDefault="00E86513" w:rsidP="00E86513">
      <w:pPr>
        <w:spacing w:before="0"/>
        <w:ind w:firstLine="567"/>
        <w:rPr>
          <w:rFonts w:eastAsia="Times New Roman" w:cs="Times New Roman"/>
        </w:rPr>
      </w:pPr>
      <w:r>
        <w:rPr>
          <w:rFonts w:eastAsia="Times New Roman" w:cs="Times New Roman"/>
        </w:rPr>
        <w:t>- com. Murighiol – 29 monumente și situri arheologice, dintre care 7 clasate în grupa valorică A și 22 în grupa valorică B;</w:t>
      </w:r>
    </w:p>
    <w:p w14:paraId="6E7A12A9" w14:textId="77777777" w:rsidR="00E86513" w:rsidRDefault="00E86513" w:rsidP="00E86513">
      <w:pPr>
        <w:spacing w:before="0"/>
        <w:ind w:firstLine="567"/>
        <w:rPr>
          <w:rFonts w:eastAsia="Times New Roman" w:cs="Times New Roman"/>
        </w:rPr>
      </w:pPr>
      <w:r>
        <w:rPr>
          <w:rFonts w:eastAsia="Times New Roman" w:cs="Times New Roman"/>
        </w:rPr>
        <w:t>- com. Jurilovca – 35 monumente și situri arheologice, dintre care 8 clasate în grupa valorică A și 27 în grupa valorică B;</w:t>
      </w:r>
    </w:p>
    <w:p w14:paraId="5C2AD308" w14:textId="77777777" w:rsidR="00E86513" w:rsidRDefault="00E86513" w:rsidP="00E86513">
      <w:pPr>
        <w:spacing w:before="0"/>
        <w:ind w:firstLine="567"/>
        <w:rPr>
          <w:rFonts w:eastAsia="Times New Roman" w:cs="Times New Roman"/>
        </w:rPr>
      </w:pPr>
      <w:r>
        <w:rPr>
          <w:rFonts w:eastAsia="Times New Roman" w:cs="Times New Roman"/>
        </w:rPr>
        <w:t>Repartiția monumentelor istorice clasate în partea sudică a zonei costiere (județul Constanța) este următoarea:</w:t>
      </w:r>
    </w:p>
    <w:p w14:paraId="71EEBAA3" w14:textId="77777777" w:rsidR="00E86513" w:rsidRDefault="00E86513" w:rsidP="00E86513">
      <w:pPr>
        <w:spacing w:before="0"/>
        <w:ind w:firstLine="567"/>
        <w:rPr>
          <w:rFonts w:eastAsia="Times New Roman" w:cs="Times New Roman"/>
        </w:rPr>
      </w:pPr>
      <w:r>
        <w:rPr>
          <w:rFonts w:eastAsia="Times New Roman" w:cs="Times New Roman"/>
        </w:rPr>
        <w:t>- com. Mihai Viteazu – 6 monumente și situri arheologice, dintre care 1 clasat în grupa valorică A și 5 în grupa valorică B;</w:t>
      </w:r>
    </w:p>
    <w:p w14:paraId="6E7AEC28" w14:textId="77777777" w:rsidR="00E86513" w:rsidRDefault="00E86513" w:rsidP="00E86513">
      <w:pPr>
        <w:spacing w:before="0"/>
        <w:ind w:firstLine="567"/>
        <w:rPr>
          <w:rFonts w:eastAsia="Times New Roman" w:cs="Times New Roman"/>
        </w:rPr>
      </w:pPr>
      <w:r>
        <w:rPr>
          <w:rFonts w:eastAsia="Times New Roman" w:cs="Times New Roman"/>
        </w:rPr>
        <w:t>- com. Istria - 23 monumente, dintre care 22 arheologice, 7 fiind clasate în grupa valorică A, 15 în grupa valorică B și 1 monument de arhitectură, grupa valorică A;</w:t>
      </w:r>
    </w:p>
    <w:p w14:paraId="7CC2BEED" w14:textId="77777777" w:rsidR="00E86513" w:rsidRDefault="00E86513" w:rsidP="00E86513">
      <w:pPr>
        <w:spacing w:before="0"/>
        <w:ind w:firstLine="567"/>
        <w:rPr>
          <w:rFonts w:eastAsia="Times New Roman" w:cs="Times New Roman"/>
        </w:rPr>
      </w:pPr>
      <w:r>
        <w:rPr>
          <w:rFonts w:eastAsia="Times New Roman" w:cs="Times New Roman"/>
        </w:rPr>
        <w:lastRenderedPageBreak/>
        <w:t>- com. Săcele – 6 monumente și situri arheologice, dintre care 1 clasat în grupa valorică A și 5 în grupa valorică B;</w:t>
      </w:r>
    </w:p>
    <w:p w14:paraId="562388CD" w14:textId="77777777" w:rsidR="00E86513" w:rsidRDefault="00E86513" w:rsidP="00E86513">
      <w:pPr>
        <w:spacing w:before="0"/>
        <w:ind w:firstLine="567"/>
        <w:rPr>
          <w:rFonts w:eastAsia="Times New Roman" w:cs="Times New Roman"/>
        </w:rPr>
      </w:pPr>
      <w:r>
        <w:rPr>
          <w:rFonts w:eastAsia="Times New Roman" w:cs="Times New Roman"/>
        </w:rPr>
        <w:t>- com. Corbu – 22 monumente și situri arheologice, dintre care 1 clasat în grupa valorică A și 21 în grupa valorică B;</w:t>
      </w:r>
    </w:p>
    <w:p w14:paraId="2C44004F" w14:textId="77777777" w:rsidR="00E86513" w:rsidRDefault="00E86513" w:rsidP="00E86513">
      <w:pPr>
        <w:spacing w:before="0"/>
        <w:ind w:firstLine="567"/>
        <w:rPr>
          <w:rFonts w:eastAsia="Times New Roman" w:cs="Times New Roman"/>
        </w:rPr>
      </w:pPr>
      <w:r>
        <w:rPr>
          <w:rFonts w:eastAsia="Times New Roman" w:cs="Times New Roman"/>
        </w:rPr>
        <w:t>- oraș Năvodari - 2 situri arheologice clasate în grupa valorică B;</w:t>
      </w:r>
    </w:p>
    <w:p w14:paraId="47CC9663" w14:textId="77777777" w:rsidR="00E86513" w:rsidRDefault="00E86513" w:rsidP="00E86513">
      <w:pPr>
        <w:spacing w:before="0"/>
        <w:ind w:firstLine="567"/>
        <w:rPr>
          <w:rFonts w:eastAsia="Times New Roman" w:cs="Times New Roman"/>
        </w:rPr>
      </w:pPr>
      <w:r>
        <w:rPr>
          <w:rFonts w:eastAsia="Times New Roman" w:cs="Times New Roman"/>
        </w:rPr>
        <w:t>- mun. Constanța – 159 monumente, ansambluri și situri dintre care 27 arheologice, 24 în grupa valorică A și 3 în grupa valorică B; 98 de arhitectură, dintre care 30 în grupa valorică A și 68 în grupa valorică B; 34 de artă plastică, dintre care 3 în grupa valorică A și 31 în grupa valorică B;</w:t>
      </w:r>
    </w:p>
    <w:p w14:paraId="0EB23CF1" w14:textId="77777777" w:rsidR="00E86513" w:rsidRDefault="00E86513" w:rsidP="00E86513">
      <w:pPr>
        <w:spacing w:before="0"/>
        <w:ind w:firstLine="567"/>
        <w:rPr>
          <w:rFonts w:eastAsia="Times New Roman" w:cs="Times New Roman"/>
        </w:rPr>
      </w:pPr>
      <w:r>
        <w:rPr>
          <w:rFonts w:eastAsia="Times New Roman" w:cs="Times New Roman"/>
        </w:rPr>
        <w:t xml:space="preserve">- com. Agigea - 11 monumente și situri arheologice, dintre care 1 clasat în grupa valorică A și 10 în grupa valorică B; </w:t>
      </w:r>
    </w:p>
    <w:p w14:paraId="66D8AF62" w14:textId="77777777" w:rsidR="00E86513" w:rsidRDefault="00E86513" w:rsidP="00E86513">
      <w:pPr>
        <w:spacing w:before="0"/>
        <w:ind w:firstLine="567"/>
        <w:rPr>
          <w:rFonts w:eastAsia="Times New Roman" w:cs="Times New Roman"/>
        </w:rPr>
      </w:pPr>
      <w:r>
        <w:rPr>
          <w:rFonts w:eastAsia="Times New Roman" w:cs="Times New Roman"/>
        </w:rPr>
        <w:t>- oraș Techirghiol – 9 monumente și situri, dintre care 7 arheologice, grupa valorică B, 1 de arhitectură, grupa valorică A, 1 monument memorial, grupa valorică B;</w:t>
      </w:r>
    </w:p>
    <w:p w14:paraId="21CD2788" w14:textId="77777777" w:rsidR="00E86513" w:rsidRDefault="00E86513" w:rsidP="00E86513">
      <w:pPr>
        <w:spacing w:before="0"/>
        <w:ind w:firstLine="567"/>
        <w:rPr>
          <w:rFonts w:eastAsia="Times New Roman" w:cs="Times New Roman"/>
        </w:rPr>
      </w:pPr>
      <w:r>
        <w:rPr>
          <w:rFonts w:eastAsia="Times New Roman" w:cs="Times New Roman"/>
        </w:rPr>
        <w:t>- oraș Eforie Nord – 3 monumente de artă plastică, dintre care 1 clasat în grupa valorică A și 2 în grupa valorică B;</w:t>
      </w:r>
    </w:p>
    <w:p w14:paraId="56725995" w14:textId="77777777" w:rsidR="00E86513" w:rsidRDefault="00E86513" w:rsidP="00E86513">
      <w:pPr>
        <w:spacing w:before="0"/>
        <w:ind w:firstLine="567"/>
        <w:rPr>
          <w:rFonts w:eastAsia="Times New Roman" w:cs="Times New Roman"/>
        </w:rPr>
      </w:pPr>
      <w:r>
        <w:rPr>
          <w:rFonts w:eastAsia="Times New Roman" w:cs="Times New Roman"/>
        </w:rPr>
        <w:t>- oraș Eforie Sud – 5 monumente și situri dintre care 3 arheologice și 2 de artă plastică, grupa valorică B;</w:t>
      </w:r>
    </w:p>
    <w:p w14:paraId="7BE38669" w14:textId="77777777" w:rsidR="00E86513" w:rsidRDefault="00E86513" w:rsidP="00E86513">
      <w:pPr>
        <w:spacing w:before="0"/>
        <w:ind w:firstLine="567"/>
        <w:rPr>
          <w:rFonts w:eastAsia="Times New Roman" w:cs="Times New Roman"/>
        </w:rPr>
      </w:pPr>
      <w:r>
        <w:rPr>
          <w:rFonts w:eastAsia="Times New Roman" w:cs="Times New Roman"/>
        </w:rPr>
        <w:t>- com. Tuzla – 10 monumente și situri arheologice, grupa valorică B;</w:t>
      </w:r>
    </w:p>
    <w:p w14:paraId="62A86FD1" w14:textId="77777777" w:rsidR="00E86513" w:rsidRDefault="00E86513" w:rsidP="00E86513">
      <w:pPr>
        <w:spacing w:before="0"/>
        <w:ind w:firstLine="567"/>
        <w:rPr>
          <w:rFonts w:eastAsia="Times New Roman" w:cs="Times New Roman"/>
        </w:rPr>
      </w:pPr>
      <w:r>
        <w:rPr>
          <w:rFonts w:eastAsia="Times New Roman" w:cs="Times New Roman"/>
        </w:rPr>
        <w:t>- com. Costinești - 8 monumente și situri arheologice, grupa valorică B;</w:t>
      </w:r>
    </w:p>
    <w:p w14:paraId="72D6808F" w14:textId="77777777" w:rsidR="00E86513" w:rsidRDefault="00E86513" w:rsidP="00E86513">
      <w:pPr>
        <w:spacing w:before="0"/>
        <w:ind w:firstLine="567"/>
        <w:rPr>
          <w:rFonts w:eastAsia="Times New Roman" w:cs="Times New Roman"/>
        </w:rPr>
      </w:pPr>
      <w:r>
        <w:rPr>
          <w:rFonts w:eastAsia="Times New Roman" w:cs="Times New Roman"/>
        </w:rPr>
        <w:t>- com. 23 August - 6 monumente și situri arheologice, grupa valorică B;</w:t>
      </w:r>
    </w:p>
    <w:p w14:paraId="2A0EF3C6" w14:textId="77777777" w:rsidR="00E86513" w:rsidRDefault="00E86513" w:rsidP="00E86513">
      <w:pPr>
        <w:spacing w:before="0"/>
        <w:ind w:firstLine="567"/>
        <w:rPr>
          <w:rFonts w:eastAsia="Times New Roman" w:cs="Times New Roman"/>
        </w:rPr>
      </w:pPr>
      <w:r>
        <w:rPr>
          <w:rFonts w:eastAsia="Times New Roman" w:cs="Times New Roman"/>
        </w:rPr>
        <w:t>- mun. Mangalia – 22 monumente, ansambluri și situri dintre care 13 arheologice, grupa valorică A; 8 de arhitectură, dintre care 3 clasate în grupa valorică A și 5 în grupa B; 1 monument funerar, grupa valorică A;</w:t>
      </w:r>
    </w:p>
    <w:p w14:paraId="1AAAB64B" w14:textId="77777777" w:rsidR="00E86513" w:rsidRDefault="00E86513" w:rsidP="00E86513">
      <w:pPr>
        <w:spacing w:before="0"/>
        <w:ind w:firstLine="567"/>
        <w:rPr>
          <w:rFonts w:eastAsia="Times New Roman" w:cs="Times New Roman"/>
        </w:rPr>
      </w:pPr>
      <w:r>
        <w:rPr>
          <w:rFonts w:eastAsia="Times New Roman" w:cs="Times New Roman"/>
        </w:rPr>
        <w:t>- com. Limanu - 5 monumente și situri arheologice, din care 1 clasat în grupa valorică A.</w:t>
      </w:r>
    </w:p>
    <w:p w14:paraId="22201A0A" w14:textId="77777777" w:rsidR="00E86513" w:rsidRDefault="00E86513" w:rsidP="00E86513">
      <w:pPr>
        <w:spacing w:before="0"/>
        <w:ind w:firstLine="567"/>
        <w:rPr>
          <w:rFonts w:eastAsia="Times New Roman" w:cs="Times New Roman"/>
        </w:rPr>
      </w:pPr>
      <w:r>
        <w:rPr>
          <w:rFonts w:eastAsia="Times New Roman" w:cs="Times New Roman"/>
        </w:rPr>
        <w:t xml:space="preserve">Din categoriile tipologice de monumente, ansambluri și situri clasate se observă că cea mai mare pondere o au monumentele și siturile arheologice, în număr de 214, urmate de cele de arhitectură în număr de 167, apoi 39 de for public și 6 memorial funerare. Din punct de vedere al grupei valorice, monumentele, ansamblurile și situri clasate în LMI sunt înscrise 126 în categoria A (valoare națională, universală) și 300 în categoria B (valoare locală). </w:t>
      </w:r>
    </w:p>
    <w:p w14:paraId="4493AD5A" w14:textId="77777777" w:rsidR="00E86513" w:rsidRDefault="00E86513" w:rsidP="00E86513">
      <w:pPr>
        <w:spacing w:before="0"/>
        <w:ind w:firstLine="567"/>
        <w:rPr>
          <w:rFonts w:eastAsia="Times New Roman" w:cs="Times New Roman"/>
        </w:rPr>
      </w:pPr>
      <w:r>
        <w:rPr>
          <w:rFonts w:eastAsia="Times New Roman" w:cs="Times New Roman"/>
        </w:rPr>
        <w:t>De asemenea, din perspectiva concentrării spațiale a patrimoniului, numărul cel mai mare de monumente se regăsește în mediul urban, în municipiile Constanța și Mangalia, precum și în orașul Sulina, tot aici înregistrându-se și cea mai mare pondere a patrimoniului arhitectural, de for public și memorial-funerar. În ceea ce privește patrimoniul arheologic, acesta predomină în mediul rural, în județul Constanța fiind o concentrare de circa 70%.</w:t>
      </w:r>
    </w:p>
    <w:p w14:paraId="706E269E" w14:textId="77777777" w:rsidR="00E86513" w:rsidRDefault="00E86513" w:rsidP="00E86513">
      <w:pPr>
        <w:spacing w:before="0"/>
        <w:ind w:firstLine="567"/>
        <w:rPr>
          <w:rFonts w:eastAsia="Times New Roman" w:cs="Times New Roman"/>
        </w:rPr>
      </w:pPr>
      <w:r>
        <w:rPr>
          <w:rFonts w:eastAsia="Times New Roman" w:cs="Times New Roman"/>
        </w:rPr>
        <w:t xml:space="preserve">Patrimoniul arheologic din zona costieră este, din păcate, în mare parte neglijat, lipsind măsurile de pază, întreținere, conservare și restaurare, fiind afectat de construcții, uneori necontrolate sau neautorizate și de nerespectarea regulamentelor de urbanism. În ceea ce privește patrimoniul arhitectural și zonele istorice ale localităților, lipsa regulamentelor de </w:t>
      </w:r>
      <w:r>
        <w:rPr>
          <w:rFonts w:eastAsia="Times New Roman" w:cs="Times New Roman"/>
        </w:rPr>
        <w:lastRenderedPageBreak/>
        <w:t>urbanism care să integreze conservarea patrimoniului în dezvoltarea comunităților, în acord cu nevoile de modernizare și adaptare la cerințele actuale, a condus la o degradare continuă reflectată în demolări și transformări excesive ale construcțiilor istorice și modificări ale vechilor țesuturi urbane.</w:t>
      </w:r>
    </w:p>
    <w:p w14:paraId="4CCC5BD5" w14:textId="77777777" w:rsidR="00E86513" w:rsidRDefault="00E86513" w:rsidP="00E86513">
      <w:pPr>
        <w:spacing w:before="0"/>
        <w:ind w:firstLine="567"/>
        <w:rPr>
          <w:rFonts w:eastAsia="Times New Roman" w:cs="Times New Roman"/>
          <w:i/>
        </w:rPr>
      </w:pPr>
      <w:r>
        <w:rPr>
          <w:rFonts w:eastAsia="Times New Roman" w:cs="Times New Roman"/>
          <w:i/>
        </w:rPr>
        <w:t>Patrimoniu cultural subacvatic</w:t>
      </w:r>
    </w:p>
    <w:p w14:paraId="56EBCB86" w14:textId="77777777" w:rsidR="00E86513" w:rsidRDefault="00E86513" w:rsidP="00E86513">
      <w:pPr>
        <w:spacing w:before="0"/>
        <w:ind w:firstLine="567"/>
        <w:rPr>
          <w:rFonts w:eastAsia="Times New Roman" w:cs="Times New Roman"/>
        </w:rPr>
      </w:pPr>
      <w:r>
        <w:rPr>
          <w:rFonts w:eastAsia="Times New Roman" w:cs="Times New Roman"/>
          <w:color w:val="000000"/>
        </w:rPr>
        <w:t>Urmarea firească a cercetărilor și descoperirilor din mediul submers, în vederea protejării sitului arheologic subacvatic din România, a fost clasarea acestuia în Lista Monumentelor Istorice, ca singura măsură posibilă de păstrare și control a acestui patrimoniu insuficient explorat. Protecţia de ansamblu, realizată prin includerea în Lista Monumentelor Istorice din 1991 a platformei continentale a Mării Negre (</w:t>
      </w:r>
      <w:hyperlink r:id="rId40">
        <w:r>
          <w:rPr>
            <w:rFonts w:eastAsia="Times New Roman" w:cs="Times New Roman"/>
            <w:color w:val="1155CC"/>
            <w:u w:val="single"/>
          </w:rPr>
          <w:t>http://www.cultura.ro/sites/default/files/inline-files/LMI-CT.pdf</w:t>
        </w:r>
      </w:hyperlink>
      <w:r>
        <w:rPr>
          <w:rFonts w:eastAsia="Times New Roman" w:cs="Times New Roman"/>
          <w:color w:val="000000"/>
        </w:rPr>
        <w:t>;</w:t>
      </w:r>
      <w:hyperlink r:id="rId41">
        <w:r>
          <w:rPr>
            <w:rFonts w:eastAsia="Times New Roman" w:cs="Times New Roman"/>
            <w:color w:val="1155CC"/>
            <w:u w:val="single"/>
          </w:rPr>
          <w:t>http://www.cultura.ro/sites/default/files/inline-files/LMI-TL.pdf</w:t>
        </w:r>
      </w:hyperlink>
      <w:r>
        <w:rPr>
          <w:rFonts w:eastAsia="Times New Roman" w:cs="Times New Roman"/>
          <w:color w:val="000000"/>
        </w:rPr>
        <w:t>), în limita apelor teritoriale ale României, a impus, ca o necesitate, cercetarea tuturor aspectelor în vederea cunoașterii și promovării acestui patrimoniu. Pe de altă parte, perspectivele evoluţiei amenajării teritoriului cuprinzând mari lucrări de exploatare de petrol și gaze naturale, forări, plantări de conducte, îndiguiri, extinderi ale porturilor determină o nouă atitudine faţă de prezervarea patrimoniului subacvatic cu mare valoare istorică.</w:t>
      </w:r>
    </w:p>
    <w:p w14:paraId="79614AF2" w14:textId="77777777" w:rsidR="00E86513" w:rsidRDefault="00E86513" w:rsidP="00E86513">
      <w:pPr>
        <w:spacing w:before="0"/>
        <w:ind w:firstLine="567"/>
        <w:rPr>
          <w:rFonts w:eastAsia="Times New Roman" w:cs="Times New Roman"/>
        </w:rPr>
      </w:pPr>
      <w:r>
        <w:rPr>
          <w:rFonts w:eastAsia="Times New Roman" w:cs="Times New Roman"/>
        </w:rPr>
        <w:t xml:space="preserve">Programul de cercetare şi inventariere desfășurat în anii '90, intitulat “Cercetarea şi inventarierea patrimoniului istoric maritim şi fluvial (subacvatic şi terestru)”, pornind de la studiile istorice și arheologice coroborate cu investigaţii terestre şi subacvatice, a avut ca scop depistarea, cartografierea şi evaluarea siturilor subacvatice reprezentate de epave, construcţii litorale sau scufundate (porturi, docuri, diguri, faruri, fortificaţii sau limesuri) (Iosipescu și colab., 2013). </w:t>
      </w:r>
    </w:p>
    <w:p w14:paraId="2EEBC905" w14:textId="2AB5FC37" w:rsidR="00E86513" w:rsidRDefault="00E86513" w:rsidP="00E86513">
      <w:pPr>
        <w:ind w:firstLine="567"/>
        <w:rPr>
          <w:rFonts w:eastAsia="Times New Roman" w:cs="Times New Roman"/>
        </w:rPr>
      </w:pPr>
      <w:r w:rsidRPr="00E86513">
        <w:rPr>
          <w:rFonts w:eastAsia="Times New Roman" w:cs="Times New Roman"/>
        </w:rPr>
        <w:t>Prin excelenţă, epavele constituie patrimoniul subacvatic, interesul suscitat de cercetarea lor situându-se pe trei paliere fundamentale: tehnic, funcţional şi social. Datorită importanţei şi interesului ştiinţific suscitat de materialul conţinut şi reprezentat de epave, la care se adaugă caracteristicile specifice, putem spune că această mare categorie a patrimoniului subacvatic se defineşte, înainte de toate, ca un obiect de studiu unic, pentru care se impun în primul rând măsuri de protecție eficiente.</w:t>
      </w:r>
    </w:p>
    <w:p w14:paraId="268B8987" w14:textId="77777777" w:rsidR="00E86513" w:rsidRDefault="00E86513" w:rsidP="00E86513">
      <w:pPr>
        <w:ind w:firstLine="0"/>
        <w:rPr>
          <w:rFonts w:eastAsia="Times New Roman" w:cs="Times New Roman"/>
          <w:b/>
          <w:i/>
        </w:rPr>
      </w:pPr>
      <w:r>
        <w:rPr>
          <w:rFonts w:eastAsia="Times New Roman" w:cs="Times New Roman"/>
          <w:b/>
          <w:i/>
          <w:noProof/>
        </w:rPr>
        <w:lastRenderedPageBreak/>
        <w:drawing>
          <wp:inline distT="0" distB="0" distL="0" distR="0" wp14:anchorId="18CA5B19" wp14:editId="26158CE0">
            <wp:extent cx="5495290" cy="7048500"/>
            <wp:effectExtent l="0" t="0" r="0" b="0"/>
            <wp:docPr id="214140197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2"/>
                    <a:srcRect b="6439"/>
                    <a:stretch>
                      <a:fillRect/>
                    </a:stretch>
                  </pic:blipFill>
                  <pic:spPr>
                    <a:xfrm>
                      <a:off x="0" y="0"/>
                      <a:ext cx="5495290" cy="7048500"/>
                    </a:xfrm>
                    <a:prstGeom prst="rect">
                      <a:avLst/>
                    </a:prstGeom>
                    <a:ln/>
                  </pic:spPr>
                </pic:pic>
              </a:graphicData>
            </a:graphic>
          </wp:inline>
        </w:drawing>
      </w:r>
    </w:p>
    <w:p w14:paraId="5227C92C" w14:textId="4BF7350B" w:rsidR="00E86513" w:rsidRDefault="00E86513" w:rsidP="00E86513">
      <w:pPr>
        <w:spacing w:after="200"/>
        <w:jc w:val="center"/>
        <w:rPr>
          <w:rFonts w:eastAsia="Times New Roman" w:cs="Times New Roman"/>
          <w:b/>
        </w:rPr>
      </w:pPr>
      <w:r>
        <w:rPr>
          <w:rFonts w:eastAsia="Times New Roman" w:cs="Times New Roman"/>
          <w:b/>
        </w:rPr>
        <w:t>Fig. 2.4.5.1 Harta posibilelor puncte de interes pentru patrimoniul subacvatic din vestul Mării Negre</w:t>
      </w:r>
    </w:p>
    <w:p w14:paraId="5B5D819D" w14:textId="77777777" w:rsidR="00E86513" w:rsidRDefault="00E86513" w:rsidP="00E86513">
      <w:pPr>
        <w:spacing w:after="200"/>
        <w:rPr>
          <w:rFonts w:eastAsia="Times New Roman" w:cs="Times New Roman"/>
          <w:b/>
        </w:rPr>
      </w:pPr>
    </w:p>
    <w:p w14:paraId="52AB82EB" w14:textId="2736D663" w:rsidR="00E86513" w:rsidRPr="00903011" w:rsidRDefault="00E86513" w:rsidP="00E86513">
      <w:pPr>
        <w:ind w:firstLine="567"/>
        <w:rPr>
          <w:rFonts w:eastAsia="Times New Roman" w:cs="Times New Roman"/>
        </w:rPr>
      </w:pPr>
      <w:r>
        <w:rPr>
          <w:rFonts w:eastAsia="Times New Roman" w:cs="Times New Roman"/>
        </w:rPr>
        <w:t xml:space="preserve">Importante inițiative în domeniu au fost proiectele HERAS –“Submarine Archaeological Heritage in the Western Black Sea Shelf” și ”Western Black Sea Underwater Cultural Tourist Routes”, coordonate de INCD GeoEcoMar. Prin aceste proiecte s-a început dezvoltarea unei baze de date care cuprinde epavele din vestul Mării Negre și a fost realizată o hartă preliminară </w:t>
      </w:r>
      <w:r>
        <w:rPr>
          <w:rFonts w:eastAsia="Times New Roman" w:cs="Times New Roman"/>
        </w:rPr>
        <w:lastRenderedPageBreak/>
        <w:t>a posibilelor situri subacvatice (Fig. 2.4.5.1). Proiectul a produs mai multe materiale și studii, cu un grad mare de utilitate, inclusiv o carte - Heras. Moștenirea arheologică submarină din partea de vest a Mării Negre.</w:t>
      </w:r>
    </w:p>
    <w:p w14:paraId="37C69A95" w14:textId="311E2877" w:rsidR="00E86513" w:rsidRDefault="00AE2EAA" w:rsidP="00E86513">
      <w:pPr>
        <w:pStyle w:val="Heading3"/>
      </w:pPr>
      <w:bookmarkStart w:id="82" w:name="_Toc150501468"/>
      <w:bookmarkStart w:id="83" w:name="_Toc169625135"/>
      <w:r>
        <w:t>2.</w:t>
      </w:r>
      <w:r w:rsidR="00E86513">
        <w:t>4.6 Peisaj</w:t>
      </w:r>
      <w:bookmarkEnd w:id="82"/>
      <w:bookmarkEnd w:id="83"/>
    </w:p>
    <w:p w14:paraId="59251EC5" w14:textId="77777777" w:rsidR="00E86513" w:rsidRDefault="00E86513" w:rsidP="00E86513">
      <w:pPr>
        <w:spacing w:before="0"/>
        <w:ind w:firstLine="709"/>
        <w:rPr>
          <w:rFonts w:eastAsia="Times New Roman" w:cs="Times New Roman"/>
        </w:rPr>
      </w:pPr>
      <w:r>
        <w:rPr>
          <w:rFonts w:eastAsia="Times New Roman" w:cs="Times New Roman"/>
        </w:rPr>
        <w:t>Peisajul zonei costiere reprezintă o resursă esențială pentru derularea activităților economice și creșterea atractivității teritoriale, astfel încât stă la baza bunăstării individuale și sociale, prin asigurarea calității mediului de locuire și a dezvoltării de tip durabil.</w:t>
      </w:r>
    </w:p>
    <w:p w14:paraId="001A40D7" w14:textId="77777777" w:rsidR="00E86513" w:rsidRDefault="00E86513" w:rsidP="00E86513">
      <w:pPr>
        <w:spacing w:before="0"/>
        <w:ind w:firstLine="709"/>
        <w:rPr>
          <w:rFonts w:eastAsia="Times New Roman" w:cs="Times New Roman"/>
          <w:color w:val="FF0000"/>
        </w:rPr>
      </w:pPr>
      <w:r>
        <w:rPr>
          <w:rFonts w:eastAsia="Times New Roman" w:cs="Times New Roman"/>
        </w:rPr>
        <w:t>Peisajul constituie subiect al activității de planificare spațială a teritoriului, păstrarea calității caracteristicilor majore ale acestuia făcând obiectul analizelor complexe de fundamentare a planurilor de amenajare a teritoriului la nivel zonal precum și a planurilor de urbanism (PUG, PUZ) și a regulamentelor aferente acestora.</w:t>
      </w:r>
      <w:r>
        <w:rPr>
          <w:rFonts w:eastAsia="Times New Roman" w:cs="Times New Roman"/>
          <w:color w:val="FF0000"/>
        </w:rPr>
        <w:t xml:space="preserve"> </w:t>
      </w:r>
    </w:p>
    <w:p w14:paraId="0A362058" w14:textId="77777777" w:rsidR="00E86513" w:rsidRDefault="00E86513" w:rsidP="00E86513">
      <w:pPr>
        <w:spacing w:before="0"/>
        <w:ind w:firstLine="709"/>
        <w:rPr>
          <w:rFonts w:eastAsia="Times New Roman" w:cs="Times New Roman"/>
        </w:rPr>
      </w:pPr>
      <w:r>
        <w:rPr>
          <w:rFonts w:eastAsia="Times New Roman" w:cs="Times New Roman"/>
        </w:rPr>
        <w:t>Utilizând metodologia pentru “Atlasul peisajelor” (MDLAP 2014), în zona costieră a României s-au delimitat:</w:t>
      </w:r>
    </w:p>
    <w:p w14:paraId="59839833" w14:textId="77777777" w:rsidR="00E86513" w:rsidRDefault="00E86513" w:rsidP="00E86513">
      <w:pPr>
        <w:numPr>
          <w:ilvl w:val="0"/>
          <w:numId w:val="25"/>
        </w:numPr>
        <w:pBdr>
          <w:top w:val="nil"/>
          <w:left w:val="nil"/>
          <w:bottom w:val="nil"/>
          <w:right w:val="nil"/>
          <w:between w:val="nil"/>
        </w:pBdr>
        <w:spacing w:before="0"/>
        <w:ind w:left="1077" w:hanging="357"/>
        <w:rPr>
          <w:rFonts w:eastAsia="Times New Roman" w:cs="Times New Roman"/>
          <w:color w:val="000000"/>
        </w:rPr>
      </w:pPr>
      <w:r>
        <w:rPr>
          <w:rFonts w:eastAsia="Times New Roman" w:cs="Times New Roman"/>
          <w:color w:val="000000"/>
        </w:rPr>
        <w:t>Unitatea de peisaj Dunărea maritimă;</w:t>
      </w:r>
    </w:p>
    <w:p w14:paraId="2872C8A4" w14:textId="77777777" w:rsidR="00E86513" w:rsidRDefault="00E86513" w:rsidP="00E86513">
      <w:pPr>
        <w:numPr>
          <w:ilvl w:val="0"/>
          <w:numId w:val="25"/>
        </w:numPr>
        <w:pBdr>
          <w:top w:val="nil"/>
          <w:left w:val="nil"/>
          <w:bottom w:val="nil"/>
          <w:right w:val="nil"/>
          <w:between w:val="nil"/>
        </w:pBdr>
        <w:spacing w:before="0"/>
        <w:ind w:left="1077" w:hanging="357"/>
        <w:rPr>
          <w:rFonts w:eastAsia="Times New Roman" w:cs="Times New Roman"/>
          <w:color w:val="000000"/>
        </w:rPr>
      </w:pPr>
      <w:r>
        <w:rPr>
          <w:rFonts w:eastAsia="Times New Roman" w:cs="Times New Roman"/>
          <w:color w:val="000000"/>
        </w:rPr>
        <w:t>Unitatea de peisaj Sinoe;</w:t>
      </w:r>
    </w:p>
    <w:p w14:paraId="56880A40" w14:textId="77777777" w:rsidR="00E86513" w:rsidRDefault="00E86513" w:rsidP="00E86513">
      <w:pPr>
        <w:numPr>
          <w:ilvl w:val="0"/>
          <w:numId w:val="25"/>
        </w:numPr>
        <w:pBdr>
          <w:top w:val="nil"/>
          <w:left w:val="nil"/>
          <w:bottom w:val="nil"/>
          <w:right w:val="nil"/>
          <w:between w:val="nil"/>
        </w:pBdr>
        <w:spacing w:before="0"/>
        <w:ind w:left="1077" w:hanging="357"/>
        <w:rPr>
          <w:rFonts w:eastAsia="Times New Roman" w:cs="Times New Roman"/>
          <w:color w:val="000000"/>
        </w:rPr>
      </w:pPr>
      <w:r>
        <w:rPr>
          <w:rFonts w:eastAsia="Times New Roman" w:cs="Times New Roman"/>
          <w:color w:val="000000"/>
        </w:rPr>
        <w:t>Unitatea de peisaj Constanța</w:t>
      </w:r>
    </w:p>
    <w:p w14:paraId="3BFE2ED0" w14:textId="1CA6A075" w:rsidR="00E86513" w:rsidRDefault="00E86513" w:rsidP="00E86513">
      <w:pPr>
        <w:numPr>
          <w:ilvl w:val="0"/>
          <w:numId w:val="25"/>
        </w:numPr>
        <w:pBdr>
          <w:top w:val="nil"/>
          <w:left w:val="nil"/>
          <w:bottom w:val="nil"/>
          <w:right w:val="nil"/>
          <w:between w:val="nil"/>
        </w:pBdr>
        <w:spacing w:before="0"/>
        <w:ind w:left="1077" w:hanging="357"/>
        <w:rPr>
          <w:rFonts w:eastAsia="Times New Roman" w:cs="Times New Roman"/>
          <w:color w:val="000000"/>
        </w:rPr>
      </w:pPr>
      <w:r>
        <w:rPr>
          <w:rFonts w:eastAsia="Times New Roman" w:cs="Times New Roman"/>
          <w:color w:val="000000"/>
        </w:rPr>
        <w:t>Unitatea de peisaj Litoral (Fig 2.4.6.1).</w:t>
      </w:r>
    </w:p>
    <w:p w14:paraId="63D238F2" w14:textId="77777777" w:rsidR="00AE2EAA" w:rsidRPr="00AE2EAA" w:rsidRDefault="00AE2EAA" w:rsidP="00AE2EAA">
      <w:pPr>
        <w:spacing w:before="0"/>
        <w:rPr>
          <w:rFonts w:eastAsia="Times New Roman" w:cs="Times New Roman"/>
        </w:rPr>
      </w:pPr>
      <w:r w:rsidRPr="00AE2EAA">
        <w:rPr>
          <w:rFonts w:eastAsia="Times New Roman" w:cs="Times New Roman"/>
        </w:rPr>
        <w:t>La delimitarea unităților de peisaj au fost utilizate următoarele trei tipuri de limite geografice și de percepție vizuală:</w:t>
      </w:r>
    </w:p>
    <w:p w14:paraId="12DF8FC2" w14:textId="77777777" w:rsidR="00AE2EAA" w:rsidRPr="00AE2EAA" w:rsidRDefault="00AE2EAA" w:rsidP="00AE2EAA">
      <w:pPr>
        <w:pStyle w:val="ListParagraph"/>
        <w:spacing w:before="0"/>
        <w:ind w:left="1077" w:firstLine="0"/>
        <w:contextualSpacing w:val="0"/>
        <w:rPr>
          <w:rFonts w:eastAsia="Times New Roman" w:cs="Times New Roman"/>
        </w:rPr>
      </w:pPr>
      <w:r w:rsidRPr="00AE2EAA">
        <w:rPr>
          <w:rFonts w:eastAsia="Times New Roman" w:cs="Times New Roman"/>
        </w:rPr>
        <w:t>•</w:t>
      </w:r>
      <w:r w:rsidRPr="00AE2EAA">
        <w:rPr>
          <w:rFonts w:eastAsia="Times New Roman" w:cs="Times New Roman"/>
        </w:rPr>
        <w:tab/>
        <w:t>Limite geografice stricte, de tip geomorfologic (faleze abrupte) sau de vegetație (marginea pădurii), ce impun caracteristici diferite de peisaj de la o zonă la alta;</w:t>
      </w:r>
    </w:p>
    <w:p w14:paraId="259AC8EA" w14:textId="77777777" w:rsidR="00AE2EAA" w:rsidRPr="00AE2EAA" w:rsidRDefault="00AE2EAA" w:rsidP="00AE2EAA">
      <w:pPr>
        <w:pStyle w:val="ListParagraph"/>
        <w:spacing w:before="0"/>
        <w:ind w:left="1077" w:firstLine="0"/>
        <w:contextualSpacing w:val="0"/>
        <w:rPr>
          <w:rFonts w:eastAsia="Times New Roman" w:cs="Times New Roman"/>
        </w:rPr>
      </w:pPr>
      <w:r w:rsidRPr="00AE2EAA">
        <w:rPr>
          <w:rFonts w:eastAsia="Times New Roman" w:cs="Times New Roman"/>
        </w:rPr>
        <w:t>•</w:t>
      </w:r>
      <w:r w:rsidRPr="00AE2EAA">
        <w:rPr>
          <w:rFonts w:eastAsia="Times New Roman" w:cs="Times New Roman"/>
        </w:rPr>
        <w:tab/>
        <w:t>Continuitatea vizuală, cu accent pe păstrarea caracteristicilor compacte ale fiecărei zone de peisaj, indiferent de delimitarea administrativă a teritoriului;</w:t>
      </w:r>
    </w:p>
    <w:p w14:paraId="3E1A7EC4" w14:textId="77777777" w:rsidR="00AE2EAA" w:rsidRPr="00AE2EAA" w:rsidRDefault="00AE2EAA" w:rsidP="00AE2EAA">
      <w:pPr>
        <w:pStyle w:val="ListParagraph"/>
        <w:spacing w:before="0"/>
        <w:ind w:left="1077" w:firstLine="0"/>
        <w:contextualSpacing w:val="0"/>
        <w:rPr>
          <w:rFonts w:eastAsia="Times New Roman" w:cs="Times New Roman"/>
        </w:rPr>
      </w:pPr>
      <w:r w:rsidRPr="00AE2EAA">
        <w:rPr>
          <w:rFonts w:eastAsia="Times New Roman" w:cs="Times New Roman"/>
        </w:rPr>
        <w:t>•</w:t>
      </w:r>
      <w:r w:rsidRPr="00AE2EAA">
        <w:rPr>
          <w:rFonts w:eastAsia="Times New Roman" w:cs="Times New Roman"/>
        </w:rPr>
        <w:tab/>
        <w:t>Peisaje de tranziție, cu evidențierea acelor spații de diferite dimensiuni care fac trecerea de la o zonă de peisaj la alta.</w:t>
      </w:r>
    </w:p>
    <w:p w14:paraId="197E032A" w14:textId="77777777" w:rsidR="00AE2EAA" w:rsidRPr="00AE2EAA" w:rsidRDefault="00AE2EAA" w:rsidP="00AE2EAA">
      <w:pPr>
        <w:pStyle w:val="ListParagraph"/>
        <w:spacing w:before="0"/>
        <w:ind w:left="0" w:firstLine="567"/>
        <w:contextualSpacing w:val="0"/>
        <w:rPr>
          <w:rFonts w:eastAsia="Times New Roman" w:cs="Times New Roman"/>
        </w:rPr>
      </w:pPr>
      <w:r w:rsidRPr="00AE2EAA">
        <w:rPr>
          <w:rFonts w:eastAsia="Times New Roman" w:cs="Times New Roman"/>
        </w:rPr>
        <w:t xml:space="preserve">Caracteristicile generale ale celor patru unități de peisaj sunt prezentate în Figurile 2.4.6.2 2.4.6.5. </w:t>
      </w:r>
    </w:p>
    <w:p w14:paraId="026E7D86" w14:textId="77777777" w:rsidR="00AE2EAA" w:rsidRDefault="00AE2EAA" w:rsidP="00AE2EAA">
      <w:pPr>
        <w:pBdr>
          <w:top w:val="nil"/>
          <w:left w:val="nil"/>
          <w:bottom w:val="nil"/>
          <w:right w:val="nil"/>
          <w:between w:val="nil"/>
        </w:pBdr>
        <w:spacing w:before="0"/>
        <w:ind w:left="720" w:firstLine="0"/>
        <w:rPr>
          <w:rFonts w:eastAsia="Times New Roman" w:cs="Times New Roman"/>
          <w:color w:val="000000"/>
        </w:rPr>
      </w:pPr>
    </w:p>
    <w:p w14:paraId="2156BB2E" w14:textId="77777777" w:rsidR="00E86513" w:rsidRDefault="00E86513" w:rsidP="00E86513">
      <w:pPr>
        <w:ind w:firstLine="709"/>
        <w:rPr>
          <w:rFonts w:eastAsia="Times New Roman" w:cs="Times New Roman"/>
        </w:rPr>
      </w:pPr>
      <w:r>
        <w:rPr>
          <w:rFonts w:eastAsia="Times New Roman" w:cs="Times New Roman"/>
          <w:b/>
          <w:noProof/>
          <w:color w:val="FF0000"/>
        </w:rPr>
        <w:lastRenderedPageBreak/>
        <w:drawing>
          <wp:inline distT="0" distB="0" distL="0" distR="0" wp14:anchorId="0D8BF5B6" wp14:editId="4D5DF5CC">
            <wp:extent cx="3977640" cy="5151120"/>
            <wp:effectExtent l="0" t="0" r="0" b="0"/>
            <wp:docPr id="2141401978" name="image31.png" descr="https://lh7-us.googleusercontent.com/WLG-DYesrLRILvd4SLh5kLQZiRsPx-UPES3rVpewQmZh_TELPQzfYZo1ua9A-_sEpnLQ9bXD9XG3op1o1VID1Es9sAxDyggP-c0jwHZwfgGg6zUGCYaFHjRFvI70tg4nWNCXqKcpIC1a"/>
            <wp:cNvGraphicFramePr/>
            <a:graphic xmlns:a="http://schemas.openxmlformats.org/drawingml/2006/main">
              <a:graphicData uri="http://schemas.openxmlformats.org/drawingml/2006/picture">
                <pic:pic xmlns:pic="http://schemas.openxmlformats.org/drawingml/2006/picture">
                  <pic:nvPicPr>
                    <pic:cNvPr id="0" name="image31.png" descr="https://lh7-us.googleusercontent.com/WLG-DYesrLRILvd4SLh5kLQZiRsPx-UPES3rVpewQmZh_TELPQzfYZo1ua9A-_sEpnLQ9bXD9XG3op1o1VID1Es9sAxDyggP-c0jwHZwfgGg6zUGCYaFHjRFvI70tg4nWNCXqKcpIC1a"/>
                    <pic:cNvPicPr preferRelativeResize="0"/>
                  </pic:nvPicPr>
                  <pic:blipFill>
                    <a:blip r:embed="rId43"/>
                    <a:srcRect/>
                    <a:stretch>
                      <a:fillRect/>
                    </a:stretch>
                  </pic:blipFill>
                  <pic:spPr>
                    <a:xfrm>
                      <a:off x="0" y="0"/>
                      <a:ext cx="3977640" cy="5151120"/>
                    </a:xfrm>
                    <a:prstGeom prst="rect">
                      <a:avLst/>
                    </a:prstGeom>
                    <a:ln/>
                  </pic:spPr>
                </pic:pic>
              </a:graphicData>
            </a:graphic>
          </wp:inline>
        </w:drawing>
      </w:r>
    </w:p>
    <w:p w14:paraId="1757907B" w14:textId="54675EA4" w:rsidR="00E86513" w:rsidRDefault="00E86513" w:rsidP="00E86513">
      <w:pPr>
        <w:spacing w:line="240" w:lineRule="auto"/>
        <w:ind w:firstLine="709"/>
        <w:jc w:val="center"/>
        <w:rPr>
          <w:rFonts w:eastAsia="Times New Roman" w:cs="Times New Roman"/>
          <w:b/>
        </w:rPr>
      </w:pPr>
      <w:r>
        <w:rPr>
          <w:rFonts w:eastAsia="Times New Roman" w:cs="Times New Roman"/>
          <w:b/>
        </w:rPr>
        <w:t>Fig 2.4.6.1 Delimitarea unităților de peisaj din zona costieră</w:t>
      </w:r>
    </w:p>
    <w:p w14:paraId="58B440B3" w14:textId="77777777" w:rsidR="00E86513" w:rsidRDefault="00E86513" w:rsidP="00AE2EAA">
      <w:pPr>
        <w:spacing w:line="240" w:lineRule="auto"/>
        <w:ind w:firstLine="0"/>
        <w:rPr>
          <w:rFonts w:eastAsia="Times New Roman" w:cs="Times New Roman"/>
        </w:rPr>
      </w:pPr>
    </w:p>
    <w:p w14:paraId="1622E8C0" w14:textId="77777777" w:rsidR="00E86513" w:rsidRDefault="00E86513" w:rsidP="00E86513">
      <w:pPr>
        <w:spacing w:line="240" w:lineRule="auto"/>
        <w:ind w:firstLine="20"/>
        <w:rPr>
          <w:rFonts w:eastAsia="Times New Roman" w:cs="Times New Roman"/>
        </w:rPr>
      </w:pPr>
      <w:r>
        <w:rPr>
          <w:rFonts w:eastAsia="Times New Roman" w:cs="Times New Roman"/>
          <w:noProof/>
          <w:color w:val="FF0000"/>
        </w:rPr>
        <w:drawing>
          <wp:inline distT="0" distB="0" distL="0" distR="0" wp14:anchorId="28AB732B" wp14:editId="546E0D37">
            <wp:extent cx="5379720" cy="2354580"/>
            <wp:effectExtent l="0" t="0" r="0" b="0"/>
            <wp:docPr id="2141401979" name="image30.png" descr="https://lh7-us.googleusercontent.com/veAL6j8r8FMoXSbwK7hUFForYvUjC9C_ax7xgxkRDbuGrrtXptIR1CJcqLi-la9S5L0vMwtTEv3PCO4OduFyZRB5ixTn-8HLwbDszJpuWuhpUaJpLWhM5HdHu0KgOu7siWWAW0fwO-3D"/>
            <wp:cNvGraphicFramePr/>
            <a:graphic xmlns:a="http://schemas.openxmlformats.org/drawingml/2006/main">
              <a:graphicData uri="http://schemas.openxmlformats.org/drawingml/2006/picture">
                <pic:pic xmlns:pic="http://schemas.openxmlformats.org/drawingml/2006/picture">
                  <pic:nvPicPr>
                    <pic:cNvPr id="0" name="image30.png" descr="https://lh7-us.googleusercontent.com/veAL6j8r8FMoXSbwK7hUFForYvUjC9C_ax7xgxkRDbuGrrtXptIR1CJcqLi-la9S5L0vMwtTEv3PCO4OduFyZRB5ixTn-8HLwbDszJpuWuhpUaJpLWhM5HdHu0KgOu7siWWAW0fwO-3D"/>
                    <pic:cNvPicPr preferRelativeResize="0"/>
                  </pic:nvPicPr>
                  <pic:blipFill>
                    <a:blip r:embed="rId44"/>
                    <a:srcRect/>
                    <a:stretch>
                      <a:fillRect/>
                    </a:stretch>
                  </pic:blipFill>
                  <pic:spPr>
                    <a:xfrm>
                      <a:off x="0" y="0"/>
                      <a:ext cx="5379720" cy="2354580"/>
                    </a:xfrm>
                    <a:prstGeom prst="rect">
                      <a:avLst/>
                    </a:prstGeom>
                    <a:ln/>
                  </pic:spPr>
                </pic:pic>
              </a:graphicData>
            </a:graphic>
          </wp:inline>
        </w:drawing>
      </w:r>
    </w:p>
    <w:p w14:paraId="5EA1AD31" w14:textId="6D033BB6" w:rsidR="00E86513" w:rsidRDefault="00E86513" w:rsidP="00AE2EAA">
      <w:pPr>
        <w:spacing w:line="240" w:lineRule="auto"/>
        <w:ind w:firstLine="20"/>
        <w:jc w:val="center"/>
        <w:rPr>
          <w:rFonts w:eastAsia="Times New Roman" w:cs="Times New Roman"/>
          <w:b/>
        </w:rPr>
      </w:pPr>
      <w:r>
        <w:rPr>
          <w:rFonts w:eastAsia="Times New Roman" w:cs="Times New Roman"/>
          <w:b/>
        </w:rPr>
        <w:t>Fig. 2.4.6.2 Caracteristici ale unității de peisaj Dunărea maritimă</w:t>
      </w:r>
    </w:p>
    <w:p w14:paraId="7B7E10C8" w14:textId="77777777" w:rsidR="00E86513" w:rsidRDefault="00E86513" w:rsidP="00E86513">
      <w:pPr>
        <w:spacing w:line="240" w:lineRule="auto"/>
        <w:ind w:firstLine="20"/>
        <w:rPr>
          <w:rFonts w:eastAsia="Times New Roman" w:cs="Times New Roman"/>
        </w:rPr>
      </w:pPr>
      <w:r>
        <w:rPr>
          <w:rFonts w:eastAsia="Times New Roman" w:cs="Times New Roman"/>
          <w:noProof/>
          <w:color w:val="FF0000"/>
        </w:rPr>
        <w:lastRenderedPageBreak/>
        <w:drawing>
          <wp:inline distT="0" distB="0" distL="0" distR="0" wp14:anchorId="1CFDD398" wp14:editId="50AB352D">
            <wp:extent cx="5379720" cy="2430780"/>
            <wp:effectExtent l="0" t="0" r="0" b="0"/>
            <wp:docPr id="2141401980" name="image36.png" descr="https://lh7-us.googleusercontent.com/E0hcv7NvZVSI4633QMlnWpO5urebCs4qCAYnHAppSDR24YeRfM25Y5_gd1GHH_W__d1KGndFCznjpXkvXh9Gomz5A0inMuj9hnffovrGoAXmP5EuE5E9LRhBpnNegHVR4h2wN5vr_5MK"/>
            <wp:cNvGraphicFramePr/>
            <a:graphic xmlns:a="http://schemas.openxmlformats.org/drawingml/2006/main">
              <a:graphicData uri="http://schemas.openxmlformats.org/drawingml/2006/picture">
                <pic:pic xmlns:pic="http://schemas.openxmlformats.org/drawingml/2006/picture">
                  <pic:nvPicPr>
                    <pic:cNvPr id="0" name="image36.png" descr="https://lh7-us.googleusercontent.com/E0hcv7NvZVSI4633QMlnWpO5urebCs4qCAYnHAppSDR24YeRfM25Y5_gd1GHH_W__d1KGndFCznjpXkvXh9Gomz5A0inMuj9hnffovrGoAXmP5EuE5E9LRhBpnNegHVR4h2wN5vr_5MK"/>
                    <pic:cNvPicPr preferRelativeResize="0"/>
                  </pic:nvPicPr>
                  <pic:blipFill>
                    <a:blip r:embed="rId45"/>
                    <a:srcRect/>
                    <a:stretch>
                      <a:fillRect/>
                    </a:stretch>
                  </pic:blipFill>
                  <pic:spPr>
                    <a:xfrm>
                      <a:off x="0" y="0"/>
                      <a:ext cx="5379720" cy="2430780"/>
                    </a:xfrm>
                    <a:prstGeom prst="rect">
                      <a:avLst/>
                    </a:prstGeom>
                    <a:ln/>
                  </pic:spPr>
                </pic:pic>
              </a:graphicData>
            </a:graphic>
          </wp:inline>
        </w:drawing>
      </w:r>
    </w:p>
    <w:p w14:paraId="2E56BCA6" w14:textId="5E4B7F03" w:rsidR="00E86513" w:rsidRDefault="00E86513" w:rsidP="00E86513">
      <w:pPr>
        <w:spacing w:line="240" w:lineRule="auto"/>
        <w:ind w:firstLine="20"/>
        <w:jc w:val="center"/>
        <w:rPr>
          <w:rFonts w:eastAsia="Times New Roman" w:cs="Times New Roman"/>
          <w:b/>
        </w:rPr>
      </w:pPr>
      <w:r>
        <w:rPr>
          <w:rFonts w:eastAsia="Times New Roman" w:cs="Times New Roman"/>
          <w:b/>
        </w:rPr>
        <w:t>Fig. 2.4.6.3 Caracteristici ale unității de peisaj Razim – Sinoe</w:t>
      </w:r>
    </w:p>
    <w:p w14:paraId="508FE6AC" w14:textId="77777777" w:rsidR="00E86513" w:rsidRDefault="00E86513" w:rsidP="00E86513">
      <w:pPr>
        <w:spacing w:line="240" w:lineRule="auto"/>
        <w:ind w:firstLine="20"/>
        <w:jc w:val="center"/>
        <w:rPr>
          <w:rFonts w:eastAsia="Times New Roman" w:cs="Times New Roman"/>
          <w:b/>
        </w:rPr>
      </w:pPr>
    </w:p>
    <w:p w14:paraId="3B91416E" w14:textId="77777777" w:rsidR="00E86513" w:rsidRDefault="00E86513" w:rsidP="00E86513">
      <w:pPr>
        <w:spacing w:line="240" w:lineRule="auto"/>
        <w:ind w:firstLine="20"/>
        <w:jc w:val="center"/>
        <w:rPr>
          <w:rFonts w:eastAsia="Times New Roman" w:cs="Times New Roman"/>
        </w:rPr>
      </w:pPr>
      <w:r>
        <w:rPr>
          <w:rFonts w:eastAsia="Times New Roman" w:cs="Times New Roman"/>
          <w:noProof/>
          <w:color w:val="FF0000"/>
        </w:rPr>
        <w:drawing>
          <wp:inline distT="0" distB="0" distL="0" distR="0" wp14:anchorId="5323D9B6" wp14:editId="2163F735">
            <wp:extent cx="5379720" cy="2400300"/>
            <wp:effectExtent l="0" t="0" r="0" b="0"/>
            <wp:docPr id="2141401949" name="image13.png" descr="https://lh7-us.googleusercontent.com/tMh6CxKa1JaYeTm041zVpSn7Q1phlCSAjUBQSgS2NsoNLf6o_kVicGddlc-JOHYV0RC867kVg7bqIiIxzbLTmwpBUXxq2jT5oHDsw7gAhq-_hm9w0o8FSUcVoPhUBFGJuYI9r8KqLpV4"/>
            <wp:cNvGraphicFramePr/>
            <a:graphic xmlns:a="http://schemas.openxmlformats.org/drawingml/2006/main">
              <a:graphicData uri="http://schemas.openxmlformats.org/drawingml/2006/picture">
                <pic:pic xmlns:pic="http://schemas.openxmlformats.org/drawingml/2006/picture">
                  <pic:nvPicPr>
                    <pic:cNvPr id="0" name="image13.png" descr="https://lh7-us.googleusercontent.com/tMh6CxKa1JaYeTm041zVpSn7Q1phlCSAjUBQSgS2NsoNLf6o_kVicGddlc-JOHYV0RC867kVg7bqIiIxzbLTmwpBUXxq2jT5oHDsw7gAhq-_hm9w0o8FSUcVoPhUBFGJuYI9r8KqLpV4"/>
                    <pic:cNvPicPr preferRelativeResize="0"/>
                  </pic:nvPicPr>
                  <pic:blipFill>
                    <a:blip r:embed="rId46"/>
                    <a:srcRect/>
                    <a:stretch>
                      <a:fillRect/>
                    </a:stretch>
                  </pic:blipFill>
                  <pic:spPr>
                    <a:xfrm>
                      <a:off x="0" y="0"/>
                      <a:ext cx="5379720" cy="2400300"/>
                    </a:xfrm>
                    <a:prstGeom prst="rect">
                      <a:avLst/>
                    </a:prstGeom>
                    <a:ln/>
                  </pic:spPr>
                </pic:pic>
              </a:graphicData>
            </a:graphic>
          </wp:inline>
        </w:drawing>
      </w:r>
    </w:p>
    <w:p w14:paraId="4E87F6D8" w14:textId="72771AC9" w:rsidR="00E86513" w:rsidRDefault="00E86513" w:rsidP="00E86513">
      <w:pPr>
        <w:spacing w:line="240" w:lineRule="auto"/>
        <w:ind w:firstLine="20"/>
        <w:jc w:val="center"/>
        <w:rPr>
          <w:rFonts w:eastAsia="Times New Roman" w:cs="Times New Roman"/>
          <w:b/>
        </w:rPr>
      </w:pPr>
      <w:r>
        <w:rPr>
          <w:rFonts w:eastAsia="Times New Roman" w:cs="Times New Roman"/>
          <w:b/>
        </w:rPr>
        <w:t xml:space="preserve">Fig. 2.4.6.4 Caracteristici ale unității de peisaj Midia – </w:t>
      </w:r>
      <w:sdt>
        <w:sdtPr>
          <w:tag w:val="goog_rdk_38"/>
          <w:id w:val="1510861192"/>
        </w:sdtPr>
        <w:sdtContent>
          <w:r>
            <w:rPr>
              <w:rFonts w:eastAsia="Times New Roman" w:cs="Times New Roman"/>
              <w:b/>
            </w:rPr>
            <w:t>Constanța</w:t>
          </w:r>
        </w:sdtContent>
      </w:sdt>
    </w:p>
    <w:p w14:paraId="5115AD29" w14:textId="77777777" w:rsidR="00E86513" w:rsidRDefault="00E86513" w:rsidP="00E86513">
      <w:pPr>
        <w:spacing w:line="240" w:lineRule="auto"/>
        <w:ind w:firstLine="20"/>
        <w:jc w:val="center"/>
        <w:rPr>
          <w:rFonts w:eastAsia="Times New Roman" w:cs="Times New Roman"/>
          <w:b/>
        </w:rPr>
      </w:pPr>
    </w:p>
    <w:p w14:paraId="47A0DEED" w14:textId="77777777" w:rsidR="00E86513" w:rsidRDefault="00E86513" w:rsidP="00E86513">
      <w:pPr>
        <w:spacing w:line="240" w:lineRule="auto"/>
        <w:ind w:firstLine="20"/>
        <w:jc w:val="center"/>
        <w:rPr>
          <w:rFonts w:eastAsia="Times New Roman" w:cs="Times New Roman"/>
        </w:rPr>
      </w:pPr>
      <w:r>
        <w:rPr>
          <w:rFonts w:eastAsia="Times New Roman" w:cs="Times New Roman"/>
          <w:noProof/>
          <w:color w:val="FF0000"/>
        </w:rPr>
        <w:drawing>
          <wp:inline distT="0" distB="0" distL="0" distR="0" wp14:anchorId="130F68CD" wp14:editId="51342AF5">
            <wp:extent cx="5379720" cy="2354580"/>
            <wp:effectExtent l="0" t="0" r="0" b="0"/>
            <wp:docPr id="2141401950" name="image5.png" descr="https://lh7-us.googleusercontent.com/Zk0eGz8Es8HeG0SWNXmRv2yQ5moqqPtdE9Gr4qtZAfJrlNvt4j6KZ8qGHt2_0D9BqPFgxfYZMu37qHG9hMKkhUNP-4Un0j-yi9YDuN9kqlJi9lHILbbAqVmuRibROx_toe8Ykt94ualS"/>
            <wp:cNvGraphicFramePr/>
            <a:graphic xmlns:a="http://schemas.openxmlformats.org/drawingml/2006/main">
              <a:graphicData uri="http://schemas.openxmlformats.org/drawingml/2006/picture">
                <pic:pic xmlns:pic="http://schemas.openxmlformats.org/drawingml/2006/picture">
                  <pic:nvPicPr>
                    <pic:cNvPr id="0" name="image5.png" descr="https://lh7-us.googleusercontent.com/Zk0eGz8Es8HeG0SWNXmRv2yQ5moqqPtdE9Gr4qtZAfJrlNvt4j6KZ8qGHt2_0D9BqPFgxfYZMu37qHG9hMKkhUNP-4Un0j-yi9YDuN9kqlJi9lHILbbAqVmuRibROx_toe8Ykt94ualS"/>
                    <pic:cNvPicPr preferRelativeResize="0"/>
                  </pic:nvPicPr>
                  <pic:blipFill>
                    <a:blip r:embed="rId47"/>
                    <a:srcRect/>
                    <a:stretch>
                      <a:fillRect/>
                    </a:stretch>
                  </pic:blipFill>
                  <pic:spPr>
                    <a:xfrm>
                      <a:off x="0" y="0"/>
                      <a:ext cx="5379720" cy="2354580"/>
                    </a:xfrm>
                    <a:prstGeom prst="rect">
                      <a:avLst/>
                    </a:prstGeom>
                    <a:ln/>
                  </pic:spPr>
                </pic:pic>
              </a:graphicData>
            </a:graphic>
          </wp:inline>
        </w:drawing>
      </w:r>
    </w:p>
    <w:p w14:paraId="01950C8F" w14:textId="5960D278" w:rsidR="00E86513" w:rsidRDefault="00E86513" w:rsidP="00E86513">
      <w:pPr>
        <w:spacing w:line="240" w:lineRule="auto"/>
        <w:ind w:firstLine="20"/>
        <w:jc w:val="center"/>
        <w:rPr>
          <w:rFonts w:eastAsia="Times New Roman" w:cs="Times New Roman"/>
          <w:b/>
        </w:rPr>
      </w:pPr>
      <w:r>
        <w:rPr>
          <w:rFonts w:eastAsia="Times New Roman" w:cs="Times New Roman"/>
          <w:b/>
        </w:rPr>
        <w:t>Fig. 2.4.6.5 Caracteristici ale unității de peisaj Eforie - Vama Veche</w:t>
      </w:r>
    </w:p>
    <w:p w14:paraId="4E0F70FD" w14:textId="77777777" w:rsidR="00E86513" w:rsidRDefault="00E86513" w:rsidP="00E86513">
      <w:pPr>
        <w:spacing w:after="0" w:line="240" w:lineRule="auto"/>
        <w:rPr>
          <w:rFonts w:eastAsia="Times New Roman" w:cs="Times New Roman"/>
        </w:rPr>
      </w:pPr>
    </w:p>
    <w:p w14:paraId="416E65BD" w14:textId="77777777" w:rsidR="00E86513" w:rsidRDefault="00E86513" w:rsidP="00AE2EAA">
      <w:pPr>
        <w:spacing w:before="0"/>
        <w:ind w:left="142" w:firstLine="425"/>
        <w:rPr>
          <w:rFonts w:eastAsia="Times New Roman" w:cs="Times New Roman"/>
        </w:rPr>
      </w:pPr>
      <w:r>
        <w:rPr>
          <w:rFonts w:eastAsia="Times New Roman" w:cs="Times New Roman"/>
        </w:rPr>
        <w:lastRenderedPageBreak/>
        <w:t>Principalele probleme privind gestionarea peisajului în zona costieră sunt:</w:t>
      </w:r>
    </w:p>
    <w:p w14:paraId="4341E212" w14:textId="77777777" w:rsidR="00E86513" w:rsidRDefault="00E86513" w:rsidP="00AE2EAA">
      <w:pPr>
        <w:numPr>
          <w:ilvl w:val="0"/>
          <w:numId w:val="26"/>
        </w:numPr>
        <w:spacing w:before="0"/>
        <w:ind w:left="927" w:firstLine="207"/>
        <w:rPr>
          <w:rFonts w:eastAsia="Times New Roman" w:cs="Times New Roman"/>
        </w:rPr>
      </w:pPr>
      <w:r>
        <w:rPr>
          <w:rFonts w:eastAsia="Times New Roman" w:cs="Times New Roman"/>
        </w:rPr>
        <w:t>Cadrul de reglementări actuale privind amenajarea teritoriului și urbanism nu asigură abordarea integrată a teritoriului zonei costiere, inclusiv a peisajului costier;</w:t>
      </w:r>
    </w:p>
    <w:p w14:paraId="518AA148" w14:textId="77777777" w:rsidR="00E86513" w:rsidRDefault="00E86513" w:rsidP="00AE2EAA">
      <w:pPr>
        <w:numPr>
          <w:ilvl w:val="0"/>
          <w:numId w:val="26"/>
        </w:numPr>
        <w:spacing w:before="0"/>
        <w:ind w:left="927" w:firstLine="207"/>
        <w:rPr>
          <w:rFonts w:eastAsia="Times New Roman" w:cs="Times New Roman"/>
        </w:rPr>
      </w:pPr>
      <w:r>
        <w:rPr>
          <w:rFonts w:eastAsia="Times New Roman" w:cs="Times New Roman"/>
        </w:rPr>
        <w:t>Lipsa unei metodologii de inventariere și evaluare specifică peisajului costier, care să susțină procesele de elaborare a instrumentelor de planificare spațială a teritoriului zonei costiere;</w:t>
      </w:r>
    </w:p>
    <w:p w14:paraId="4E5A31B4" w14:textId="77777777" w:rsidR="00E86513" w:rsidRDefault="00E86513" w:rsidP="00AE2EAA">
      <w:pPr>
        <w:numPr>
          <w:ilvl w:val="0"/>
          <w:numId w:val="26"/>
        </w:numPr>
        <w:spacing w:before="0"/>
        <w:ind w:left="927" w:firstLine="207"/>
        <w:rPr>
          <w:rFonts w:eastAsia="Times New Roman" w:cs="Times New Roman"/>
        </w:rPr>
      </w:pPr>
      <w:r>
        <w:rPr>
          <w:rFonts w:eastAsia="Times New Roman" w:cs="Times New Roman"/>
        </w:rPr>
        <w:t>Nu există un sistem de monitorizare pentru gestiunea integrată a elementele constitutive ale peisajului costier;</w:t>
      </w:r>
    </w:p>
    <w:p w14:paraId="7531AB77" w14:textId="77777777" w:rsidR="00E86513" w:rsidRPr="00903011" w:rsidRDefault="00E86513" w:rsidP="00AE2EAA">
      <w:pPr>
        <w:numPr>
          <w:ilvl w:val="0"/>
          <w:numId w:val="26"/>
        </w:numPr>
        <w:spacing w:before="0"/>
        <w:ind w:left="927" w:firstLine="207"/>
        <w:rPr>
          <w:rFonts w:eastAsia="Times New Roman" w:cs="Times New Roman"/>
        </w:rPr>
      </w:pPr>
      <w:r>
        <w:rPr>
          <w:rFonts w:eastAsia="Times New Roman" w:cs="Times New Roman"/>
        </w:rPr>
        <w:t>Nivel slab de conștientizare în rândul societății civile, organizațiilor private și autorităților publice despre valoarea și rolul peisajelor pentru asigurarea dezvoltării economice și creșterea calității vieții în zona costieră.</w:t>
      </w:r>
    </w:p>
    <w:p w14:paraId="3217144A" w14:textId="2BB84890" w:rsidR="00AE2EAA" w:rsidRDefault="00AE2EAA" w:rsidP="00AE2EAA">
      <w:pPr>
        <w:pStyle w:val="Heading3"/>
      </w:pPr>
      <w:bookmarkStart w:id="84" w:name="_Toc150501469"/>
      <w:bookmarkStart w:id="85" w:name="_Toc169625136"/>
      <w:r>
        <w:t>2.4.7 Aspecte socio-demografice, stare actuală și tendințe</w:t>
      </w:r>
      <w:bookmarkEnd w:id="84"/>
      <w:bookmarkEnd w:id="85"/>
    </w:p>
    <w:p w14:paraId="3A721AA6" w14:textId="77777777" w:rsidR="00AE2EAA" w:rsidRDefault="00AE2EAA" w:rsidP="00AE2EAA">
      <w:pPr>
        <w:spacing w:before="0"/>
        <w:ind w:firstLine="567"/>
        <w:rPr>
          <w:rFonts w:eastAsia="Times New Roman" w:cs="Times New Roman"/>
        </w:rPr>
      </w:pPr>
      <w:r>
        <w:rPr>
          <w:rFonts w:eastAsia="Times New Roman" w:cs="Times New Roman"/>
        </w:rPr>
        <w:t>Conform datelor Recensământului Populației și Locuințelor (RPL) 2021 populația zonei costiere – mai sus definite – era în decembrie 2021, de 400.828 de locuitori (populație rezidentă), în scădere cu 15% față de RPL 2011. Din totalul populației, 87,28% dintre locuitori trăiesc în mediul urban (dintre care 73,76% în cele două municipii), iar 12,72% în mediul rural. Ponderea populației din mediul rural a sporit cu 0,8% față de RPL 2011. Se poate observa că populația este concentrată cu precădere, în mediul urban și în județul Constanța (97,24% din total). Pe de altă parte, cea mai mare parte a suprafeței zonei costiere, se află în județul Tulcea (64,83%) și în mediul rural, în cele 13 comune ale acesteia (82,47%). Această distribuție teritorială a populației determină valori foarte diferite ale densității, respectiv 4,79 locuitori / km</w:t>
      </w:r>
      <w:r>
        <w:rPr>
          <w:rFonts w:eastAsia="Times New Roman" w:cs="Times New Roman"/>
          <w:vertAlign w:val="superscript"/>
        </w:rPr>
        <w:t>2</w:t>
      </w:r>
      <w:r>
        <w:rPr>
          <w:rFonts w:eastAsia="Times New Roman" w:cs="Times New Roman"/>
        </w:rPr>
        <w:t xml:space="preserve"> în județul Tulcea și 311,83 locuitori / km</w:t>
      </w:r>
      <w:r>
        <w:rPr>
          <w:rFonts w:eastAsia="Times New Roman" w:cs="Times New Roman"/>
          <w:vertAlign w:val="superscript"/>
        </w:rPr>
        <w:t>2</w:t>
      </w:r>
      <w:r>
        <w:rPr>
          <w:rFonts w:eastAsia="Times New Roman" w:cs="Times New Roman"/>
        </w:rPr>
        <w:t xml:space="preserve"> în județul Constanța, valoarea medie a densității la nivelul zonei costiere fiind de 112,77 locuitori / km</w:t>
      </w:r>
      <w:r>
        <w:rPr>
          <w:rFonts w:eastAsia="Times New Roman" w:cs="Times New Roman"/>
          <w:vertAlign w:val="superscript"/>
        </w:rPr>
        <w:t>2</w:t>
      </w:r>
      <w:r>
        <w:rPr>
          <w:rFonts w:eastAsia="Times New Roman" w:cs="Times New Roman"/>
        </w:rPr>
        <w:t>.</w:t>
      </w:r>
    </w:p>
    <w:p w14:paraId="46751BE2" w14:textId="77777777" w:rsidR="00AE2EAA" w:rsidRDefault="00AE2EAA" w:rsidP="00AE2EAA">
      <w:pPr>
        <w:spacing w:before="0"/>
        <w:ind w:firstLine="567"/>
        <w:rPr>
          <w:rFonts w:eastAsia="Times New Roman" w:cs="Times New Roman"/>
        </w:rPr>
      </w:pPr>
      <w:r>
        <w:rPr>
          <w:rFonts w:eastAsia="Times New Roman" w:cs="Times New Roman"/>
        </w:rPr>
        <w:t xml:space="preserve">Valorile cele mai mari ale ratei natalității populației se înregistrează în mediul rural. Prin valorile peste media națională (8,6 la mie) se remarcă partea centrală a zonei, localitățile din nordul județului Constanța (Corbu, </w:t>
      </w:r>
      <w:sdt>
        <w:sdtPr>
          <w:tag w:val="goog_rdk_39"/>
          <w:id w:val="1953888534"/>
        </w:sdtPr>
        <w:sdtContent>
          <w:r>
            <w:rPr>
              <w:rFonts w:eastAsia="Times New Roman" w:cs="Times New Roman"/>
            </w:rPr>
            <w:t>Săcele</w:t>
          </w:r>
        </w:sdtContent>
      </w:sdt>
      <w:r>
        <w:rPr>
          <w:rFonts w:eastAsia="Times New Roman" w:cs="Times New Roman"/>
        </w:rPr>
        <w:t xml:space="preserve">, Istria și Mihai Viteazu), precum și Sf. Gheorghe, Agigea și Limanu. În același timp, în cazul localităților urbane, doar la Mangalia și Sulina valorile acestui indicator sunt mai mici decât media națională (de 7,1 la mie în 2022). </w:t>
      </w:r>
    </w:p>
    <w:p w14:paraId="15BB952E" w14:textId="77777777" w:rsidR="00AE2EAA" w:rsidRDefault="00AE2EAA" w:rsidP="00AE2EAA">
      <w:pPr>
        <w:spacing w:before="0"/>
        <w:ind w:firstLine="567"/>
        <w:rPr>
          <w:rFonts w:eastAsia="Times New Roman" w:cs="Times New Roman"/>
        </w:rPr>
      </w:pPr>
      <w:r>
        <w:rPr>
          <w:rFonts w:eastAsia="Times New Roman" w:cs="Times New Roman"/>
        </w:rPr>
        <w:t>Dinamica ratei mortalității a cunoscut o evoluție diferențiată în ultimul timp. În cazul localităților urbane valorile acestui indicator se află pe un trend constant ascendent de la începutul anilor 1990, accelerat în anii 2020-2021 de efectele cauzate de COVID19. Cu excepția orașului Năvodari, toate localitățile urbane au înregistrat rata mortalității peste media națională pentru mediul urban (de 13,6 la mie în 2021). Localitățile rurale au înregistrat o dinamică diferențiată a ratei mortalității, arătând un trend ascendent abia în a doua jumătate deceniului al doilea. COVID19 a avut un impact mai mic în mediul rural, majoritatea comunelor situându-se sub media națională de 17,4 la mie în 2021 (excepție face comuna C.A. Rosetti, cu o rată a mortalității a ce a depășit de două ori media națională pentru zonele rurale).</w:t>
      </w:r>
    </w:p>
    <w:p w14:paraId="5856C4A6" w14:textId="77777777" w:rsidR="00AE2EAA" w:rsidRDefault="00AE2EAA" w:rsidP="00AE2EAA">
      <w:pPr>
        <w:spacing w:before="0"/>
        <w:ind w:firstLine="567"/>
        <w:rPr>
          <w:rFonts w:eastAsia="Times New Roman" w:cs="Times New Roman"/>
        </w:rPr>
      </w:pPr>
      <w:r>
        <w:rPr>
          <w:rFonts w:eastAsia="Times New Roman" w:cs="Times New Roman"/>
        </w:rPr>
        <w:t xml:space="preserve">Rata sporului natural în anul 2021 este negativă în toate localitățile din zona de coastă fără excepție. Prin valorile peste media națională (-5,2 la mie pentru mediul urban și -7,8 pentru mediul rural) se remarcă doar orașul Năvodari, pentru mediul urban, și 8 din 13 localități din </w:t>
      </w:r>
      <w:r>
        <w:rPr>
          <w:rFonts w:eastAsia="Times New Roman" w:cs="Times New Roman"/>
        </w:rPr>
        <w:lastRenderedPageBreak/>
        <w:t>mediul rural. Comuna C.A. Rosetti iese în evidență printr-o valoare extremă a ratei sporului (-34 la mie în 2021).</w:t>
      </w:r>
    </w:p>
    <w:p w14:paraId="13C30453" w14:textId="77777777" w:rsidR="00AE2EAA" w:rsidRDefault="00AE2EAA" w:rsidP="00AE2EAA">
      <w:pPr>
        <w:spacing w:before="0"/>
        <w:ind w:firstLine="567"/>
        <w:rPr>
          <w:rFonts w:eastAsia="Times New Roman" w:cs="Times New Roman"/>
        </w:rPr>
      </w:pPr>
      <w:r>
        <w:rPr>
          <w:rFonts w:eastAsia="Times New Roman" w:cs="Times New Roman"/>
        </w:rPr>
        <w:t xml:space="preserve">Gradul de îmbătrânire a populației este într-o continuă creștere începând cu anii 1990. Zona Deltei Dunării se remarcă printr-o îmbătrânire avansată atât mediul urban, cât și în mediul rural. Între localitățile urbane se remarcă Techirghiol și Năvodari unde valorile acestui indicator se află sub 100%. În același timp în mediul rural doar 4 localități au depășit valoarea de 100% (Sf. Gheorghe, C.A. Rosetti, Jurilovca și Tuzla). În distribuția spațială a indicatorului se remarcă contrastul dintre zona Deltei, în care se înregistrează valorile cele mai mari și zona centrală (Mihai Viteazu, Istria, </w:t>
      </w:r>
      <w:sdt>
        <w:sdtPr>
          <w:tag w:val="goog_rdk_40"/>
          <w:id w:val="676920748"/>
        </w:sdtPr>
        <w:sdtContent>
          <w:r>
            <w:rPr>
              <w:rFonts w:eastAsia="Times New Roman" w:cs="Times New Roman"/>
            </w:rPr>
            <w:t>Săcele</w:t>
          </w:r>
        </w:sdtContent>
      </w:sdt>
      <w:r>
        <w:rPr>
          <w:rFonts w:eastAsia="Times New Roman" w:cs="Times New Roman"/>
        </w:rPr>
        <w:t>, Corbu și Năvodari) cu valorile cele mai mici: Mihai Viteazu este singura localitate cu gradul de îmbătrânire de sub 50%.</w:t>
      </w:r>
    </w:p>
    <w:p w14:paraId="3B89ACD5" w14:textId="77777777" w:rsidR="00AE2EAA" w:rsidRPr="00903011" w:rsidRDefault="00AE2EAA" w:rsidP="00AE2EAA">
      <w:pPr>
        <w:spacing w:before="0"/>
        <w:ind w:firstLine="567"/>
        <w:rPr>
          <w:rFonts w:eastAsia="Times New Roman" w:cs="Times New Roman"/>
        </w:rPr>
      </w:pPr>
      <w:r>
        <w:rPr>
          <w:rFonts w:eastAsia="Times New Roman" w:cs="Times New Roman"/>
        </w:rPr>
        <w:t>În ceea ce privește tendințele migraționiste de lungă durată, estimate pe baza recensământului populației din 2021, zona de coastă se divizează în două părți distincte: (i) jumătatea nordică (la nord de Năvodari), puțin atractivă, în care ponderea celor născuți în alte localități oscilează între 30 și 40% și (ii) localitățile din jumătatea sudică, conduse detașat de orașul Năvodari (cu circa 70% născuți în alte localități), printre care doar Constanța și Tuzla au valori mai mici, apropiate celor din nordul zonei.</w:t>
      </w:r>
    </w:p>
    <w:p w14:paraId="5B5DDD34" w14:textId="17E3F6EB" w:rsidR="00AE2EAA" w:rsidRDefault="00AE2EAA" w:rsidP="00AE2EAA">
      <w:pPr>
        <w:pStyle w:val="Heading3"/>
      </w:pPr>
      <w:bookmarkStart w:id="86" w:name="_Toc150501470"/>
      <w:bookmarkStart w:id="87" w:name="_Toc169625137"/>
      <w:r>
        <w:t>2.4.8 Aspecte economice, stare actuală și tendințe</w:t>
      </w:r>
      <w:bookmarkEnd w:id="86"/>
      <w:bookmarkEnd w:id="87"/>
    </w:p>
    <w:p w14:paraId="3AFC01F6" w14:textId="1F845AAF" w:rsidR="00AE2EAA" w:rsidRDefault="00AE2EAA" w:rsidP="00AE2EAA">
      <w:pPr>
        <w:pStyle w:val="Heading4"/>
      </w:pPr>
      <w:bookmarkStart w:id="88" w:name="_Toc169625138"/>
      <w:r>
        <w:t>2.4.8.1 Turism</w:t>
      </w:r>
      <w:bookmarkEnd w:id="88"/>
    </w:p>
    <w:p w14:paraId="70E40DAF" w14:textId="77777777" w:rsidR="00AE2EAA" w:rsidRDefault="00AE2EAA" w:rsidP="00AE2EAA">
      <w:pPr>
        <w:spacing w:before="0"/>
        <w:ind w:firstLine="567"/>
        <w:rPr>
          <w:rFonts w:eastAsia="Times New Roman" w:cs="Times New Roman"/>
        </w:rPr>
      </w:pPr>
      <w:r>
        <w:rPr>
          <w:rFonts w:eastAsia="Times New Roman" w:cs="Times New Roman"/>
        </w:rPr>
        <w:t>Turismul, deși cu un pronunțat caracter sezonier, rămâne cel mai important sector economic din zona costieră. Zona turistică a litoralului românesc la Marea Neagră cuprinde 12 stațiuni turistice de interes național, plus alte 5 localități turistice litorale (Constanța, Tuzla, 23 August, 2 Mai și Vama veche), toate situate în județul Constanța, la care se adaugă 5 localități turistice din județul Tulcea: comuna C.A. Rosetti, orașul Sulina, comunele Sfântu Gheorghe, Murighiol și Jurilovca, precum și comunele Corbu, Agigea, Tuzla, 23 August și Limanu, din județul Constanța.</w:t>
      </w:r>
    </w:p>
    <w:p w14:paraId="77EDF22D" w14:textId="77777777" w:rsidR="00AE2EAA" w:rsidRDefault="00AE2EAA" w:rsidP="00AE2EAA">
      <w:pPr>
        <w:spacing w:before="0"/>
        <w:ind w:firstLine="567"/>
        <w:rPr>
          <w:rFonts w:eastAsia="Times New Roman" w:cs="Times New Roman"/>
        </w:rPr>
      </w:pPr>
      <w:r>
        <w:rPr>
          <w:rFonts w:eastAsia="Times New Roman" w:cs="Times New Roman"/>
        </w:rPr>
        <w:t xml:space="preserve">Capacitatea de cazare turistică existentă a acestor stațiuni și localități costiere era, în anul 2021, de 92.901 de locuri, în 1207 structuri de primire turistică având funcțiuni de cazare turistică, reprezentând 13,2% din numărul de unități și respectiv 25,49 % din capacitatea de cazare turistică totală a României, conform datelor Institutului Național de Statistică. </w:t>
      </w:r>
    </w:p>
    <w:p w14:paraId="7E708F12" w14:textId="77777777" w:rsidR="00AE2EAA" w:rsidRDefault="00AE2EAA" w:rsidP="00AE2EAA">
      <w:pPr>
        <w:spacing w:before="0"/>
        <w:ind w:firstLine="567"/>
        <w:rPr>
          <w:rFonts w:eastAsia="Times New Roman" w:cs="Times New Roman"/>
        </w:rPr>
      </w:pPr>
      <w:r>
        <w:rPr>
          <w:rFonts w:eastAsia="Times New Roman" w:cs="Times New Roman"/>
        </w:rPr>
        <w:t xml:space="preserve">În 2021, conform datelor publicate de Institutul Național de Statistică, numărul turiștilor sosiți în zona costieră a României a fost de 1.312.084, reprezentând 14% din totalul turiștilor sosiți în România în anul respectiv. Dintre aceștia, majoritatea covârșitoare (1.256.766, reprezentând 95,78%) au fost cazați în stațiunile litorale din județul Constanța (cei mai mulți în stațiunile din municipiile Mangalia și Constanța) și doar 55.318, respectiv 4,22% în localitățile costiere situate în județul Tulcea (cei mai mulți în Murighiol). </w:t>
      </w:r>
    </w:p>
    <w:p w14:paraId="3F2DA6F1" w14:textId="77777777" w:rsidR="00AE2EAA" w:rsidRDefault="00AE2EAA" w:rsidP="00AE2EAA">
      <w:pPr>
        <w:spacing w:before="0"/>
        <w:ind w:firstLine="567"/>
        <w:rPr>
          <w:rFonts w:eastAsia="Times New Roman" w:cs="Times New Roman"/>
        </w:rPr>
      </w:pPr>
      <w:r>
        <w:rPr>
          <w:rFonts w:eastAsia="Times New Roman" w:cs="Times New Roman"/>
        </w:rPr>
        <w:t xml:space="preserve">Numărul total al înnoptărilor înregistrate de turiștii cazați în zona costieră a României, în anul 2021, a fost de 4.629.706, reprezentând 22,22% din totalul turiștilor sosiți în România în anul respectiv. Dintre acestea, 4.506.772 de înnoptări au fost înregistrate în zona costieră aferentă județului Constanța, iar diferența de 55.318 înnoptări, au fost înregistrate în localitățile din zona costieră din județul Tulcea. Cel mai mare număr al înnoptărilor a fost înregistrat în </w:t>
      </w:r>
      <w:r>
        <w:rPr>
          <w:rFonts w:eastAsia="Times New Roman" w:cs="Times New Roman"/>
        </w:rPr>
        <w:lastRenderedPageBreak/>
        <w:t>stațiunile aparținând municipiului Mangalia (1.769.728), urmat de cele din municipiul Constanța, incluzând și stațiunea Mamaia (416.012) și de cele din stațiunile din orașul Eforie (809.868).</w:t>
      </w:r>
    </w:p>
    <w:p w14:paraId="556A39B3" w14:textId="77777777" w:rsidR="00AE2EAA" w:rsidRDefault="00AE2EAA" w:rsidP="00AE2EAA">
      <w:pPr>
        <w:spacing w:before="0"/>
        <w:ind w:firstLine="567"/>
        <w:rPr>
          <w:rFonts w:eastAsia="Times New Roman" w:cs="Times New Roman"/>
        </w:rPr>
      </w:pPr>
      <w:r>
        <w:rPr>
          <w:rFonts w:eastAsia="Times New Roman" w:cs="Times New Roman"/>
        </w:rPr>
        <w:t>Concentrarea activității turistice în perioada de vară (2-3 luni), respectiv sezonalitatea ridicată a acestei activități, determină o presiune considerabilă exercitată asupra ecosistemului costier, prin introducerea, în primul rând de deșeuri, poluanți atmosferici (intensificarea traficului rutier și fluvial), zgomot, agenți patogeni, prin degradarea peisajului, a capitalului cultural, etc. Dacă în Delta Dunării, presiunea nu este atât de ridicată, pe de o parte datorită numărului semnificativ mai scăzut de vizitatori, iar pe de altă parte datorită reglementărilor impuse de către ARBDD cu privire la activitățile din Delta Dunării, în partea sudică a zonei costiere, turismul de masă are efecte negative semnificative asupra mediului. Pe plan social, caracterul strict sezonier al locurilor de muncă din industria turismului în zona costieră face ca cererea de locuri de muncă să fie redusă, sub ofertă, ceea ce determină în cele din urmă scăderea calității serviciilor oferite.</w:t>
      </w:r>
    </w:p>
    <w:p w14:paraId="6734732C" w14:textId="77777777" w:rsidR="00AE2EAA" w:rsidRDefault="00AE2EAA" w:rsidP="00AE2EAA">
      <w:pPr>
        <w:spacing w:before="0"/>
        <w:ind w:firstLine="567"/>
        <w:rPr>
          <w:rFonts w:eastAsia="Times New Roman" w:cs="Times New Roman"/>
        </w:rPr>
      </w:pPr>
      <w:r>
        <w:rPr>
          <w:rFonts w:eastAsia="Times New Roman" w:cs="Times New Roman"/>
        </w:rPr>
        <w:t xml:space="preserve">Problema sezonalității ridicate a turismului poate fi contracarată printr-o diversificare a ofertei turistice, prin promovarea turismului de evenimente, a turismului cultural, a pesca-turismului, turismului rural și gastronomic în partea nordică a zonei costiere (Delta Dunării) și turismul de aventură, cel balneo-medical, de organizare a unor manifestări expoziționale, precum și cel de evenimente culturale și de reuniuni în sudul litoralului. </w:t>
      </w:r>
    </w:p>
    <w:p w14:paraId="62335572" w14:textId="77777777" w:rsidR="00AE2EAA" w:rsidRDefault="00AE2EAA" w:rsidP="00AE2EAA">
      <w:pPr>
        <w:spacing w:before="0"/>
        <w:ind w:firstLine="567"/>
        <w:rPr>
          <w:rFonts w:eastAsia="Times New Roman" w:cs="Times New Roman"/>
        </w:rPr>
      </w:pPr>
      <w:r>
        <w:rPr>
          <w:rFonts w:eastAsia="Times New Roman" w:cs="Times New Roman"/>
        </w:rPr>
        <w:t xml:space="preserve">Dezvoltarea turismului în zona costieră este strâns legată de alte sectoare economice, în special transportul. Creșterea activității turistice în zona costieră este în mare parte dependentă de modernizarea căilor de acces către zona costieră, în special către partea sa nordică aferentă județului Tulcea. Un factor promotor al dezvoltării turismului îl constituie prezența, datorită amplasării zonei de studiu, a tuturor formelor de transport (rutier, feroviar, maritim, fluvial și, în imediata apropiere, aerian). În ultimii ani sunt în curs implementare mai multe proiecte ce au avut drept scop îmbunătățirea infrastructurii terestre și creșterea accesibilității pentru turiști, în special în județul Tulcea. Mijloacele navale și porturile publice și private oferă, de asemenea, oportunități pentru dezvoltarea turismului în zona de studiu, cu toate acestea ele trebuie dezvoltate în mod sustenabil, astfel încât să se evite periclitarea de orice fel a mediului natural unic, în special al Biosferei Delta Dunării. Se preconizează o creștere importantă a accesibilității părții nordice a zonei costiere (județul Tulcea), respectiv a zonelor predominant turistice de pe teritoriul acestuia la momentul finalizării proiectelor de dezvoltare a infrastructurii ce sunt în curs de implementare și în special a proiectelor ce vizează realizarea unui nou drum expres, respectiv pentru tronsonul de circa 112 km ce va lega Tulcea de Constanța și dezvoltarea aeroporturilor M. Kogălniceanu-Constanța și Tulcea. </w:t>
      </w:r>
    </w:p>
    <w:p w14:paraId="6661D6EB" w14:textId="77777777" w:rsidR="00AE2EAA" w:rsidRDefault="00AE2EAA" w:rsidP="00AE2EAA">
      <w:pPr>
        <w:spacing w:before="0"/>
        <w:ind w:firstLine="567"/>
        <w:rPr>
          <w:rFonts w:eastAsia="Times New Roman" w:cs="Times New Roman"/>
        </w:rPr>
      </w:pPr>
      <w:r>
        <w:rPr>
          <w:rFonts w:eastAsia="Times New Roman" w:cs="Times New Roman"/>
        </w:rPr>
        <w:t>Dezvoltarea turismului de croazieră la Constanța necesită promovare, iar diversificarea ofertelor privind activitățile turistice privind petrecerea unei zile în județele Constanța și Tulcea, va atrage creșterea numărului de nave de croazieră care să ancoreze în Portul Constanța. Portul Constanța deține Directoratul MedCruise pentru zona Mării Negre și promovează, împreună cu Porturile Odessa, Burgas și Varna, relansarea turismului de croazieră în Marea Neagră. Croazierele pe Marea Neagră nu se vor putea relua decât după încetarea conflictului armat din Ucraina.</w:t>
      </w:r>
    </w:p>
    <w:p w14:paraId="527EF3C6" w14:textId="77777777" w:rsidR="00AE2EAA" w:rsidRDefault="00AE2EAA" w:rsidP="00AE2EAA">
      <w:pPr>
        <w:spacing w:before="0"/>
        <w:ind w:firstLine="567"/>
        <w:rPr>
          <w:rFonts w:eastAsia="Times New Roman" w:cs="Times New Roman"/>
        </w:rPr>
      </w:pPr>
      <w:r>
        <w:rPr>
          <w:rFonts w:eastAsia="Times New Roman" w:cs="Times New Roman"/>
        </w:rPr>
        <w:lastRenderedPageBreak/>
        <w:t xml:space="preserve">Conform CN APM, în anul 2022, au operat escale în Portul Constanța 39 de nave de croazieră, atât maritime, cât și fluviale, comparativ cu 26 nave în 2021. Pentru 2023 perspectivele sunt mai bune având în vedere că până în prezent 62 nave și-au anunțat escale (din care 28 maritime și 35 fluviale). Anii 2012-2015 au înregistrat, în medie peste 50 de nave care au acostat în Portul Constanța. Cel mai bun an a fost 2014, atunci când 95 de nave au avut escale. Apoi, între anii 2016 și 2018 situația nu a mai fost la fel, iar principalele motive au fost atentatele teroriste din 2016 şi 2017 din Turcia, anexarea Crimeei de către Rusia și instabilitatea din Ucraina. Din aceste motive, marii operatori ai turismului de croazieră au evitat acostarea în Portul Constanța. </w:t>
      </w:r>
    </w:p>
    <w:p w14:paraId="6B5ADD2D" w14:textId="77777777" w:rsidR="00AE2EAA" w:rsidRDefault="00AE2EAA" w:rsidP="00AE2EAA">
      <w:pPr>
        <w:spacing w:before="0"/>
        <w:ind w:firstLine="567"/>
        <w:rPr>
          <w:rFonts w:eastAsia="Times New Roman" w:cs="Times New Roman"/>
        </w:rPr>
      </w:pPr>
      <w:r>
        <w:rPr>
          <w:rFonts w:eastAsia="Times New Roman" w:cs="Times New Roman"/>
        </w:rPr>
        <w:t xml:space="preserve">Printre cele mai grave probleme cu care s-a confruntat în ultima perioadă turismul în zona costieră, în special în partea sa sudică unde se practică un turism de masă, sunt, pe de o parte, scăderea aproape continuă a duratei medii a sejurului petrecut de turiști, iar pe de altă parte reducerea drastică a sosirilor turiștilor străini. Slaba promovare turistică constituie principala cauză a reducerii semnificative a numărului de turiști străini. Este necesar, în mod evident, să se îmbunătățească oferta turistică a litoralului românesc, dar și reluarea campaniilor de promovare turistică a acestei oferte pe piețe țintă europene, în baza unor studii de piață ce trebuie realizate, pentru ca în baza rezultatelor acestora să se acționeze cu prioritate pentru promovarea ofertei turismului românesc de litoral și diversificarea. </w:t>
      </w:r>
    </w:p>
    <w:p w14:paraId="2C2FE487" w14:textId="23623599" w:rsidR="00AE2EAA" w:rsidRDefault="00AE2EAA" w:rsidP="00AE2EAA">
      <w:pPr>
        <w:pStyle w:val="Heading4"/>
      </w:pPr>
      <w:bookmarkStart w:id="89" w:name="_Toc169625139"/>
      <w:r>
        <w:t>4.8.2 Pescuit și acvacultură</w:t>
      </w:r>
      <w:bookmarkEnd w:id="89"/>
    </w:p>
    <w:p w14:paraId="445ED780" w14:textId="77777777" w:rsidR="00AE2EAA" w:rsidRDefault="00AE2EAA" w:rsidP="00AE2EAA">
      <w:pPr>
        <w:rPr>
          <w:rFonts w:eastAsia="Times New Roman" w:cs="Times New Roman"/>
        </w:rPr>
      </w:pPr>
      <w:r>
        <w:rPr>
          <w:rFonts w:eastAsia="Times New Roman" w:cs="Times New Roman"/>
          <w:i/>
          <w:color w:val="000000"/>
        </w:rPr>
        <w:t>Pescuit marin</w:t>
      </w:r>
    </w:p>
    <w:p w14:paraId="057E15C8" w14:textId="09AEEF19" w:rsidR="00AE2EAA" w:rsidRDefault="00AE2EAA" w:rsidP="00AE2EAA">
      <w:pPr>
        <w:spacing w:before="0"/>
        <w:ind w:firstLine="567"/>
        <w:rPr>
          <w:rFonts w:eastAsia="Times New Roman" w:cs="Times New Roman"/>
          <w:color w:val="000000"/>
        </w:rPr>
      </w:pPr>
      <w:r>
        <w:rPr>
          <w:rFonts w:eastAsia="Times New Roman" w:cs="Times New Roman"/>
          <w:color w:val="000000"/>
        </w:rPr>
        <w:t xml:space="preserve">În cadrul Zonei Economice Exclusive deținută de România, pescuitul marin se desfășoară de la țărm până la izobata de 60 metri (adâncimi mai mari pentru pescuitul specializat de calcan, </w:t>
      </w:r>
      <w:r>
        <w:rPr>
          <w:rFonts w:eastAsia="Times New Roman" w:cs="Times New Roman"/>
        </w:rPr>
        <w:t>scrumbie</w:t>
      </w:r>
      <w:r>
        <w:rPr>
          <w:rFonts w:eastAsia="Times New Roman" w:cs="Times New Roman"/>
          <w:color w:val="000000"/>
        </w:rPr>
        <w:t xml:space="preserve"> și rechin), acoperind așadar, o mare suprafață a părții marine a zonei costiere. Fig. 2.4.8.2.1 sunt reprezentate zonele de pescuit de pe platoul continental românesc al Mării Negre, precum și zonele în care pescuitul este interzis.</w:t>
      </w:r>
    </w:p>
    <w:p w14:paraId="511649AF" w14:textId="77777777" w:rsidR="00AE2EAA" w:rsidRDefault="00AE2EAA" w:rsidP="00AE2EAA">
      <w:pPr>
        <w:spacing w:before="0"/>
        <w:rPr>
          <w:rFonts w:eastAsia="Times New Roman" w:cs="Times New Roman"/>
          <w:color w:val="000000"/>
        </w:rPr>
      </w:pPr>
    </w:p>
    <w:p w14:paraId="5F15A8F9" w14:textId="77777777" w:rsidR="00AE2EAA" w:rsidRDefault="00AE2EAA" w:rsidP="00AE2EAA">
      <w:pPr>
        <w:jc w:val="center"/>
        <w:rPr>
          <w:rFonts w:eastAsia="Times New Roman" w:cs="Times New Roman"/>
          <w:color w:val="000000"/>
        </w:rPr>
      </w:pPr>
      <w:r>
        <w:rPr>
          <w:noProof/>
        </w:rPr>
        <w:lastRenderedPageBreak/>
        <w:drawing>
          <wp:inline distT="0" distB="0" distL="0" distR="0" wp14:anchorId="5AE48C52" wp14:editId="0CE80F37">
            <wp:extent cx="3718811" cy="4892262"/>
            <wp:effectExtent l="0" t="0" r="0" b="0"/>
            <wp:docPr id="214140195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8"/>
                    <a:srcRect/>
                    <a:stretch>
                      <a:fillRect/>
                    </a:stretch>
                  </pic:blipFill>
                  <pic:spPr>
                    <a:xfrm>
                      <a:off x="0" y="0"/>
                      <a:ext cx="3718811" cy="4892262"/>
                    </a:xfrm>
                    <a:prstGeom prst="rect">
                      <a:avLst/>
                    </a:prstGeom>
                    <a:ln/>
                  </pic:spPr>
                </pic:pic>
              </a:graphicData>
            </a:graphic>
          </wp:inline>
        </w:drawing>
      </w:r>
    </w:p>
    <w:p w14:paraId="5D002F99" w14:textId="1717549F" w:rsidR="00AE2EAA" w:rsidRDefault="00AE2EAA" w:rsidP="00AE2EAA">
      <w:pPr>
        <w:jc w:val="center"/>
        <w:rPr>
          <w:rFonts w:eastAsia="Times New Roman" w:cs="Times New Roman"/>
          <w:b/>
        </w:rPr>
      </w:pPr>
      <w:r>
        <w:rPr>
          <w:rFonts w:eastAsia="Times New Roman" w:cs="Times New Roman"/>
          <w:b/>
        </w:rPr>
        <w:t>Fig. 2.4.8.2.1 Zone destinate pescuitului și zone unde pescuitul este interzis (sursa: INCDM Grigore Antipa)</w:t>
      </w:r>
    </w:p>
    <w:p w14:paraId="6B2EE3EF" w14:textId="751616A0" w:rsidR="00AE2EAA" w:rsidRDefault="00AE2EAA" w:rsidP="00AE2EAA">
      <w:pPr>
        <w:spacing w:before="0"/>
        <w:ind w:firstLine="567"/>
        <w:rPr>
          <w:rFonts w:eastAsia="Times New Roman" w:cs="Times New Roman"/>
          <w:color w:val="000000"/>
        </w:rPr>
      </w:pPr>
      <w:r>
        <w:rPr>
          <w:rFonts w:eastAsia="Times New Roman" w:cs="Times New Roman"/>
          <w:color w:val="000000"/>
        </w:rPr>
        <w:t>De-a lungul litoralului românesc există patru porturi de pescuit, la Sulina, Capul Midia, Constanța și Mangalia și alte 18 mici stații/puncte de pescuit, situate între Sulina și Vama Veche (Fig. 2.4.8.2.2).</w:t>
      </w:r>
    </w:p>
    <w:p w14:paraId="00EB427C" w14:textId="77777777" w:rsidR="00AE2EAA" w:rsidRDefault="00AE2EAA" w:rsidP="00AE2EAA">
      <w:pPr>
        <w:spacing w:before="0"/>
        <w:rPr>
          <w:rFonts w:eastAsia="Times New Roman" w:cs="Times New Roman"/>
        </w:rPr>
      </w:pPr>
      <w:r>
        <w:rPr>
          <w:rFonts w:eastAsia="Times New Roman" w:cs="Times New Roman"/>
          <w:color w:val="000000"/>
          <w:u w:val="single"/>
        </w:rPr>
        <w:t>Flotă, unelte și efort de pescuit</w:t>
      </w:r>
    </w:p>
    <w:p w14:paraId="5C624FDC" w14:textId="77777777" w:rsidR="00AE2EAA" w:rsidRDefault="00AE2EAA" w:rsidP="00AE2EAA">
      <w:pPr>
        <w:spacing w:before="0"/>
        <w:ind w:firstLine="567"/>
        <w:rPr>
          <w:rFonts w:eastAsia="Times New Roman" w:cs="Times New Roman"/>
        </w:rPr>
      </w:pPr>
      <w:r>
        <w:rPr>
          <w:rFonts w:eastAsia="Times New Roman" w:cs="Times New Roman"/>
          <w:color w:val="000000"/>
        </w:rPr>
        <w:t>Flota românească de pescuit operează în zona de competență a Comisiei Generale pentru Pescărie la Marea Mediterană (GFCM), Zona 37 - Marea Mediterană și Marea Neagră, Sub-zona 37.4, Diviziunea 37.4.2, GSA 29, până la 30-35 Mm în largul Mării Negre, și are unele caracteristici, precum:</w:t>
      </w:r>
    </w:p>
    <w:p w14:paraId="429E8955" w14:textId="77777777" w:rsidR="00AE2EAA" w:rsidRDefault="00AE2EAA" w:rsidP="00AE2EAA">
      <w:pPr>
        <w:numPr>
          <w:ilvl w:val="0"/>
          <w:numId w:val="27"/>
        </w:numPr>
        <w:spacing w:before="0"/>
        <w:ind w:left="714" w:hanging="357"/>
        <w:rPr>
          <w:rFonts w:eastAsia="Times New Roman" w:cs="Times New Roman"/>
          <w:color w:val="000000"/>
        </w:rPr>
      </w:pPr>
      <w:r>
        <w:rPr>
          <w:rFonts w:eastAsia="Times New Roman" w:cs="Times New Roman"/>
          <w:color w:val="000000"/>
        </w:rPr>
        <w:t>Pescuitul cu traulul are un caracter sezonier;</w:t>
      </w:r>
    </w:p>
    <w:p w14:paraId="57076216" w14:textId="77777777" w:rsidR="00AE2EAA" w:rsidRDefault="00AE2EAA" w:rsidP="00AE2EAA">
      <w:pPr>
        <w:numPr>
          <w:ilvl w:val="0"/>
          <w:numId w:val="27"/>
        </w:numPr>
        <w:spacing w:before="0"/>
        <w:ind w:left="714" w:hanging="357"/>
        <w:rPr>
          <w:rFonts w:eastAsia="Times New Roman" w:cs="Times New Roman"/>
          <w:color w:val="000000"/>
        </w:rPr>
      </w:pPr>
      <w:r>
        <w:rPr>
          <w:rFonts w:eastAsia="Times New Roman" w:cs="Times New Roman"/>
          <w:color w:val="000000"/>
        </w:rPr>
        <w:t>Zona marină din dreptul Rezervației Biosfera Deltei Dunării interzice pescuitul cu unelte tractate (traul pelagic), limitându-se la utilizarea talienelor și setcilor;</w:t>
      </w:r>
    </w:p>
    <w:p w14:paraId="514AC886" w14:textId="77777777" w:rsidR="00AE2EAA" w:rsidRDefault="00AE2EAA" w:rsidP="00AE2EAA">
      <w:pPr>
        <w:numPr>
          <w:ilvl w:val="0"/>
          <w:numId w:val="27"/>
        </w:numPr>
        <w:spacing w:before="0"/>
        <w:ind w:left="714" w:hanging="357"/>
        <w:rPr>
          <w:rFonts w:eastAsia="Times New Roman" w:cs="Times New Roman"/>
          <w:color w:val="000000"/>
        </w:rPr>
      </w:pPr>
      <w:r>
        <w:rPr>
          <w:rFonts w:eastAsia="Times New Roman" w:cs="Times New Roman"/>
          <w:color w:val="000000"/>
        </w:rPr>
        <w:t>Punctele de debarcare a capturii sunt porturile Cap Midia, Constanta și Sulina;</w:t>
      </w:r>
    </w:p>
    <w:p w14:paraId="3CFB910D" w14:textId="77777777" w:rsidR="00AE2EAA" w:rsidRDefault="00AE2EAA" w:rsidP="00AE2EAA">
      <w:pPr>
        <w:numPr>
          <w:ilvl w:val="0"/>
          <w:numId w:val="27"/>
        </w:numPr>
        <w:spacing w:before="0"/>
        <w:ind w:left="714" w:hanging="357"/>
        <w:rPr>
          <w:rFonts w:eastAsia="Times New Roman" w:cs="Times New Roman"/>
          <w:color w:val="000000"/>
        </w:rPr>
      </w:pPr>
      <w:r>
        <w:rPr>
          <w:rFonts w:eastAsia="Times New Roman" w:cs="Times New Roman"/>
          <w:color w:val="000000"/>
        </w:rPr>
        <w:t>Porturile nu au instalații specifice navelor traulere costiere.</w:t>
      </w:r>
    </w:p>
    <w:p w14:paraId="19F8676F" w14:textId="77777777" w:rsidR="00AE2EAA" w:rsidRDefault="00AE2EAA" w:rsidP="00AE2EAA">
      <w:pPr>
        <w:spacing w:before="0"/>
        <w:ind w:firstLine="567"/>
        <w:rPr>
          <w:rFonts w:eastAsia="Times New Roman" w:cs="Times New Roman"/>
        </w:rPr>
      </w:pPr>
      <w:r>
        <w:rPr>
          <w:rFonts w:eastAsia="Times New Roman" w:cs="Times New Roman"/>
          <w:color w:val="000000"/>
        </w:rPr>
        <w:lastRenderedPageBreak/>
        <w:t>Capacitatea de pescuit, ca factor decisiv în evaluarea economică a activității de pescuit</w:t>
      </w:r>
      <w:r>
        <w:rPr>
          <w:rFonts w:eastAsia="Times New Roman" w:cs="Times New Roman"/>
          <w:color w:val="0070C0"/>
        </w:rPr>
        <w:t xml:space="preserve">, </w:t>
      </w:r>
      <w:r>
        <w:rPr>
          <w:rFonts w:eastAsia="Times New Roman" w:cs="Times New Roman"/>
          <w:color w:val="000000"/>
        </w:rPr>
        <w:t>este definită luând în considerație tonajul, puterea motorului şi numărul ambarcațiunilor. Uneltele şi tehnicile de pescuit selectiv-nedistructive, rentabile, protejează resursele marine, conservă biodiversitatea biologică, ecosistemele marine și speciile de pești amenințate.</w:t>
      </w:r>
    </w:p>
    <w:p w14:paraId="69A4BA47" w14:textId="511C6902" w:rsidR="00AE2EAA" w:rsidRDefault="00AE2EAA" w:rsidP="00AE2EAA">
      <w:pPr>
        <w:spacing w:before="0"/>
        <w:ind w:firstLine="567"/>
        <w:rPr>
          <w:rFonts w:eastAsia="Times New Roman" w:cs="Times New Roman"/>
          <w:color w:val="000000"/>
        </w:rPr>
      </w:pPr>
      <w:r>
        <w:rPr>
          <w:rFonts w:eastAsia="Times New Roman" w:cs="Times New Roman"/>
          <w:color w:val="000000"/>
        </w:rPr>
        <w:t>În anul 2021 numărul de ambarcațiuni active a fost de 130 nave, în scădere comparativ cu 2020 (138 de nave), la fel ca și numărul navelor inactive. Caracteristicile ambarcațiunilor active în 2021 sunt redate în Tabelul 2.4.8.2.1.</w:t>
      </w:r>
    </w:p>
    <w:p w14:paraId="6F8B3565" w14:textId="77777777" w:rsidR="00AE2EAA" w:rsidRDefault="00AE2EAA" w:rsidP="00AE2EAA">
      <w:pPr>
        <w:ind w:firstLine="567"/>
        <w:rPr>
          <w:rFonts w:eastAsia="Times New Roman" w:cs="Times New Roman"/>
          <w:color w:val="000000"/>
        </w:rPr>
      </w:pPr>
    </w:p>
    <w:p w14:paraId="4A8C4A58" w14:textId="49F55C20" w:rsidR="00AE2EAA" w:rsidRDefault="00AE2EAA" w:rsidP="00AE2EAA">
      <w:pPr>
        <w:ind w:firstLine="567"/>
        <w:jc w:val="center"/>
        <w:rPr>
          <w:rFonts w:eastAsia="Times New Roman" w:cs="Times New Roman"/>
          <w:b/>
        </w:rPr>
      </w:pPr>
      <w:r>
        <w:rPr>
          <w:rFonts w:eastAsia="Times New Roman" w:cs="Times New Roman"/>
          <w:b/>
        </w:rPr>
        <w:t>Tabel 2.4.8.2.1 Numărul total de ambarcațiuni active în anul 2021 (ANPA, 2022)</w:t>
      </w:r>
    </w:p>
    <w:tbl>
      <w:tblPr>
        <w:tblW w:w="9006" w:type="dxa"/>
        <w:jc w:val="center"/>
        <w:tblLayout w:type="fixed"/>
        <w:tblLook w:val="0400" w:firstRow="0" w:lastRow="0" w:firstColumn="0" w:lastColumn="0" w:noHBand="0" w:noVBand="1"/>
      </w:tblPr>
      <w:tblGrid>
        <w:gridCol w:w="1493"/>
        <w:gridCol w:w="1511"/>
        <w:gridCol w:w="1036"/>
        <w:gridCol w:w="1114"/>
        <w:gridCol w:w="929"/>
        <w:gridCol w:w="1000"/>
        <w:gridCol w:w="1000"/>
        <w:gridCol w:w="923"/>
      </w:tblGrid>
      <w:tr w:rsidR="00AE2EAA" w14:paraId="32243AB7" w14:textId="77777777" w:rsidTr="00AE2EAA">
        <w:trPr>
          <w:trHeight w:val="855"/>
          <w:jc w:val="center"/>
        </w:trPr>
        <w:tc>
          <w:tcPr>
            <w:tcW w:w="149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30CE61E"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b/>
                <w:sz w:val="20"/>
                <w:szCs w:val="20"/>
              </w:rPr>
              <w:t>Clase de</w:t>
            </w:r>
          </w:p>
          <w:p w14:paraId="20E4BFB4"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b/>
                <w:sz w:val="20"/>
                <w:szCs w:val="20"/>
              </w:rPr>
              <w:t xml:space="preserve">lungime ambarcațiuni </w:t>
            </w:r>
          </w:p>
        </w:tc>
        <w:tc>
          <w:tcPr>
            <w:tcW w:w="1511"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29B15B8"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b/>
                <w:sz w:val="20"/>
                <w:szCs w:val="20"/>
              </w:rPr>
              <w:t>Total ambarcațiuni active</w:t>
            </w:r>
          </w:p>
        </w:tc>
        <w:tc>
          <w:tcPr>
            <w:tcW w:w="1036"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129CD63D"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b/>
                <w:sz w:val="20"/>
                <w:szCs w:val="20"/>
              </w:rPr>
              <w:t>Tehnica de pescuit</w:t>
            </w:r>
          </w:p>
        </w:tc>
        <w:tc>
          <w:tcPr>
            <w:tcW w:w="111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25D3A3F4"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b/>
                <w:sz w:val="20"/>
                <w:szCs w:val="20"/>
              </w:rPr>
              <w:t xml:space="preserve">Lungime medie </w:t>
            </w:r>
            <w:r>
              <w:rPr>
                <w:rFonts w:eastAsia="Times New Roman" w:cs="Times New Roman"/>
                <w:sz w:val="20"/>
                <w:szCs w:val="20"/>
              </w:rPr>
              <w:t>(m)</w:t>
            </w:r>
          </w:p>
        </w:tc>
        <w:tc>
          <w:tcPr>
            <w:tcW w:w="92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43457E30"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b/>
                <w:sz w:val="20"/>
                <w:szCs w:val="20"/>
              </w:rPr>
              <w:t xml:space="preserve">Vârsta medie </w:t>
            </w:r>
            <w:r>
              <w:rPr>
                <w:rFonts w:eastAsia="Times New Roman" w:cs="Times New Roman"/>
                <w:sz w:val="20"/>
                <w:szCs w:val="20"/>
              </w:rPr>
              <w:t>(ani)</w:t>
            </w:r>
          </w:p>
        </w:tc>
        <w:tc>
          <w:tcPr>
            <w:tcW w:w="1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C06DA44"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b/>
                <w:sz w:val="20"/>
                <w:szCs w:val="20"/>
              </w:rPr>
              <w:t>Total</w:t>
            </w:r>
          </w:p>
          <w:p w14:paraId="0DF052F3"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GT</w:t>
            </w:r>
          </w:p>
        </w:tc>
        <w:tc>
          <w:tcPr>
            <w:tcW w:w="1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7AAEB80"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b/>
                <w:sz w:val="20"/>
                <w:szCs w:val="20"/>
              </w:rPr>
              <w:t>Total</w:t>
            </w:r>
          </w:p>
          <w:p w14:paraId="53196251"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kW</w:t>
            </w:r>
          </w:p>
        </w:tc>
        <w:tc>
          <w:tcPr>
            <w:tcW w:w="92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FDDAEF2"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b/>
                <w:sz w:val="20"/>
                <w:szCs w:val="20"/>
              </w:rPr>
              <w:t>Nr.</w:t>
            </w:r>
          </w:p>
          <w:p w14:paraId="468D3482"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b/>
                <w:sz w:val="20"/>
                <w:szCs w:val="20"/>
              </w:rPr>
              <w:t>oameni</w:t>
            </w:r>
          </w:p>
        </w:tc>
      </w:tr>
      <w:tr w:rsidR="00AE2EAA" w14:paraId="4A0EDC6F" w14:textId="77777777" w:rsidTr="00AE2EAA">
        <w:trPr>
          <w:trHeight w:val="225"/>
          <w:jc w:val="center"/>
        </w:trPr>
        <w:tc>
          <w:tcPr>
            <w:tcW w:w="149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2ED5001" w14:textId="77777777" w:rsidR="00AE2EAA" w:rsidRDefault="00AE2EAA" w:rsidP="00AE2EAA">
            <w:pPr>
              <w:spacing w:after="0" w:line="240" w:lineRule="auto"/>
              <w:ind w:firstLine="0"/>
              <w:rPr>
                <w:rFonts w:eastAsia="Times New Roman" w:cs="Times New Roman"/>
                <w:sz w:val="20"/>
                <w:szCs w:val="20"/>
              </w:rPr>
            </w:pPr>
            <w:r>
              <w:rPr>
                <w:rFonts w:eastAsia="Times New Roman" w:cs="Times New Roman"/>
                <w:sz w:val="20"/>
                <w:szCs w:val="20"/>
              </w:rPr>
              <w:t>&lt; 6 m</w:t>
            </w:r>
          </w:p>
        </w:tc>
        <w:tc>
          <w:tcPr>
            <w:tcW w:w="1511"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52301D1" w14:textId="77777777" w:rsidR="00AE2EAA" w:rsidRDefault="00AE2EAA" w:rsidP="00AE2EAA">
            <w:pPr>
              <w:spacing w:after="0" w:line="240" w:lineRule="auto"/>
              <w:ind w:left="100"/>
              <w:rPr>
                <w:rFonts w:eastAsia="Times New Roman" w:cs="Times New Roman"/>
                <w:sz w:val="20"/>
                <w:szCs w:val="20"/>
              </w:rPr>
            </w:pPr>
            <w:r>
              <w:rPr>
                <w:rFonts w:eastAsia="Times New Roman" w:cs="Times New Roman"/>
                <w:sz w:val="20"/>
                <w:szCs w:val="20"/>
              </w:rPr>
              <w:t>9</w:t>
            </w:r>
          </w:p>
        </w:tc>
        <w:tc>
          <w:tcPr>
            <w:tcW w:w="1036"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B098565"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PG</w:t>
            </w:r>
          </w:p>
        </w:tc>
        <w:tc>
          <w:tcPr>
            <w:tcW w:w="111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774F3EB1"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5,03</w:t>
            </w:r>
          </w:p>
        </w:tc>
        <w:tc>
          <w:tcPr>
            <w:tcW w:w="92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62505AF"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18,67</w:t>
            </w:r>
          </w:p>
        </w:tc>
        <w:tc>
          <w:tcPr>
            <w:tcW w:w="1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4557EE4E"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8,33</w:t>
            </w:r>
          </w:p>
        </w:tc>
        <w:tc>
          <w:tcPr>
            <w:tcW w:w="1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95DF71B"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145,95</w:t>
            </w:r>
          </w:p>
        </w:tc>
        <w:tc>
          <w:tcPr>
            <w:tcW w:w="92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4DDBFAC"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17</w:t>
            </w:r>
          </w:p>
        </w:tc>
      </w:tr>
      <w:tr w:rsidR="00AE2EAA" w14:paraId="301429C3" w14:textId="77777777" w:rsidTr="00AE2EAA">
        <w:trPr>
          <w:trHeight w:val="225"/>
          <w:jc w:val="center"/>
        </w:trPr>
        <w:tc>
          <w:tcPr>
            <w:tcW w:w="149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72B7BF2" w14:textId="77777777" w:rsidR="00AE2EAA" w:rsidRDefault="00AE2EAA" w:rsidP="00AE2EAA">
            <w:pPr>
              <w:spacing w:after="0" w:line="240" w:lineRule="auto"/>
              <w:ind w:firstLine="0"/>
              <w:rPr>
                <w:rFonts w:eastAsia="Times New Roman" w:cs="Times New Roman"/>
                <w:sz w:val="20"/>
                <w:szCs w:val="20"/>
              </w:rPr>
            </w:pPr>
            <w:r>
              <w:rPr>
                <w:rFonts w:eastAsia="Times New Roman" w:cs="Times New Roman"/>
                <w:sz w:val="20"/>
                <w:szCs w:val="20"/>
              </w:rPr>
              <w:t>6- 12 m</w:t>
            </w:r>
          </w:p>
        </w:tc>
        <w:tc>
          <w:tcPr>
            <w:tcW w:w="1511"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1A3EC2CA" w14:textId="77777777" w:rsidR="00AE2EAA" w:rsidRDefault="00AE2EAA" w:rsidP="00AE2EAA">
            <w:pPr>
              <w:spacing w:after="0" w:line="240" w:lineRule="auto"/>
              <w:ind w:left="100"/>
              <w:rPr>
                <w:rFonts w:eastAsia="Times New Roman" w:cs="Times New Roman"/>
                <w:sz w:val="20"/>
                <w:szCs w:val="20"/>
              </w:rPr>
            </w:pPr>
            <w:r>
              <w:rPr>
                <w:rFonts w:eastAsia="Times New Roman" w:cs="Times New Roman"/>
                <w:sz w:val="20"/>
                <w:szCs w:val="20"/>
              </w:rPr>
              <w:t>69</w:t>
            </w:r>
          </w:p>
        </w:tc>
        <w:tc>
          <w:tcPr>
            <w:tcW w:w="1036"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74C38AFC"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PG</w:t>
            </w:r>
          </w:p>
        </w:tc>
        <w:tc>
          <w:tcPr>
            <w:tcW w:w="111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CB7C9F4"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7,84</w:t>
            </w:r>
          </w:p>
        </w:tc>
        <w:tc>
          <w:tcPr>
            <w:tcW w:w="92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1CB5868"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22,29</w:t>
            </w:r>
          </w:p>
        </w:tc>
        <w:tc>
          <w:tcPr>
            <w:tcW w:w="1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710B3B2F"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135,63</w:t>
            </w:r>
          </w:p>
        </w:tc>
        <w:tc>
          <w:tcPr>
            <w:tcW w:w="1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6EA7D20"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748,43</w:t>
            </w:r>
          </w:p>
        </w:tc>
        <w:tc>
          <w:tcPr>
            <w:tcW w:w="92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7CCF198D"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165</w:t>
            </w:r>
          </w:p>
        </w:tc>
      </w:tr>
      <w:tr w:rsidR="00AE2EAA" w14:paraId="62C2B20E" w14:textId="77777777" w:rsidTr="00AE2EAA">
        <w:trPr>
          <w:trHeight w:val="225"/>
          <w:jc w:val="center"/>
        </w:trPr>
        <w:tc>
          <w:tcPr>
            <w:tcW w:w="149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1092FB47" w14:textId="77777777" w:rsidR="00AE2EAA" w:rsidRDefault="00AE2EAA" w:rsidP="00AE2EAA">
            <w:pPr>
              <w:spacing w:after="0" w:line="240" w:lineRule="auto"/>
              <w:ind w:firstLine="0"/>
              <w:rPr>
                <w:rFonts w:eastAsia="Times New Roman" w:cs="Times New Roman"/>
                <w:sz w:val="20"/>
                <w:szCs w:val="20"/>
              </w:rPr>
            </w:pPr>
            <w:r>
              <w:rPr>
                <w:rFonts w:eastAsia="Times New Roman" w:cs="Times New Roman"/>
                <w:sz w:val="20"/>
                <w:szCs w:val="20"/>
              </w:rPr>
              <w:t>6-12 m</w:t>
            </w:r>
          </w:p>
        </w:tc>
        <w:tc>
          <w:tcPr>
            <w:tcW w:w="1511"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71BE99AC" w14:textId="77777777" w:rsidR="00AE2EAA" w:rsidRDefault="00AE2EAA" w:rsidP="00AE2EAA">
            <w:pPr>
              <w:spacing w:after="0" w:line="240" w:lineRule="auto"/>
              <w:ind w:left="100"/>
              <w:rPr>
                <w:rFonts w:eastAsia="Times New Roman" w:cs="Times New Roman"/>
                <w:sz w:val="20"/>
                <w:szCs w:val="20"/>
              </w:rPr>
            </w:pPr>
            <w:r>
              <w:rPr>
                <w:rFonts w:eastAsia="Times New Roman" w:cs="Times New Roman"/>
                <w:sz w:val="20"/>
                <w:szCs w:val="20"/>
              </w:rPr>
              <w:t>30</w:t>
            </w:r>
          </w:p>
        </w:tc>
        <w:tc>
          <w:tcPr>
            <w:tcW w:w="1036"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81A553E"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PMP</w:t>
            </w:r>
          </w:p>
        </w:tc>
        <w:tc>
          <w:tcPr>
            <w:tcW w:w="111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65450BCE"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8,74</w:t>
            </w:r>
          </w:p>
        </w:tc>
        <w:tc>
          <w:tcPr>
            <w:tcW w:w="92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24E2C756"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15,83</w:t>
            </w:r>
          </w:p>
        </w:tc>
        <w:tc>
          <w:tcPr>
            <w:tcW w:w="1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2B05FE7E"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176,41</w:t>
            </w:r>
          </w:p>
        </w:tc>
        <w:tc>
          <w:tcPr>
            <w:tcW w:w="1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2000EFDB"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877,84</w:t>
            </w:r>
          </w:p>
        </w:tc>
        <w:tc>
          <w:tcPr>
            <w:tcW w:w="92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EFE745B"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95</w:t>
            </w:r>
          </w:p>
        </w:tc>
      </w:tr>
      <w:tr w:rsidR="00AE2EAA" w14:paraId="56B23DCB" w14:textId="77777777" w:rsidTr="00AE2EAA">
        <w:trPr>
          <w:trHeight w:val="225"/>
          <w:jc w:val="center"/>
        </w:trPr>
        <w:tc>
          <w:tcPr>
            <w:tcW w:w="149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6235AB9C"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b/>
                <w:sz w:val="20"/>
                <w:szCs w:val="20"/>
              </w:rPr>
              <w:t>12-18 m</w:t>
            </w:r>
          </w:p>
        </w:tc>
        <w:tc>
          <w:tcPr>
            <w:tcW w:w="1511"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4005686C" w14:textId="77777777" w:rsidR="00AE2EAA" w:rsidRDefault="00AE2EAA" w:rsidP="00AE2EAA">
            <w:pPr>
              <w:spacing w:after="0" w:line="240" w:lineRule="auto"/>
              <w:ind w:left="100"/>
              <w:rPr>
                <w:rFonts w:eastAsia="Times New Roman" w:cs="Times New Roman"/>
                <w:sz w:val="20"/>
                <w:szCs w:val="20"/>
              </w:rPr>
            </w:pPr>
            <w:r>
              <w:rPr>
                <w:rFonts w:eastAsia="Times New Roman" w:cs="Times New Roman"/>
                <w:sz w:val="20"/>
                <w:szCs w:val="20"/>
              </w:rPr>
              <w:t>18</w:t>
            </w:r>
          </w:p>
        </w:tc>
        <w:tc>
          <w:tcPr>
            <w:tcW w:w="1036"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2A83CE87"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PMP</w:t>
            </w:r>
          </w:p>
        </w:tc>
        <w:tc>
          <w:tcPr>
            <w:tcW w:w="111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1D96DBF9"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14,85</w:t>
            </w:r>
          </w:p>
        </w:tc>
        <w:tc>
          <w:tcPr>
            <w:tcW w:w="92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F81AB82"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12,56</w:t>
            </w:r>
          </w:p>
        </w:tc>
        <w:tc>
          <w:tcPr>
            <w:tcW w:w="1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6C9D8213"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596,31</w:t>
            </w:r>
          </w:p>
        </w:tc>
        <w:tc>
          <w:tcPr>
            <w:tcW w:w="1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719409A9"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2.493,57</w:t>
            </w:r>
          </w:p>
        </w:tc>
        <w:tc>
          <w:tcPr>
            <w:tcW w:w="92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74394D9"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72</w:t>
            </w:r>
          </w:p>
        </w:tc>
      </w:tr>
      <w:tr w:rsidR="00AE2EAA" w14:paraId="3F8155BA" w14:textId="77777777" w:rsidTr="00AE2EAA">
        <w:trPr>
          <w:trHeight w:val="225"/>
          <w:jc w:val="center"/>
        </w:trPr>
        <w:tc>
          <w:tcPr>
            <w:tcW w:w="149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EF98358"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b/>
                <w:sz w:val="20"/>
                <w:szCs w:val="20"/>
              </w:rPr>
              <w:t>18-24 m</w:t>
            </w:r>
          </w:p>
        </w:tc>
        <w:tc>
          <w:tcPr>
            <w:tcW w:w="1511"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15307E58" w14:textId="77777777" w:rsidR="00AE2EAA" w:rsidRDefault="00AE2EAA" w:rsidP="00AE2EAA">
            <w:pPr>
              <w:spacing w:after="0" w:line="240" w:lineRule="auto"/>
              <w:ind w:left="100"/>
              <w:rPr>
                <w:rFonts w:eastAsia="Times New Roman" w:cs="Times New Roman"/>
                <w:sz w:val="20"/>
                <w:szCs w:val="20"/>
              </w:rPr>
            </w:pPr>
            <w:r>
              <w:rPr>
                <w:rFonts w:eastAsia="Times New Roman" w:cs="Times New Roman"/>
                <w:sz w:val="20"/>
                <w:szCs w:val="20"/>
              </w:rPr>
              <w:t>3</w:t>
            </w:r>
          </w:p>
        </w:tc>
        <w:tc>
          <w:tcPr>
            <w:tcW w:w="1036"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06BB25D"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PMP</w:t>
            </w:r>
          </w:p>
        </w:tc>
        <w:tc>
          <w:tcPr>
            <w:tcW w:w="111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EA65CB2"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22,13</w:t>
            </w:r>
          </w:p>
        </w:tc>
        <w:tc>
          <w:tcPr>
            <w:tcW w:w="92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F3EFA60"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31,00</w:t>
            </w:r>
          </w:p>
        </w:tc>
        <w:tc>
          <w:tcPr>
            <w:tcW w:w="1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7E17EE6B"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318,00</w:t>
            </w:r>
          </w:p>
        </w:tc>
        <w:tc>
          <w:tcPr>
            <w:tcW w:w="1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77226BE4"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846,25</w:t>
            </w:r>
          </w:p>
        </w:tc>
        <w:tc>
          <w:tcPr>
            <w:tcW w:w="92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7E91EEC1"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12</w:t>
            </w:r>
          </w:p>
        </w:tc>
      </w:tr>
      <w:tr w:rsidR="00AE2EAA" w14:paraId="12052429" w14:textId="77777777" w:rsidTr="00AE2EAA">
        <w:trPr>
          <w:trHeight w:val="225"/>
          <w:jc w:val="center"/>
        </w:trPr>
        <w:tc>
          <w:tcPr>
            <w:tcW w:w="149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FC2A4E6" w14:textId="77777777" w:rsidR="00AE2EAA" w:rsidRDefault="00AE2EAA" w:rsidP="00AE2EAA">
            <w:pPr>
              <w:spacing w:after="0" w:line="240" w:lineRule="auto"/>
              <w:ind w:firstLine="0"/>
              <w:rPr>
                <w:rFonts w:eastAsia="Times New Roman" w:cs="Times New Roman"/>
                <w:sz w:val="20"/>
                <w:szCs w:val="20"/>
              </w:rPr>
            </w:pPr>
            <w:r>
              <w:rPr>
                <w:rFonts w:eastAsia="Times New Roman" w:cs="Times New Roman"/>
                <w:sz w:val="20"/>
                <w:szCs w:val="20"/>
              </w:rPr>
              <w:t>&gt; 24 m</w:t>
            </w:r>
          </w:p>
        </w:tc>
        <w:tc>
          <w:tcPr>
            <w:tcW w:w="1511"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493CEDB6" w14:textId="77777777" w:rsidR="00AE2EAA" w:rsidRDefault="00AE2EAA" w:rsidP="00AE2EAA">
            <w:pPr>
              <w:spacing w:after="0" w:line="240" w:lineRule="auto"/>
              <w:ind w:left="100"/>
              <w:rPr>
                <w:rFonts w:eastAsia="Times New Roman" w:cs="Times New Roman"/>
                <w:sz w:val="20"/>
                <w:szCs w:val="20"/>
              </w:rPr>
            </w:pPr>
            <w:r>
              <w:rPr>
                <w:rFonts w:eastAsia="Times New Roman" w:cs="Times New Roman"/>
                <w:sz w:val="20"/>
                <w:szCs w:val="20"/>
              </w:rPr>
              <w:t>1</w:t>
            </w:r>
          </w:p>
        </w:tc>
        <w:tc>
          <w:tcPr>
            <w:tcW w:w="1036"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41783702"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PMP</w:t>
            </w:r>
          </w:p>
        </w:tc>
        <w:tc>
          <w:tcPr>
            <w:tcW w:w="111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BE3240A"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25,50</w:t>
            </w:r>
          </w:p>
        </w:tc>
        <w:tc>
          <w:tcPr>
            <w:tcW w:w="92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13EA6515"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39,00</w:t>
            </w:r>
          </w:p>
        </w:tc>
        <w:tc>
          <w:tcPr>
            <w:tcW w:w="1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22349B1E"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117,00</w:t>
            </w:r>
          </w:p>
        </w:tc>
        <w:tc>
          <w:tcPr>
            <w:tcW w:w="1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72F821F"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220,00</w:t>
            </w:r>
          </w:p>
        </w:tc>
        <w:tc>
          <w:tcPr>
            <w:tcW w:w="92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49FD041" w14:textId="77777777" w:rsidR="00AE2EAA" w:rsidRDefault="00AE2EAA" w:rsidP="00AE2EAA">
            <w:pPr>
              <w:spacing w:after="0" w:line="240" w:lineRule="auto"/>
              <w:ind w:firstLine="0"/>
              <w:rPr>
                <w:rFonts w:eastAsia="Times New Roman" w:cs="Times New Roman"/>
                <w:sz w:val="20"/>
                <w:szCs w:val="20"/>
              </w:rPr>
            </w:pPr>
            <w:r>
              <w:rPr>
                <w:rFonts w:eastAsia="Times New Roman" w:cs="Times New Roman"/>
                <w:sz w:val="20"/>
                <w:szCs w:val="20"/>
              </w:rPr>
              <w:t>4</w:t>
            </w:r>
          </w:p>
        </w:tc>
      </w:tr>
      <w:tr w:rsidR="00AE2EAA" w14:paraId="7D445365" w14:textId="77777777" w:rsidTr="00AE2EAA">
        <w:trPr>
          <w:trHeight w:val="225"/>
          <w:jc w:val="center"/>
        </w:trPr>
        <w:tc>
          <w:tcPr>
            <w:tcW w:w="149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6A48E480"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b/>
                <w:sz w:val="20"/>
                <w:szCs w:val="20"/>
              </w:rPr>
              <w:t>TOTAL</w:t>
            </w:r>
          </w:p>
        </w:tc>
        <w:tc>
          <w:tcPr>
            <w:tcW w:w="1511"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972F7C4" w14:textId="77777777" w:rsidR="00AE2EAA" w:rsidRDefault="00AE2EAA" w:rsidP="00AE2EAA">
            <w:pPr>
              <w:spacing w:after="0" w:line="240" w:lineRule="auto"/>
              <w:ind w:left="100"/>
              <w:rPr>
                <w:rFonts w:eastAsia="Times New Roman" w:cs="Times New Roman"/>
                <w:sz w:val="20"/>
                <w:szCs w:val="20"/>
              </w:rPr>
            </w:pPr>
            <w:r>
              <w:rPr>
                <w:rFonts w:eastAsia="Times New Roman" w:cs="Times New Roman"/>
                <w:sz w:val="20"/>
                <w:szCs w:val="20"/>
              </w:rPr>
              <w:t>130</w:t>
            </w:r>
          </w:p>
        </w:tc>
        <w:tc>
          <w:tcPr>
            <w:tcW w:w="1036"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1A97D7F2" w14:textId="77777777" w:rsidR="00AE2EAA" w:rsidRDefault="00AE2EAA" w:rsidP="00AE2EAA">
            <w:pPr>
              <w:spacing w:after="0" w:line="240" w:lineRule="auto"/>
              <w:ind w:left="100"/>
              <w:jc w:val="center"/>
              <w:rPr>
                <w:rFonts w:eastAsia="Times New Roman" w:cs="Times New Roman"/>
                <w:sz w:val="20"/>
                <w:szCs w:val="20"/>
              </w:rPr>
            </w:pPr>
            <w:r>
              <w:rPr>
                <w:rFonts w:eastAsia="Times New Roman" w:cs="Times New Roman"/>
                <w:sz w:val="20"/>
                <w:szCs w:val="20"/>
              </w:rPr>
              <w:t> </w:t>
            </w:r>
          </w:p>
        </w:tc>
        <w:tc>
          <w:tcPr>
            <w:tcW w:w="111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4E442C2A" w14:textId="77777777" w:rsidR="00AE2EAA" w:rsidRDefault="00AE2EAA" w:rsidP="00AE2EAA">
            <w:pPr>
              <w:spacing w:after="0" w:line="240" w:lineRule="auto"/>
              <w:ind w:left="100"/>
              <w:jc w:val="center"/>
              <w:rPr>
                <w:rFonts w:eastAsia="Times New Roman" w:cs="Times New Roman"/>
                <w:sz w:val="20"/>
                <w:szCs w:val="20"/>
              </w:rPr>
            </w:pPr>
            <w:r>
              <w:rPr>
                <w:rFonts w:eastAsia="Times New Roman" w:cs="Times New Roman"/>
                <w:sz w:val="20"/>
                <w:szCs w:val="20"/>
              </w:rPr>
              <w:t> </w:t>
            </w:r>
          </w:p>
        </w:tc>
        <w:tc>
          <w:tcPr>
            <w:tcW w:w="92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285F2B83" w14:textId="77777777" w:rsidR="00AE2EAA" w:rsidRDefault="00AE2EAA" w:rsidP="00AE2EAA">
            <w:pPr>
              <w:spacing w:after="0" w:line="240" w:lineRule="auto"/>
              <w:ind w:left="100"/>
              <w:jc w:val="center"/>
              <w:rPr>
                <w:rFonts w:eastAsia="Times New Roman" w:cs="Times New Roman"/>
                <w:sz w:val="20"/>
                <w:szCs w:val="20"/>
              </w:rPr>
            </w:pPr>
            <w:r>
              <w:rPr>
                <w:rFonts w:eastAsia="Times New Roman" w:cs="Times New Roman"/>
                <w:sz w:val="20"/>
                <w:szCs w:val="20"/>
              </w:rPr>
              <w:t> </w:t>
            </w:r>
          </w:p>
        </w:tc>
        <w:tc>
          <w:tcPr>
            <w:tcW w:w="1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66151BC7"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1.351,68</w:t>
            </w:r>
          </w:p>
        </w:tc>
        <w:tc>
          <w:tcPr>
            <w:tcW w:w="1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2D77D4E"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5.332,04</w:t>
            </w:r>
          </w:p>
        </w:tc>
        <w:tc>
          <w:tcPr>
            <w:tcW w:w="92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2FEEF546" w14:textId="77777777" w:rsidR="00AE2EAA" w:rsidRDefault="00AE2EAA" w:rsidP="00AE2EAA">
            <w:pPr>
              <w:spacing w:after="0" w:line="240" w:lineRule="auto"/>
              <w:ind w:left="100" w:firstLine="0"/>
              <w:rPr>
                <w:rFonts w:eastAsia="Times New Roman" w:cs="Times New Roman"/>
                <w:sz w:val="20"/>
                <w:szCs w:val="20"/>
              </w:rPr>
            </w:pPr>
            <w:r>
              <w:rPr>
                <w:rFonts w:eastAsia="Times New Roman" w:cs="Times New Roman"/>
                <w:sz w:val="20"/>
                <w:szCs w:val="20"/>
              </w:rPr>
              <w:t>365</w:t>
            </w:r>
          </w:p>
        </w:tc>
      </w:tr>
    </w:tbl>
    <w:p w14:paraId="41404925" w14:textId="77777777" w:rsidR="00AE2EAA" w:rsidRDefault="00AE2EAA" w:rsidP="00AE2EAA">
      <w:pPr>
        <w:spacing w:before="0"/>
        <w:ind w:firstLine="567"/>
        <w:rPr>
          <w:rFonts w:eastAsia="Times New Roman" w:cs="Times New Roman"/>
        </w:rPr>
      </w:pPr>
    </w:p>
    <w:p w14:paraId="5A42E93B" w14:textId="77777777" w:rsidR="00AE2EAA" w:rsidRDefault="00AE2EAA" w:rsidP="00AE2EAA">
      <w:pPr>
        <w:spacing w:before="0"/>
        <w:ind w:firstLine="567"/>
        <w:rPr>
          <w:rFonts w:eastAsia="Times New Roman" w:cs="Times New Roman"/>
        </w:rPr>
      </w:pPr>
      <w:r>
        <w:rPr>
          <w:rFonts w:eastAsia="Times New Roman" w:cs="Times New Roman"/>
        </w:rPr>
        <w:t>Activitatea de pescuit industrial se realizează folosindu-se două tipuri de unelte: active și fixe. Pescuitul cu unelte active se efectuează la adâncimi mai mari de 20 m, cu nave trauler și cu următoarele unelte: traul pelagic, beam traul şi năvod. Pescuitul cu unelte fixe este practicat în lungul litoralului românesc, la mică adâncime de 2-11 m, cu taliene, dar și la adâncimi de 20-60 m. Sunt folosite instalaţii, plase și capcane destinate capturării speciilor de pești care migrează în ape puțin adânci, dar și alte unelte, precum talianul, setca (pelagică sau demersală), volte, țaparine și paragate.</w:t>
      </w:r>
    </w:p>
    <w:p w14:paraId="53FA5FA3" w14:textId="73D25943" w:rsidR="00AE2EAA" w:rsidRDefault="00AE2EAA" w:rsidP="00AE2EAA">
      <w:pPr>
        <w:spacing w:before="0"/>
        <w:ind w:firstLine="567"/>
        <w:rPr>
          <w:rFonts w:eastAsia="Times New Roman" w:cs="Times New Roman"/>
          <w:color w:val="000000"/>
        </w:rPr>
      </w:pPr>
      <w:bookmarkStart w:id="90" w:name="_heading=h.3o7alnk" w:colFirst="0" w:colLast="0"/>
      <w:bookmarkEnd w:id="90"/>
      <w:r>
        <w:rPr>
          <w:rFonts w:eastAsia="Times New Roman" w:cs="Times New Roman"/>
          <w:color w:val="000000"/>
        </w:rPr>
        <w:t xml:space="preserve">În conformitate cu sistemele de clasificare europene (Decizia (UE) 2021/1167 </w:t>
      </w:r>
      <w:r>
        <w:rPr>
          <w:rFonts w:eastAsia="Times New Roman" w:cs="Times New Roman"/>
          <w:i/>
          <w:color w:val="000000"/>
        </w:rPr>
        <w:t>Activitatea de pescuit</w:t>
      </w:r>
      <w:r>
        <w:rPr>
          <w:rFonts w:eastAsia="Times New Roman" w:cs="Times New Roman"/>
          <w:color w:val="000000"/>
        </w:rPr>
        <w:t>/</w:t>
      </w:r>
      <w:r>
        <w:rPr>
          <w:rFonts w:eastAsia="Times New Roman" w:cs="Times New Roman"/>
          <w:i/>
          <w:color w:val="000000"/>
        </w:rPr>
        <w:t>tehnica de pescuit</w:t>
      </w:r>
      <w:r>
        <w:rPr>
          <w:rFonts w:eastAsia="Times New Roman" w:cs="Times New Roman"/>
          <w:color w:val="000000"/>
        </w:rPr>
        <w:t>), România a adoptat categoriile de tehnici de pescuit redate în Tabelul 2.4.8.2.2.</w:t>
      </w:r>
    </w:p>
    <w:p w14:paraId="4733DCF0" w14:textId="77777777" w:rsidR="00AE2EAA" w:rsidRDefault="00AE2EAA" w:rsidP="00AE2EAA">
      <w:pPr>
        <w:ind w:firstLine="567"/>
        <w:rPr>
          <w:rFonts w:eastAsia="Times New Roman" w:cs="Times New Roman"/>
          <w:color w:val="000000"/>
        </w:rPr>
      </w:pPr>
    </w:p>
    <w:p w14:paraId="2BAFAC2B" w14:textId="67B75773" w:rsidR="00AE2EAA" w:rsidRDefault="00AE2EAA" w:rsidP="00AE2EAA">
      <w:pPr>
        <w:spacing w:after="0"/>
        <w:ind w:firstLine="0"/>
        <w:jc w:val="center"/>
        <w:rPr>
          <w:rFonts w:eastAsia="Times New Roman" w:cs="Times New Roman"/>
        </w:rPr>
      </w:pPr>
      <w:r>
        <w:rPr>
          <w:rFonts w:eastAsia="Times New Roman" w:cs="Times New Roman"/>
          <w:b/>
          <w:color w:val="000000"/>
        </w:rPr>
        <w:t>Tabel 2.4.8.2.2 Tehnici de pescuit la litoralul românesc (ANPA-PNCDP, 2022)</w:t>
      </w:r>
    </w:p>
    <w:tbl>
      <w:tblPr>
        <w:tblW w:w="9124" w:type="dxa"/>
        <w:jc w:val="center"/>
        <w:tblLayout w:type="fixed"/>
        <w:tblLook w:val="0400" w:firstRow="0" w:lastRow="0" w:firstColumn="0" w:lastColumn="0" w:noHBand="0" w:noVBand="1"/>
      </w:tblPr>
      <w:tblGrid>
        <w:gridCol w:w="3906"/>
        <w:gridCol w:w="5218"/>
      </w:tblGrid>
      <w:tr w:rsidR="00AE2EAA" w14:paraId="36FBE71E" w14:textId="77777777" w:rsidTr="00AE2EAA">
        <w:trPr>
          <w:trHeight w:val="20"/>
          <w:jc w:val="center"/>
        </w:trPr>
        <w:tc>
          <w:tcPr>
            <w:tcW w:w="39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D6CC451" w14:textId="77777777" w:rsidR="00AE2EAA" w:rsidRDefault="00AE2EAA" w:rsidP="00AE2EAA">
            <w:pPr>
              <w:spacing w:after="0" w:line="240" w:lineRule="auto"/>
              <w:ind w:firstLine="0"/>
              <w:rPr>
                <w:rFonts w:eastAsia="Times New Roman" w:cs="Times New Roman"/>
              </w:rPr>
            </w:pPr>
            <w:r>
              <w:rPr>
                <w:rFonts w:eastAsia="Times New Roman" w:cs="Times New Roman"/>
                <w:color w:val="000000"/>
              </w:rPr>
              <w:t>Pescuitul cu traulul pelagic</w:t>
            </w:r>
          </w:p>
        </w:tc>
        <w:tc>
          <w:tcPr>
            <w:tcW w:w="521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0B410F9" w14:textId="77777777" w:rsidR="00AE2EAA" w:rsidRDefault="00AE2EAA" w:rsidP="00AE2EAA">
            <w:pPr>
              <w:spacing w:after="0" w:line="240" w:lineRule="auto"/>
              <w:rPr>
                <w:rFonts w:eastAsia="Times New Roman" w:cs="Times New Roman"/>
              </w:rPr>
            </w:pPr>
            <w:r>
              <w:rPr>
                <w:rFonts w:eastAsia="Times New Roman" w:cs="Times New Roman"/>
                <w:color w:val="000000"/>
              </w:rPr>
              <w:t>OTM_MPD_&gt;=13_19_0 _0</w:t>
            </w:r>
          </w:p>
        </w:tc>
      </w:tr>
      <w:tr w:rsidR="00AE2EAA" w14:paraId="54F84B40" w14:textId="77777777" w:rsidTr="00AE2EAA">
        <w:trPr>
          <w:trHeight w:val="20"/>
          <w:jc w:val="center"/>
        </w:trPr>
        <w:tc>
          <w:tcPr>
            <w:tcW w:w="39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8DE2863" w14:textId="77777777" w:rsidR="00AE2EAA" w:rsidRDefault="00AE2EAA" w:rsidP="00AE2EAA">
            <w:pPr>
              <w:spacing w:after="0" w:line="240" w:lineRule="auto"/>
              <w:ind w:firstLine="0"/>
              <w:rPr>
                <w:rFonts w:eastAsia="Times New Roman" w:cs="Times New Roman"/>
              </w:rPr>
            </w:pPr>
            <w:r>
              <w:rPr>
                <w:rFonts w:eastAsia="Times New Roman" w:cs="Times New Roman"/>
                <w:color w:val="000000"/>
              </w:rPr>
              <w:t>Pescuitul cu beam traul</w:t>
            </w:r>
          </w:p>
        </w:tc>
        <w:tc>
          <w:tcPr>
            <w:tcW w:w="521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DC04A88" w14:textId="77777777" w:rsidR="00AE2EAA" w:rsidRDefault="00AE2EAA" w:rsidP="00AE2EAA">
            <w:pPr>
              <w:spacing w:after="0" w:line="240" w:lineRule="auto"/>
              <w:rPr>
                <w:rFonts w:eastAsia="Times New Roman" w:cs="Times New Roman"/>
              </w:rPr>
            </w:pPr>
            <w:r>
              <w:rPr>
                <w:rFonts w:eastAsia="Times New Roman" w:cs="Times New Roman"/>
                <w:color w:val="000000"/>
              </w:rPr>
              <w:t>TBB_MOL_0_0_0</w:t>
            </w:r>
          </w:p>
        </w:tc>
      </w:tr>
      <w:tr w:rsidR="00AE2EAA" w14:paraId="3C1ACC38" w14:textId="77777777" w:rsidTr="00AE2EAA">
        <w:trPr>
          <w:trHeight w:val="20"/>
          <w:jc w:val="center"/>
        </w:trPr>
        <w:tc>
          <w:tcPr>
            <w:tcW w:w="39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46BBC3A" w14:textId="77777777" w:rsidR="00AE2EAA" w:rsidRDefault="00AE2EAA" w:rsidP="00AE2EAA">
            <w:pPr>
              <w:spacing w:after="0" w:line="240" w:lineRule="auto"/>
              <w:ind w:firstLine="0"/>
              <w:rPr>
                <w:rFonts w:eastAsia="Times New Roman" w:cs="Times New Roman"/>
              </w:rPr>
            </w:pPr>
            <w:r>
              <w:rPr>
                <w:rFonts w:eastAsia="Times New Roman" w:cs="Times New Roman"/>
                <w:color w:val="000000"/>
              </w:rPr>
              <w:t>Pescuitul cu talianul</w:t>
            </w:r>
          </w:p>
        </w:tc>
        <w:tc>
          <w:tcPr>
            <w:tcW w:w="521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420DF14" w14:textId="77777777" w:rsidR="00AE2EAA" w:rsidRDefault="00AE2EAA" w:rsidP="00AE2EAA">
            <w:pPr>
              <w:spacing w:after="0" w:line="240" w:lineRule="auto"/>
              <w:rPr>
                <w:rFonts w:eastAsia="Times New Roman" w:cs="Times New Roman"/>
              </w:rPr>
            </w:pPr>
            <w:r>
              <w:rPr>
                <w:rFonts w:eastAsia="Times New Roman" w:cs="Times New Roman"/>
                <w:color w:val="000000"/>
              </w:rPr>
              <w:t>FPN_MPD_&gt;=0_0_0</w:t>
            </w:r>
          </w:p>
        </w:tc>
      </w:tr>
      <w:tr w:rsidR="00AE2EAA" w14:paraId="71B73537" w14:textId="77777777" w:rsidTr="00AE2EAA">
        <w:trPr>
          <w:trHeight w:val="20"/>
          <w:jc w:val="center"/>
        </w:trPr>
        <w:tc>
          <w:tcPr>
            <w:tcW w:w="39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B1964E5" w14:textId="77777777" w:rsidR="00AE2EAA" w:rsidRDefault="00AE2EAA" w:rsidP="00AE2EAA">
            <w:pPr>
              <w:spacing w:after="0" w:line="240" w:lineRule="auto"/>
              <w:ind w:firstLine="0"/>
              <w:rPr>
                <w:rFonts w:eastAsia="Times New Roman" w:cs="Times New Roman"/>
              </w:rPr>
            </w:pPr>
            <w:r>
              <w:rPr>
                <w:rFonts w:eastAsia="Times New Roman" w:cs="Times New Roman"/>
                <w:color w:val="000000"/>
              </w:rPr>
              <w:lastRenderedPageBreak/>
              <w:t>Pescuitul pelagic/demersal cu setci</w:t>
            </w:r>
          </w:p>
        </w:tc>
        <w:tc>
          <w:tcPr>
            <w:tcW w:w="521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8409C41" w14:textId="77777777" w:rsidR="00AE2EAA" w:rsidRDefault="00AE2EAA" w:rsidP="00AE2EAA">
            <w:pPr>
              <w:spacing w:after="0" w:line="240" w:lineRule="auto"/>
              <w:jc w:val="center"/>
              <w:rPr>
                <w:rFonts w:eastAsia="Times New Roman" w:cs="Times New Roman"/>
              </w:rPr>
            </w:pPr>
            <w:r>
              <w:rPr>
                <w:rFonts w:eastAsia="Times New Roman" w:cs="Times New Roman"/>
                <w:color w:val="000000"/>
              </w:rPr>
              <w:t>GNS_DEF_360-400_0_0; GNS_DEF_0_0_0</w:t>
            </w:r>
          </w:p>
        </w:tc>
      </w:tr>
      <w:tr w:rsidR="00AE2EAA" w14:paraId="516CA657" w14:textId="77777777" w:rsidTr="00AE2EAA">
        <w:trPr>
          <w:trHeight w:val="20"/>
          <w:jc w:val="center"/>
        </w:trPr>
        <w:tc>
          <w:tcPr>
            <w:tcW w:w="39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C816363" w14:textId="77777777" w:rsidR="00AE2EAA" w:rsidRDefault="00AE2EAA" w:rsidP="00AE2EAA">
            <w:pPr>
              <w:spacing w:after="0" w:line="240" w:lineRule="auto"/>
              <w:ind w:firstLine="0"/>
              <w:rPr>
                <w:rFonts w:eastAsia="Times New Roman" w:cs="Times New Roman"/>
              </w:rPr>
            </w:pPr>
            <w:r>
              <w:rPr>
                <w:rFonts w:eastAsia="Times New Roman" w:cs="Times New Roman"/>
                <w:color w:val="000000"/>
              </w:rPr>
              <w:t>Pescuit cu volte și undițe</w:t>
            </w:r>
          </w:p>
        </w:tc>
        <w:tc>
          <w:tcPr>
            <w:tcW w:w="521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ACE8FBA" w14:textId="77777777" w:rsidR="00AE2EAA" w:rsidRDefault="00AE2EAA" w:rsidP="00AE2EAA">
            <w:pPr>
              <w:spacing w:after="0" w:line="240" w:lineRule="auto"/>
              <w:rPr>
                <w:rFonts w:eastAsia="Times New Roman" w:cs="Times New Roman"/>
              </w:rPr>
            </w:pPr>
            <w:r>
              <w:rPr>
                <w:rFonts w:eastAsia="Times New Roman" w:cs="Times New Roman"/>
                <w:color w:val="000000"/>
              </w:rPr>
              <w:t>LHP-LHM_ FIF_0_0_0</w:t>
            </w:r>
          </w:p>
        </w:tc>
      </w:tr>
      <w:tr w:rsidR="00AE2EAA" w14:paraId="4F64413A" w14:textId="77777777" w:rsidTr="00AE2EAA">
        <w:trPr>
          <w:trHeight w:val="20"/>
          <w:jc w:val="center"/>
        </w:trPr>
        <w:tc>
          <w:tcPr>
            <w:tcW w:w="39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036344B" w14:textId="77777777" w:rsidR="00AE2EAA" w:rsidRDefault="00AE2EAA" w:rsidP="00AE2EAA">
            <w:pPr>
              <w:spacing w:after="0" w:line="240" w:lineRule="auto"/>
              <w:ind w:firstLine="0"/>
              <w:rPr>
                <w:rFonts w:eastAsia="Times New Roman" w:cs="Times New Roman"/>
              </w:rPr>
            </w:pPr>
            <w:r>
              <w:rPr>
                <w:rFonts w:eastAsia="Times New Roman" w:cs="Times New Roman"/>
                <w:color w:val="000000"/>
              </w:rPr>
              <w:t>Pescuitul cu paragate</w:t>
            </w:r>
          </w:p>
        </w:tc>
        <w:tc>
          <w:tcPr>
            <w:tcW w:w="521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A80EF2C" w14:textId="77777777" w:rsidR="00AE2EAA" w:rsidRDefault="00AE2EAA" w:rsidP="00AE2EAA">
            <w:pPr>
              <w:spacing w:after="0" w:line="240" w:lineRule="auto"/>
              <w:rPr>
                <w:rFonts w:eastAsia="Times New Roman" w:cs="Times New Roman"/>
              </w:rPr>
            </w:pPr>
            <w:r>
              <w:rPr>
                <w:rFonts w:eastAsia="Times New Roman" w:cs="Times New Roman"/>
                <w:color w:val="000000"/>
              </w:rPr>
              <w:t>LLS_DEF_0_0_0</w:t>
            </w:r>
          </w:p>
        </w:tc>
      </w:tr>
      <w:tr w:rsidR="00AE2EAA" w14:paraId="388161FD" w14:textId="77777777" w:rsidTr="00AE2EAA">
        <w:trPr>
          <w:trHeight w:val="20"/>
          <w:jc w:val="center"/>
        </w:trPr>
        <w:tc>
          <w:tcPr>
            <w:tcW w:w="39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4272A88" w14:textId="77777777" w:rsidR="00AE2EAA" w:rsidRDefault="00AE2EAA" w:rsidP="00AE2EAA">
            <w:pPr>
              <w:spacing w:after="0" w:line="240" w:lineRule="auto"/>
              <w:ind w:firstLine="0"/>
              <w:rPr>
                <w:rFonts w:eastAsia="Times New Roman" w:cs="Times New Roman"/>
              </w:rPr>
            </w:pPr>
            <w:r>
              <w:rPr>
                <w:rFonts w:eastAsia="Times New Roman" w:cs="Times New Roman"/>
                <w:color w:val="000000"/>
              </w:rPr>
              <w:t>Recoltarea manuală a rapanei</w:t>
            </w:r>
          </w:p>
        </w:tc>
        <w:tc>
          <w:tcPr>
            <w:tcW w:w="521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D9782C9" w14:textId="77777777" w:rsidR="00AE2EAA" w:rsidRDefault="00AE2EAA" w:rsidP="00AE2EAA">
            <w:pPr>
              <w:spacing w:after="0" w:line="240" w:lineRule="auto"/>
              <w:rPr>
                <w:rFonts w:eastAsia="Times New Roman" w:cs="Times New Roman"/>
              </w:rPr>
            </w:pPr>
            <w:r>
              <w:rPr>
                <w:rFonts w:eastAsia="Times New Roman" w:cs="Times New Roman"/>
                <w:color w:val="000000"/>
              </w:rPr>
              <w:t>MISC</w:t>
            </w:r>
          </w:p>
        </w:tc>
      </w:tr>
    </w:tbl>
    <w:p w14:paraId="5699023F" w14:textId="77777777" w:rsidR="00AE2EAA" w:rsidRDefault="00AE2EAA" w:rsidP="00AE2EAA">
      <w:pPr>
        <w:jc w:val="center"/>
        <w:rPr>
          <w:rFonts w:eastAsia="Times New Roman" w:cs="Times New Roman"/>
          <w:b/>
        </w:rPr>
      </w:pPr>
    </w:p>
    <w:p w14:paraId="46F814D6" w14:textId="77777777" w:rsidR="00AE2EAA" w:rsidRDefault="00AE2EAA" w:rsidP="00AE2EAA">
      <w:pPr>
        <w:jc w:val="center"/>
        <w:rPr>
          <w:rFonts w:eastAsia="Times New Roman" w:cs="Times New Roman"/>
          <w:b/>
        </w:rPr>
      </w:pPr>
      <w:r>
        <w:rPr>
          <w:noProof/>
        </w:rPr>
        <w:drawing>
          <wp:inline distT="0" distB="0" distL="0" distR="0" wp14:anchorId="3D9C7A43" wp14:editId="370B288B">
            <wp:extent cx="3987503" cy="5637991"/>
            <wp:effectExtent l="0" t="0" r="0" b="0"/>
            <wp:docPr id="2141401953"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49"/>
                    <a:srcRect/>
                    <a:stretch>
                      <a:fillRect/>
                    </a:stretch>
                  </pic:blipFill>
                  <pic:spPr>
                    <a:xfrm>
                      <a:off x="0" y="0"/>
                      <a:ext cx="3987503" cy="5637991"/>
                    </a:xfrm>
                    <a:prstGeom prst="rect">
                      <a:avLst/>
                    </a:prstGeom>
                    <a:ln/>
                  </pic:spPr>
                </pic:pic>
              </a:graphicData>
            </a:graphic>
          </wp:inline>
        </w:drawing>
      </w:r>
    </w:p>
    <w:p w14:paraId="36442970" w14:textId="2C318B29" w:rsidR="00AE2EAA" w:rsidRDefault="00AE2EAA" w:rsidP="00AE2EAA">
      <w:pPr>
        <w:ind w:firstLine="567"/>
        <w:jc w:val="center"/>
        <w:rPr>
          <w:rFonts w:eastAsia="Times New Roman" w:cs="Times New Roman"/>
          <w:b/>
        </w:rPr>
      </w:pPr>
      <w:r>
        <w:rPr>
          <w:rFonts w:eastAsia="Times New Roman" w:cs="Times New Roman"/>
          <w:b/>
        </w:rPr>
        <w:t>Fig. 2.4.8.2.2 Harta porturilor de la litoralul românesc al Mării Negre</w:t>
      </w:r>
    </w:p>
    <w:p w14:paraId="6FF68367" w14:textId="77777777" w:rsidR="00AE2EAA" w:rsidRDefault="00AE2EAA" w:rsidP="00AE2EAA"/>
    <w:p w14:paraId="5F1BFED3" w14:textId="77777777" w:rsidR="00AE2EAA" w:rsidRDefault="00AE2EAA" w:rsidP="00AE2EAA">
      <w:pPr>
        <w:spacing w:before="0"/>
        <w:ind w:firstLine="567"/>
        <w:rPr>
          <w:rFonts w:eastAsia="Times New Roman" w:cs="Times New Roman"/>
          <w:color w:val="000000"/>
          <w:highlight w:val="white"/>
        </w:rPr>
      </w:pPr>
      <w:r>
        <w:rPr>
          <w:rFonts w:eastAsia="Times New Roman" w:cs="Times New Roman"/>
          <w:color w:val="000000"/>
          <w:highlight w:val="white"/>
        </w:rPr>
        <w:t xml:space="preserve">În 2022, au fost autorizate următoarele tipuri și număr de unelte: OTM (traule pelagice) - 53; TBB (beam traul) - 73; GNS (setci) - 5595, GNS (setci de calcan) - 6244; FPN (taliene) - 48; LLS (volte, țaparine, paragate) - 777; FPO - 4453. </w:t>
      </w:r>
    </w:p>
    <w:p w14:paraId="500BE0F5" w14:textId="77777777" w:rsidR="00AE2EAA" w:rsidRDefault="00AE2EAA" w:rsidP="00AE2EAA">
      <w:pPr>
        <w:spacing w:before="0"/>
        <w:ind w:firstLine="567"/>
        <w:rPr>
          <w:rFonts w:eastAsia="Times New Roman" w:cs="Times New Roman"/>
          <w:color w:val="000000"/>
          <w:highlight w:val="white"/>
        </w:rPr>
      </w:pPr>
      <w:r>
        <w:rPr>
          <w:rFonts w:eastAsia="Times New Roman" w:cs="Times New Roman"/>
          <w:color w:val="000000"/>
          <w:highlight w:val="white"/>
        </w:rPr>
        <w:lastRenderedPageBreak/>
        <w:t>Nivelul capturii și eficiența pescuitului sunt dependente de evoluția condițiilor hidroclimatice, factorii antropici, starea stocurilor speciilor principale, capacitatea și efortul de pescuit (număr de ambarcațiuni, tonaj, puterea motorului, număr de unelte, număr de zile efective de pescuit, etc). Conform ANPA, în  2022, structura capturilor a fost formată din specii de talie mică (şprot, hamsie, bacaliar, stavrid, guvizi) şi de talie mai mare (calcan, rechin, scrumbie de Dunăre). Principalele specii capturate au fost: rapana - 2.144.300 kg; midia - 368.250 kg; hamsia - 30.250 kg, șprotul - 61.648 kg; stavridul - 16.293 kg; calcanul - 60.866 kg, strunghilul - 4.912 kg, hanosul - 1.731 kg, barbunul - 23.331 kg, scrumbia de Dunăre - 2.281 kg), lufarul - 22.504 kg, pisica de mare - 5.322 kg, zărganul - 303 kg, chefalul - 2. 703 kg, vulpea de mare - 1.209 kg, bacaliarul - 1.063 kg, rechinul - 532 kg și alte specii - 5.733 kg.</w:t>
      </w:r>
    </w:p>
    <w:p w14:paraId="72C1FDF4" w14:textId="77777777" w:rsidR="00AE2EAA" w:rsidRDefault="00AE2EAA" w:rsidP="00AE2EAA">
      <w:pPr>
        <w:spacing w:before="0"/>
        <w:rPr>
          <w:rFonts w:eastAsia="Times New Roman" w:cs="Times New Roman"/>
          <w:i/>
          <w:color w:val="000000"/>
          <w:highlight w:val="white"/>
        </w:rPr>
      </w:pPr>
      <w:r>
        <w:rPr>
          <w:rFonts w:eastAsia="Times New Roman" w:cs="Times New Roman"/>
          <w:i/>
          <w:color w:val="000000"/>
          <w:highlight w:val="white"/>
        </w:rPr>
        <w:t>Pescuitul în Delta Dunării</w:t>
      </w:r>
    </w:p>
    <w:p w14:paraId="17386983" w14:textId="77777777" w:rsidR="00AE2EAA" w:rsidRDefault="00AE2EAA" w:rsidP="00AE2EAA">
      <w:pPr>
        <w:spacing w:before="0"/>
        <w:ind w:firstLine="567"/>
        <w:rPr>
          <w:rFonts w:eastAsia="Times New Roman" w:cs="Times New Roman"/>
          <w:color w:val="000000"/>
          <w:highlight w:val="white"/>
        </w:rPr>
      </w:pPr>
      <w:r>
        <w:rPr>
          <w:rFonts w:eastAsia="Times New Roman" w:cs="Times New Roman"/>
          <w:highlight w:val="white"/>
        </w:rPr>
        <w:t>Principalele</w:t>
      </w:r>
      <w:r>
        <w:rPr>
          <w:rFonts w:eastAsia="Times New Roman" w:cs="Times New Roman"/>
          <w:color w:val="000000"/>
          <w:highlight w:val="white"/>
        </w:rPr>
        <w:t xml:space="preserve"> categorii de pescuit din </w:t>
      </w:r>
      <w:r>
        <w:rPr>
          <w:rFonts w:eastAsia="Times New Roman" w:cs="Times New Roman"/>
          <w:highlight w:val="white"/>
        </w:rPr>
        <w:t>Delta</w:t>
      </w:r>
      <w:r>
        <w:rPr>
          <w:rFonts w:eastAsia="Times New Roman" w:cs="Times New Roman"/>
          <w:color w:val="000000"/>
          <w:highlight w:val="white"/>
        </w:rPr>
        <w:t xml:space="preserve"> Dunării sunt: i) pescuitul peștilor de apă dulce (în Deltă; complexul Razim - Sinoie; fluviul Dunărea); ii) pescuitul peștilor migratori (scrumbia pontică și sturionii) și iii) pescuitul peștilor marini.</w:t>
      </w:r>
    </w:p>
    <w:p w14:paraId="6A348168" w14:textId="77777777" w:rsidR="00AE2EAA" w:rsidRDefault="00AE2EAA" w:rsidP="00AE2EAA">
      <w:pPr>
        <w:spacing w:before="0"/>
        <w:ind w:firstLine="567"/>
        <w:rPr>
          <w:rFonts w:eastAsia="Times New Roman" w:cs="Times New Roman"/>
          <w:color w:val="000000"/>
          <w:highlight w:val="white"/>
        </w:rPr>
      </w:pPr>
      <w:r>
        <w:rPr>
          <w:rFonts w:eastAsia="Times New Roman" w:cs="Times New Roman"/>
          <w:color w:val="000000"/>
          <w:highlight w:val="white"/>
        </w:rPr>
        <w:t>Dinamica capturii totale din ultimii 62 de ani (1960-2022) a cunoscut patru perioade caracteristice: 1960-1970, cu capturi variabile datorate regimului hidrologic al Dunării (10.000-20.000 t/an); 1970-1984, cu rate anuale apropiate (±15.000 t/an), dar cu schimbări importante de mediu și în structura comunității piscicole; 1984-2014, în care se constată o scădere a capturilor de la 15.000 la 1900 t/an (2011) și 2014-2022, cu o creștere de până la 3600 t/an (în 2017), cu o scădere bruscă până la 1610 t/an, în 2022.</w:t>
      </w:r>
    </w:p>
    <w:p w14:paraId="7B55632C" w14:textId="77777777" w:rsidR="00AE2EAA" w:rsidRDefault="00AE2EAA" w:rsidP="00AE2EAA">
      <w:pPr>
        <w:spacing w:before="0"/>
        <w:ind w:firstLine="567"/>
        <w:rPr>
          <w:rFonts w:eastAsia="Times New Roman" w:cs="Times New Roman"/>
          <w:color w:val="000000"/>
          <w:highlight w:val="white"/>
        </w:rPr>
      </w:pPr>
      <w:r>
        <w:rPr>
          <w:rFonts w:eastAsia="Times New Roman" w:cs="Times New Roman"/>
          <w:color w:val="000000"/>
          <w:highlight w:val="white"/>
        </w:rPr>
        <w:t>În lacurile din Delta Dunării, din 28 unități piscicole situate în UAT-urile C.A Rosetti, Sulina, Murighiol și Jurilovca, nouă (situate în comunele C.A Rosetti, Murighiol și Jurilovca) au raportat, în 2022, o producți</w:t>
      </w:r>
      <w:r>
        <w:rPr>
          <w:rFonts w:eastAsia="Times New Roman" w:cs="Times New Roman"/>
          <w:highlight w:val="white"/>
        </w:rPr>
        <w:t>e</w:t>
      </w:r>
      <w:r>
        <w:rPr>
          <w:rFonts w:eastAsia="Times New Roman" w:cs="Times New Roman"/>
          <w:color w:val="000000"/>
          <w:highlight w:val="white"/>
        </w:rPr>
        <w:t xml:space="preserve"> piscicol</w:t>
      </w:r>
      <w:r>
        <w:rPr>
          <w:rFonts w:eastAsia="Times New Roman" w:cs="Times New Roman"/>
          <w:highlight w:val="white"/>
        </w:rPr>
        <w:t>ă</w:t>
      </w:r>
      <w:r>
        <w:rPr>
          <w:rFonts w:eastAsia="Times New Roman" w:cs="Times New Roman"/>
          <w:color w:val="000000"/>
          <w:highlight w:val="white"/>
        </w:rPr>
        <w:t xml:space="preserve"> în valoare totală de 1.082.010 kg.</w:t>
      </w:r>
    </w:p>
    <w:p w14:paraId="15CA7A82" w14:textId="77777777" w:rsidR="00AE2EAA" w:rsidRDefault="00AE2EAA" w:rsidP="00AE2EAA">
      <w:pPr>
        <w:spacing w:before="0"/>
        <w:ind w:firstLine="567"/>
        <w:rPr>
          <w:rFonts w:eastAsia="Times New Roman" w:cs="Times New Roman"/>
          <w:color w:val="000000"/>
          <w:highlight w:val="white"/>
        </w:rPr>
      </w:pPr>
      <w:r>
        <w:rPr>
          <w:rFonts w:eastAsia="Times New Roman" w:cs="Times New Roman"/>
          <w:color w:val="000000"/>
          <w:highlight w:val="white"/>
        </w:rPr>
        <w:t>În zona central–sudică a litoralului românesc sunt 13 unități piscicole, situate în UAT-urile Năvodari, Corbu, Constanța, Agigea, Tuzla, Techirghiol, 23 August, Mangalia și Limanu, șase dintre acestea (situate în Corbu, Tuzla, Techirghiol, 23 August) raportând, în 2022, o producți</w:t>
      </w:r>
      <w:r>
        <w:rPr>
          <w:rFonts w:eastAsia="Times New Roman" w:cs="Times New Roman"/>
          <w:highlight w:val="white"/>
        </w:rPr>
        <w:t>e</w:t>
      </w:r>
      <w:r>
        <w:rPr>
          <w:rFonts w:eastAsia="Times New Roman" w:cs="Times New Roman"/>
          <w:color w:val="000000"/>
          <w:highlight w:val="white"/>
        </w:rPr>
        <w:t xml:space="preserve"> piscicol</w:t>
      </w:r>
      <w:r>
        <w:rPr>
          <w:rFonts w:eastAsia="Times New Roman" w:cs="Times New Roman"/>
          <w:highlight w:val="white"/>
        </w:rPr>
        <w:t>ă</w:t>
      </w:r>
      <w:r>
        <w:rPr>
          <w:rFonts w:eastAsia="Times New Roman" w:cs="Times New Roman"/>
          <w:color w:val="000000"/>
          <w:highlight w:val="white"/>
        </w:rPr>
        <w:t xml:space="preserve"> în valoare totală de 1.003.275 kg.</w:t>
      </w:r>
    </w:p>
    <w:p w14:paraId="13CA99E2" w14:textId="77777777" w:rsidR="00AE2EAA" w:rsidRDefault="00AE2EAA" w:rsidP="00AE2EAA">
      <w:pPr>
        <w:spacing w:before="0"/>
        <w:ind w:firstLine="567"/>
        <w:rPr>
          <w:rFonts w:eastAsia="Times New Roman" w:cs="Times New Roman"/>
        </w:rPr>
      </w:pPr>
      <w:r>
        <w:rPr>
          <w:rFonts w:eastAsia="Times New Roman" w:cs="Times New Roman"/>
        </w:rPr>
        <w:t>Principalele probleme cu care se confruntă sectorul pescăresc în zona costieră sunt:</w:t>
      </w:r>
    </w:p>
    <w:p w14:paraId="5E7E1F9C" w14:textId="77777777" w:rsidR="00AE2EAA" w:rsidRDefault="00AE2EAA" w:rsidP="00AE2EAA">
      <w:pPr>
        <w:spacing w:before="0"/>
        <w:ind w:firstLine="567"/>
        <w:rPr>
          <w:rFonts w:eastAsia="Times New Roman" w:cs="Times New Roman"/>
        </w:rPr>
      </w:pPr>
      <w:r>
        <w:rPr>
          <w:rFonts w:eastAsia="Times New Roman" w:cs="Times New Roman"/>
        </w:rPr>
        <w:t>•</w:t>
      </w:r>
      <w:r>
        <w:rPr>
          <w:rFonts w:eastAsia="Times New Roman" w:cs="Times New Roman"/>
        </w:rPr>
        <w:tab/>
        <w:t>infrastructura specifică (porturi, puncte de debarcare, puncte de primă vânzare) este, în prezent, slab dezvoltată. Infrastructura de porturi pescărești cu dane specializate și spații de depozitare, precum și locațiile pentru organizarea primei vânzări a peștelui sunt insuficiente și necesită îmbunătățirea facilităților existente;</w:t>
      </w:r>
    </w:p>
    <w:p w14:paraId="278F7977" w14:textId="77777777" w:rsidR="00AE2EAA" w:rsidRDefault="00AE2EAA" w:rsidP="00AE2EAA">
      <w:pPr>
        <w:spacing w:before="0"/>
        <w:ind w:firstLine="567"/>
        <w:rPr>
          <w:rFonts w:eastAsia="Times New Roman" w:cs="Times New Roman"/>
        </w:rPr>
      </w:pPr>
      <w:r>
        <w:rPr>
          <w:rFonts w:eastAsia="Times New Roman" w:cs="Times New Roman"/>
        </w:rPr>
        <w:t>•</w:t>
      </w:r>
      <w:r>
        <w:rPr>
          <w:rFonts w:eastAsia="Times New Roman" w:cs="Times New Roman"/>
        </w:rPr>
        <w:tab/>
        <w:t>flota de pescuit este învechită, poluatoare;</w:t>
      </w:r>
    </w:p>
    <w:p w14:paraId="4633A33F" w14:textId="77777777" w:rsidR="00AE2EAA" w:rsidRDefault="00AE2EAA" w:rsidP="00AE2EAA">
      <w:pPr>
        <w:spacing w:before="0"/>
        <w:ind w:firstLine="567"/>
        <w:rPr>
          <w:rFonts w:eastAsia="Times New Roman" w:cs="Times New Roman"/>
        </w:rPr>
      </w:pPr>
      <w:r>
        <w:rPr>
          <w:rFonts w:eastAsia="Times New Roman" w:cs="Times New Roman"/>
        </w:rPr>
        <w:t>•</w:t>
      </w:r>
      <w:r>
        <w:rPr>
          <w:rFonts w:eastAsia="Times New Roman" w:cs="Times New Roman"/>
        </w:rPr>
        <w:tab/>
        <w:t>în ciuda numeroaselor reglementări, încă există practici sau comportamente nesustenabile care duc la impact nedorit al activităților de pescuit asupra ecosistemelor acvatice;</w:t>
      </w:r>
    </w:p>
    <w:p w14:paraId="460A79A2" w14:textId="77777777" w:rsidR="00AE2EAA" w:rsidRDefault="00AE2EAA" w:rsidP="00AE2EAA">
      <w:pPr>
        <w:spacing w:before="0"/>
        <w:ind w:firstLine="567"/>
        <w:rPr>
          <w:rFonts w:eastAsia="Times New Roman" w:cs="Times New Roman"/>
        </w:rPr>
      </w:pPr>
      <w:r>
        <w:rPr>
          <w:rFonts w:eastAsia="Times New Roman" w:cs="Times New Roman"/>
        </w:rPr>
        <w:t>•</w:t>
      </w:r>
      <w:r>
        <w:rPr>
          <w:rFonts w:eastAsia="Times New Roman" w:cs="Times New Roman"/>
        </w:rPr>
        <w:tab/>
        <w:t>controlul și colectarea datelor insuficient aplicate;</w:t>
      </w:r>
    </w:p>
    <w:p w14:paraId="1AE91C36" w14:textId="77777777" w:rsidR="00AE2EAA" w:rsidRDefault="00AE2EAA" w:rsidP="00AE2EAA">
      <w:pPr>
        <w:spacing w:before="0"/>
        <w:ind w:firstLine="567"/>
        <w:rPr>
          <w:rFonts w:eastAsia="Times New Roman" w:cs="Times New Roman"/>
        </w:rPr>
      </w:pPr>
      <w:r>
        <w:rPr>
          <w:rFonts w:eastAsia="Times New Roman" w:cs="Times New Roman"/>
        </w:rPr>
        <w:t>•</w:t>
      </w:r>
      <w:r>
        <w:rPr>
          <w:rFonts w:eastAsia="Times New Roman" w:cs="Times New Roman"/>
        </w:rPr>
        <w:tab/>
        <w:t>delimitarea zonelor prioritare de pescuit nu este încă finalizată, lipsind criteriile clare pentru stabilirea acestora;</w:t>
      </w:r>
    </w:p>
    <w:p w14:paraId="7BEC0DB8" w14:textId="77777777" w:rsidR="00AE2EAA" w:rsidRDefault="00AE2EAA" w:rsidP="00AE2EAA">
      <w:pPr>
        <w:spacing w:before="0"/>
        <w:ind w:firstLine="567"/>
        <w:rPr>
          <w:rFonts w:eastAsia="Times New Roman" w:cs="Times New Roman"/>
        </w:rPr>
      </w:pPr>
      <w:r>
        <w:rPr>
          <w:rFonts w:eastAsia="Times New Roman" w:cs="Times New Roman"/>
        </w:rPr>
        <w:lastRenderedPageBreak/>
        <w:t>•</w:t>
      </w:r>
      <w:r>
        <w:rPr>
          <w:rFonts w:eastAsia="Times New Roman" w:cs="Times New Roman"/>
        </w:rPr>
        <w:tab/>
        <w:t>starea precară a stocurilor de sturioni din Dunăre și Marea Neagră; supraexploatarea stocurilor de calcan din Marea Neagră;</w:t>
      </w:r>
    </w:p>
    <w:p w14:paraId="29D73E56" w14:textId="77777777" w:rsidR="00AE2EAA" w:rsidRDefault="00AE2EAA" w:rsidP="00AE2EAA">
      <w:pPr>
        <w:spacing w:before="0"/>
        <w:ind w:firstLine="567"/>
        <w:rPr>
          <w:rFonts w:eastAsia="Times New Roman" w:cs="Times New Roman"/>
        </w:rPr>
      </w:pPr>
      <w:r>
        <w:rPr>
          <w:rFonts w:eastAsia="Times New Roman" w:cs="Times New Roman"/>
        </w:rPr>
        <w:t>•</w:t>
      </w:r>
      <w:r>
        <w:rPr>
          <w:rFonts w:eastAsia="Times New Roman" w:cs="Times New Roman"/>
        </w:rPr>
        <w:tab/>
        <w:t xml:space="preserve">modificarea sau transformarea habitatelor de reproducere sau hrănire a speciilor de pești ca urmare a lucrările hidrotehnice; </w:t>
      </w:r>
    </w:p>
    <w:p w14:paraId="417F31B3" w14:textId="77777777" w:rsidR="00AE2EAA" w:rsidRDefault="00AE2EAA" w:rsidP="00AE2EAA">
      <w:pPr>
        <w:spacing w:before="0"/>
        <w:ind w:firstLine="567"/>
        <w:rPr>
          <w:rFonts w:eastAsia="Times New Roman" w:cs="Times New Roman"/>
        </w:rPr>
      </w:pPr>
      <w:r>
        <w:rPr>
          <w:rFonts w:eastAsia="Times New Roman" w:cs="Times New Roman"/>
        </w:rPr>
        <w:t>•</w:t>
      </w:r>
      <w:r>
        <w:rPr>
          <w:rFonts w:eastAsia="Times New Roman" w:cs="Times New Roman"/>
        </w:rPr>
        <w:tab/>
        <w:t>lipsa zonǎrii habitatelor de reproducere şi înmulțire a principalelor specii exploatabile;</w:t>
      </w:r>
    </w:p>
    <w:p w14:paraId="47A26C4E" w14:textId="77777777" w:rsidR="00AE2EAA" w:rsidRDefault="00AE2EAA" w:rsidP="00AE2EAA">
      <w:pPr>
        <w:spacing w:before="0"/>
        <w:ind w:firstLine="567"/>
        <w:rPr>
          <w:rFonts w:eastAsia="Times New Roman" w:cs="Times New Roman"/>
        </w:rPr>
      </w:pPr>
      <w:r>
        <w:rPr>
          <w:rFonts w:eastAsia="Times New Roman" w:cs="Times New Roman"/>
        </w:rPr>
        <w:t>•</w:t>
      </w:r>
      <w:r>
        <w:rPr>
          <w:rFonts w:eastAsia="Times New Roman" w:cs="Times New Roman"/>
        </w:rPr>
        <w:tab/>
        <w:t>lipsa zonǎrii habitatelor cu potențial productiv din punct de vedere al resurselor piscicole, precum şi a informațiilor despre ariile vulnerabile la activitǎțile umane ce impacteazǎ productivitatea şi diversitatea biologicǎ, importante pentru susținerea stocurilor;</w:t>
      </w:r>
    </w:p>
    <w:p w14:paraId="3D21C2BB" w14:textId="77777777" w:rsidR="00AE2EAA" w:rsidRDefault="00AE2EAA" w:rsidP="00AE2EAA">
      <w:pPr>
        <w:spacing w:before="0"/>
        <w:ind w:firstLine="567"/>
        <w:rPr>
          <w:rFonts w:eastAsia="Times New Roman" w:cs="Times New Roman"/>
        </w:rPr>
      </w:pPr>
      <w:r>
        <w:rPr>
          <w:rFonts w:eastAsia="Times New Roman" w:cs="Times New Roman"/>
        </w:rPr>
        <w:t>•</w:t>
      </w:r>
      <w:r>
        <w:rPr>
          <w:rFonts w:eastAsia="Times New Roman" w:cs="Times New Roman"/>
        </w:rPr>
        <w:tab/>
        <w:t>schimbarea folosinţei iazurilor, prin transformarea lor în poldere agricole a afectat semnificativ acvacultura. Pe de altă parte, eutrofizarea, poluarea şi unele fenomene naturale (seceta), precum şi lipsa tehnologiilor moderne au dus la scăderea productivităţii amenajărilor piscicole din Delta Dunării.</w:t>
      </w:r>
    </w:p>
    <w:p w14:paraId="533843F8" w14:textId="77777777" w:rsidR="00AE2EAA" w:rsidRDefault="00AE2EAA" w:rsidP="00AE2EAA">
      <w:pPr>
        <w:spacing w:before="0"/>
        <w:rPr>
          <w:rFonts w:eastAsia="Times New Roman" w:cs="Times New Roman"/>
          <w:b/>
          <w:i/>
          <w:color w:val="000000"/>
          <w:highlight w:val="white"/>
        </w:rPr>
      </w:pPr>
      <w:r>
        <w:rPr>
          <w:rFonts w:eastAsia="Times New Roman" w:cs="Times New Roman"/>
          <w:i/>
          <w:color w:val="000000"/>
          <w:highlight w:val="white"/>
        </w:rPr>
        <w:t>Acvacultura</w:t>
      </w:r>
    </w:p>
    <w:p w14:paraId="3094583D" w14:textId="77777777" w:rsidR="00AE2EAA" w:rsidRDefault="00AE2EAA" w:rsidP="00AE2EAA">
      <w:pPr>
        <w:spacing w:before="0"/>
        <w:ind w:firstLine="567"/>
        <w:rPr>
          <w:rFonts w:eastAsia="Times New Roman" w:cs="Times New Roman"/>
        </w:rPr>
      </w:pPr>
      <w:r>
        <w:rPr>
          <w:rFonts w:eastAsia="Times New Roman" w:cs="Times New Roman"/>
        </w:rPr>
        <w:t>Acvacultura din România se bazează preponderent pe activitatea de piscicultură de apă dulce (în lacuri deltaice și litorale) și salmastră (în lagune), în timp ce acvacultura marină pontică are o dezvoltare relativ recentă (Zaharia și colab., 2017). Pe baza programelor și recomandărilor UE și potențialului mariculturii s-au reluat activitățile de cercetare pentru dezvoltarea domeniului pe organisme acvatice cu mare plasticitate care suportă variații mari de temperatură, salinitate, densitate, hrană, precum și condiții de creștere în condiții dirijate, de captivitate (http://msp-platform.rmri.ro/marsplan.html).</w:t>
      </w:r>
    </w:p>
    <w:p w14:paraId="4609D927" w14:textId="77777777" w:rsidR="00AE2EAA" w:rsidRDefault="00AE2EAA" w:rsidP="00AE2EAA">
      <w:pPr>
        <w:spacing w:before="0"/>
        <w:ind w:firstLine="567"/>
        <w:rPr>
          <w:rFonts w:eastAsia="Times New Roman" w:cs="Times New Roman"/>
        </w:rPr>
      </w:pPr>
      <w:r>
        <w:rPr>
          <w:rFonts w:eastAsia="Times New Roman" w:cs="Times New Roman"/>
        </w:rPr>
        <w:t>Acvacultura are potențialul de a deveni o ramură importantă a Economiei Albastre, element esențial în cadrul Agendei Maritime Comune pentru Marea Neagră a Uniunii Europene pentru a oferi resurse durabile de hrană, securitate alimentară, locuri de muncă în zona costieră și dezvoltare durabilă în cadrul „Orientărilor strategice UE pentru Dezvoltarea Durabilă a Acvaculturii” - CE, 2013, (INCDM, 2021). Comisia Generală pentru Pescuit la Marea Mediterană (GFCM) din Organizația Națiunilor Unite pentru Alimentație și Agricultură (FAO) a adoptat o rezoluție specifică (GFCM/36/2012/1) privind AZA-Zone Alocate pentru Acvacultură.</w:t>
      </w:r>
    </w:p>
    <w:p w14:paraId="02DC8177" w14:textId="61A83E94" w:rsidR="00AE2EAA" w:rsidRDefault="00AE2EAA" w:rsidP="00AE2EAA">
      <w:pPr>
        <w:spacing w:before="0"/>
        <w:ind w:firstLine="567"/>
        <w:rPr>
          <w:rFonts w:eastAsia="Times New Roman" w:cs="Times New Roman"/>
        </w:rPr>
      </w:pPr>
      <w:r>
        <w:rPr>
          <w:rFonts w:eastAsia="Times New Roman" w:cs="Times New Roman"/>
        </w:rPr>
        <w:t>Astfel, din rațiuni de siguranță alimentară, moluştele vii sunt colectate pentru a fi introduse pe piaţă pentru consumul uman doar din zone clasificate. Clasificarea zonelor de producţie a moluştelor vii din apele marine româneşti a fost posibilă prin identificarea a trei zone de calitate (clasa A) pentru recoltarea moluştelor bivalve vii (prin decizia semnată de ANSV, ANPA, INCDM „Grigore Antipa” şi ANAR). Acestea sunt: a) zona 1, cuprinsă între Perișor și Chituc (Tulcea), cu ~ 215 Mm</w:t>
      </w:r>
      <w:r>
        <w:rPr>
          <w:rFonts w:eastAsia="Times New Roman" w:cs="Times New Roman"/>
          <w:vertAlign w:val="superscript"/>
        </w:rPr>
        <w:t>2</w:t>
      </w:r>
      <w:r>
        <w:rPr>
          <w:rFonts w:eastAsia="Times New Roman" w:cs="Times New Roman"/>
        </w:rPr>
        <w:t xml:space="preserve"> suprafață; b) zona 2, cuprinsă între Năvodari și portul Constanța (Baia Mamaia), ~109 Mm</w:t>
      </w:r>
      <w:r>
        <w:rPr>
          <w:rFonts w:eastAsia="Times New Roman" w:cs="Times New Roman"/>
          <w:vertAlign w:val="superscript"/>
        </w:rPr>
        <w:t>2</w:t>
      </w:r>
      <w:r>
        <w:rPr>
          <w:rFonts w:eastAsia="Times New Roman" w:cs="Times New Roman"/>
        </w:rPr>
        <w:t>; zona 3, cuprinsă între Agigea și Mangalia, cu o suprafață de ~10 Mm</w:t>
      </w:r>
      <w:r>
        <w:rPr>
          <w:rFonts w:eastAsia="Times New Roman" w:cs="Times New Roman"/>
          <w:vertAlign w:val="superscript"/>
        </w:rPr>
        <w:t xml:space="preserve">2 </w:t>
      </w:r>
      <w:r>
        <w:rPr>
          <w:rFonts w:eastAsia="Times New Roman" w:cs="Times New Roman"/>
        </w:rPr>
        <w:t>(Fig. 2.4.8.2.3).</w:t>
      </w:r>
    </w:p>
    <w:p w14:paraId="605F72F8" w14:textId="77777777" w:rsidR="00AE2EAA" w:rsidRDefault="00AE2EAA" w:rsidP="00AE2EAA">
      <w:pPr>
        <w:ind w:firstLine="0"/>
        <w:jc w:val="center"/>
        <w:rPr>
          <w:rFonts w:eastAsia="Times New Roman" w:cs="Times New Roman"/>
        </w:rPr>
      </w:pPr>
      <w:r>
        <w:rPr>
          <w:noProof/>
        </w:rPr>
        <w:lastRenderedPageBreak/>
        <w:drawing>
          <wp:inline distT="0" distB="0" distL="0" distR="0" wp14:anchorId="421F2BEC" wp14:editId="40E4C4E4">
            <wp:extent cx="5731510" cy="4053840"/>
            <wp:effectExtent l="0" t="0" r="0" b="0"/>
            <wp:docPr id="2141401954"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50"/>
                    <a:srcRect/>
                    <a:stretch>
                      <a:fillRect/>
                    </a:stretch>
                  </pic:blipFill>
                  <pic:spPr>
                    <a:xfrm>
                      <a:off x="0" y="0"/>
                      <a:ext cx="5731510" cy="4053840"/>
                    </a:xfrm>
                    <a:prstGeom prst="rect">
                      <a:avLst/>
                    </a:prstGeom>
                    <a:ln/>
                  </pic:spPr>
                </pic:pic>
              </a:graphicData>
            </a:graphic>
          </wp:inline>
        </w:drawing>
      </w:r>
    </w:p>
    <w:p w14:paraId="48CA6B8A" w14:textId="41F07280" w:rsidR="00AE2EAA" w:rsidRDefault="00AE2EAA" w:rsidP="00AE2EAA">
      <w:pPr>
        <w:jc w:val="center"/>
        <w:rPr>
          <w:rFonts w:eastAsia="Times New Roman" w:cs="Times New Roman"/>
          <w:b/>
          <w:i/>
        </w:rPr>
      </w:pPr>
      <w:r>
        <w:rPr>
          <w:rFonts w:eastAsia="Times New Roman" w:cs="Times New Roman"/>
          <w:b/>
        </w:rPr>
        <w:t xml:space="preserve">Fig. 2.4.8.2.3 Harta zonelor pentru moluște de la litoralul românesc </w:t>
      </w:r>
      <w:r>
        <w:rPr>
          <w:rFonts w:eastAsia="Times New Roman" w:cs="Times New Roman"/>
          <w:b/>
          <w:i/>
        </w:rPr>
        <w:t>(sursa: INCDM)</w:t>
      </w:r>
    </w:p>
    <w:p w14:paraId="188C56A4" w14:textId="77777777" w:rsidR="00AE2EAA" w:rsidRDefault="00AE2EAA" w:rsidP="00AE2EAA">
      <w:pPr>
        <w:rPr>
          <w:rFonts w:eastAsia="Times New Roman" w:cs="Times New Roman"/>
        </w:rPr>
      </w:pPr>
    </w:p>
    <w:p w14:paraId="3A6A63CA" w14:textId="50D5E432" w:rsidR="00AE2EAA" w:rsidRDefault="00AE2EAA" w:rsidP="00AE2EAA">
      <w:pPr>
        <w:pStyle w:val="Heading4"/>
      </w:pPr>
      <w:bookmarkStart w:id="91" w:name="_Toc169625140"/>
      <w:r>
        <w:t>2.4.8.3 Transport</w:t>
      </w:r>
      <w:bookmarkEnd w:id="91"/>
    </w:p>
    <w:p w14:paraId="1E83066A" w14:textId="77777777" w:rsidR="00AE2EAA" w:rsidRDefault="00AE2EAA" w:rsidP="00AE2EAA">
      <w:pPr>
        <w:spacing w:before="0"/>
        <w:rPr>
          <w:rFonts w:eastAsia="Times New Roman" w:cs="Times New Roman"/>
          <w:i/>
        </w:rPr>
      </w:pPr>
      <w:r>
        <w:rPr>
          <w:rFonts w:eastAsia="Times New Roman" w:cs="Times New Roman"/>
          <w:i/>
        </w:rPr>
        <w:t>Transport rutier</w:t>
      </w:r>
    </w:p>
    <w:p w14:paraId="2399D5AB" w14:textId="77777777" w:rsidR="00AE2EAA" w:rsidRDefault="00AE2EAA" w:rsidP="00AE2EAA">
      <w:pPr>
        <w:spacing w:before="0"/>
        <w:ind w:firstLine="567"/>
        <w:rPr>
          <w:rFonts w:eastAsia="Times New Roman" w:cs="Times New Roman"/>
        </w:rPr>
      </w:pPr>
      <w:r>
        <w:rPr>
          <w:rFonts w:eastAsia="Times New Roman" w:cs="Times New Roman"/>
        </w:rPr>
        <w:t>În partea nordică a zonei costiere, aferentă județului Tulcea, rețeaua de drumuri publice cuprinde doar drumuri județene și comunale, în timp ce în partea sudică, aferentă județului Constanța, rețeaua de drumuri publice este mult mai complexă, incluzând toate categoriile de drumuri (autostradă, drumuri naționale, drumuri județene și drumuri comunale). Cele mai importante căi de transport rutier din interiorul zonei de studiu sunt:</w:t>
      </w:r>
    </w:p>
    <w:p w14:paraId="5FA6CDB2" w14:textId="77777777" w:rsidR="00AE2EAA" w:rsidRDefault="00AE2EAA" w:rsidP="00AE2EAA">
      <w:pPr>
        <w:spacing w:before="0"/>
        <w:ind w:firstLine="567"/>
        <w:rPr>
          <w:rFonts w:eastAsia="Times New Roman" w:cs="Times New Roman"/>
        </w:rPr>
      </w:pPr>
      <w:r>
        <w:rPr>
          <w:rFonts w:eastAsia="Times New Roman" w:cs="Times New Roman"/>
        </w:rPr>
        <w:t>•</w:t>
      </w:r>
      <w:r>
        <w:rPr>
          <w:rFonts w:eastAsia="Times New Roman" w:cs="Times New Roman"/>
        </w:rPr>
        <w:tab/>
        <w:t>autostrada A4 (denumită și Autostrada Dobrogei) care reprezintă segmentul ocolitor al municipiului Constanța, parcurgând un traseu de 21,7 km de la Ovidiu (în nord-vest), pe la vest, până la Agigea, în sud. Prin intersecția cu autostrada A2 se asigură legătura municipiului Constanța cu capitala, București, iar din 2013 s-a dat în folosință un ultim tronson, de aproximativ 2 km, care leagă nodul de la Agigea de Portul Constanța. De asemenea, din nodul de la Agigea se face legătura cu drumul național DN 39;</w:t>
      </w:r>
    </w:p>
    <w:p w14:paraId="1D2E17EF" w14:textId="77777777" w:rsidR="00AE2EAA" w:rsidRDefault="00AE2EAA" w:rsidP="00AE2EAA">
      <w:pPr>
        <w:spacing w:before="0"/>
        <w:ind w:firstLine="567"/>
        <w:rPr>
          <w:rFonts w:eastAsia="Times New Roman" w:cs="Times New Roman"/>
        </w:rPr>
      </w:pPr>
      <w:r>
        <w:rPr>
          <w:rFonts w:eastAsia="Times New Roman" w:cs="Times New Roman"/>
        </w:rPr>
        <w:t>•</w:t>
      </w:r>
      <w:r>
        <w:rPr>
          <w:rFonts w:eastAsia="Times New Roman" w:cs="Times New Roman"/>
        </w:rPr>
        <w:tab/>
        <w:t>drumul național DN39 (lungime 54,35 km), leagă orașul Constanța de orașele Eforie și Mangalia, formând principala legătură cu stațiunile din această zonă</w:t>
      </w:r>
    </w:p>
    <w:p w14:paraId="0C58DF61" w14:textId="77777777" w:rsidR="00AE2EAA" w:rsidRDefault="00AE2EAA" w:rsidP="00AE2EAA">
      <w:pPr>
        <w:spacing w:before="0"/>
        <w:ind w:firstLine="567"/>
        <w:rPr>
          <w:rFonts w:eastAsia="Times New Roman" w:cs="Times New Roman"/>
        </w:rPr>
      </w:pPr>
      <w:r>
        <w:rPr>
          <w:rFonts w:eastAsia="Times New Roman" w:cs="Times New Roman"/>
        </w:rPr>
        <w:lastRenderedPageBreak/>
        <w:t>•</w:t>
      </w:r>
      <w:r>
        <w:rPr>
          <w:rFonts w:eastAsia="Times New Roman" w:cs="Times New Roman"/>
        </w:rPr>
        <w:tab/>
        <w:t>drumul național DN38, leagă Agigea de Techirghiol și continuă până pe teritoriul Bulgariei. Se intersectează cu DN 39, la Agigea, asigurându-se astfel legătura dintre stațiunea Techirghiol cu municipiul Constanța;</w:t>
      </w:r>
    </w:p>
    <w:p w14:paraId="487E3E84" w14:textId="77777777" w:rsidR="00AE2EAA" w:rsidRDefault="00AE2EAA" w:rsidP="00AE2EAA">
      <w:pPr>
        <w:spacing w:before="0"/>
        <w:ind w:firstLine="567"/>
        <w:rPr>
          <w:rFonts w:eastAsia="Times New Roman" w:cs="Times New Roman"/>
        </w:rPr>
      </w:pPr>
      <w:r>
        <w:rPr>
          <w:rFonts w:eastAsia="Times New Roman" w:cs="Times New Roman"/>
        </w:rPr>
        <w:t>•</w:t>
      </w:r>
      <w:r>
        <w:rPr>
          <w:rFonts w:eastAsia="Times New Roman" w:cs="Times New Roman"/>
        </w:rPr>
        <w:tab/>
        <w:t xml:space="preserve">drumul județean DJ226, leagă orașul Năvodari de drumul național DN22 (Constanța-Tulcea), punctul de intersecție fiind comuna Mihai Viteazu. Acest drum județean asigură accesul dinspre Năvodari la portul Midia și Petromidia, iar mai departe în partea de sud a Rezervației Biosferei Delta Dunării (UAT Corbu, Istria și Mihai Viteazu). </w:t>
      </w:r>
    </w:p>
    <w:p w14:paraId="2E312339" w14:textId="77777777" w:rsidR="00AE2EAA" w:rsidRDefault="00AE2EAA" w:rsidP="00AE2EAA">
      <w:pPr>
        <w:spacing w:before="0"/>
        <w:ind w:firstLine="567"/>
        <w:rPr>
          <w:rFonts w:eastAsia="Times New Roman" w:cs="Times New Roman"/>
        </w:rPr>
      </w:pPr>
      <w:r>
        <w:rPr>
          <w:rFonts w:eastAsia="Times New Roman" w:cs="Times New Roman"/>
        </w:rPr>
        <w:t xml:space="preserve">La nivelul teritoriului zonei costiere aferentă județului Constanța, cea mai mare lungime a străzilor orășenești se înregistrează în municipiul Constanța (511 km), urmat de orașul Năvodari (261 km). Lungimea cea mai mare a drumurilor modernizate se regăsește, de asemenea, în municipiul Constanța cu 432 km drum modernizat, urmat de orașul Năvodari cu 179 km modernizați (Consiliul Județean Constanța, 2021). În partea de nord a zonei de studiu, în orașul Sulina, lungimea străzilor orășenești era în 2019 de 34 km, din care doar 12 km drumuri modernizate (Consiliul Județean Tulcea, 2019). </w:t>
      </w:r>
    </w:p>
    <w:p w14:paraId="2E21104F" w14:textId="77777777" w:rsidR="00AE2EAA" w:rsidRDefault="00AE2EAA" w:rsidP="00AE2EAA">
      <w:pPr>
        <w:spacing w:before="0"/>
        <w:ind w:firstLine="567"/>
        <w:rPr>
          <w:rFonts w:eastAsia="Times New Roman" w:cs="Times New Roman"/>
        </w:rPr>
      </w:pPr>
      <w:r>
        <w:rPr>
          <w:rFonts w:eastAsia="Times New Roman" w:cs="Times New Roman"/>
        </w:rPr>
        <w:t>Servicii de transport local/urban de pasageri se regăsesc doar în municipiile Constanța și Mangalia. Sistemul de transport public cu autobuze în municipiul Constanța este asigurat de CT Bus S.A., existând în prezent un număr de 23 de rute, deservite de peste 150 autobuze (din care 20 electrice) și microbuze. În municipiul Mangalia, există două trasee (unul local, iar celălalt acoperă și stațiunile din municipiu) deservite de serviciul de transport public asigurat de Primăria Municipiului. În perioada sezonului estival, începând din 2022, aceste trasee sunt deservite, în mare parte, de autobuze electrice (Consiliul Județean Constanța, 2021).</w:t>
      </w:r>
    </w:p>
    <w:p w14:paraId="457B6EEE" w14:textId="77777777" w:rsidR="00AE2EAA" w:rsidRDefault="00AE2EAA" w:rsidP="00AE2EAA">
      <w:pPr>
        <w:spacing w:before="0"/>
        <w:ind w:firstLine="567"/>
        <w:rPr>
          <w:rFonts w:eastAsia="Times New Roman" w:cs="Times New Roman"/>
        </w:rPr>
      </w:pPr>
      <w:r>
        <w:rPr>
          <w:rFonts w:eastAsia="Times New Roman" w:cs="Times New Roman"/>
        </w:rPr>
        <w:t xml:space="preserve">Între localitățile din zona de studiu, precum și între localitățile din zona de studiu și altele din afara zonei, există de asemenea o serie de operatori ce asigură transportul public pe cale rutieră, cea mai mare parte dintre rute asigurând transportul de pasageri către și dinspre principalul municipiu, Constanța. </w:t>
      </w:r>
    </w:p>
    <w:p w14:paraId="2B5B7E33" w14:textId="77777777" w:rsidR="00AE2EAA" w:rsidRDefault="00AE2EAA" w:rsidP="00AE2EAA">
      <w:pPr>
        <w:spacing w:before="0"/>
        <w:rPr>
          <w:rFonts w:eastAsia="Times New Roman" w:cs="Times New Roman"/>
          <w:i/>
        </w:rPr>
      </w:pPr>
      <w:r>
        <w:rPr>
          <w:rFonts w:eastAsia="Times New Roman" w:cs="Times New Roman"/>
          <w:i/>
        </w:rPr>
        <w:t>Transport feroviar</w:t>
      </w:r>
    </w:p>
    <w:p w14:paraId="700526EB" w14:textId="77777777" w:rsidR="00AE2EAA" w:rsidRDefault="00AE2EAA" w:rsidP="00AE2EAA">
      <w:pPr>
        <w:spacing w:before="0"/>
        <w:ind w:firstLine="567"/>
        <w:rPr>
          <w:rFonts w:eastAsia="Times New Roman" w:cs="Times New Roman"/>
        </w:rPr>
      </w:pPr>
      <w:r>
        <w:rPr>
          <w:rFonts w:eastAsia="Times New Roman" w:cs="Times New Roman"/>
        </w:rPr>
        <w:t xml:space="preserve">Rețeaua de transport feroviar din partea nordică a zonei costiere este ca și inexistentă. În partea sudică a zonei de studiu, transportul feroviar se desfășoară pe o magistrală CFR (magistrala 800 București Nord-Constanța-Mangalia) și căi ferate secundare, dedicate atât transportului de pasageri, cât și de marfă. În zona de studiu sunt 16 stații feroviare și 5 noduri feroviare (Constanța, Constanța Mărfuri, Palas, Năvodari și Agigea Nord). Dintre stațiile feroviare, stația Constanța este dedicată strict transportului de călători, Agigea Ecluză, Agigea Nord, Constanța Palas, Costinești, Eforie Nord, Eforie Sud, Mangalia, Mihai Viteazu și Neptun deservesc atât traficul de marfă, cât și cel de călători, în timp ce stațiile Constanța Mărfuri, Constanța P. Mol 5, </w:t>
      </w:r>
      <w:sdt>
        <w:sdtPr>
          <w:tag w:val="goog_rdk_41"/>
          <w:id w:val="-914858733"/>
        </w:sdtPr>
        <w:sdtContent>
          <w:r>
            <w:rPr>
              <w:rFonts w:eastAsia="Times New Roman" w:cs="Times New Roman"/>
            </w:rPr>
            <w:t>Constanța</w:t>
          </w:r>
        </w:sdtContent>
      </w:sdt>
      <w:r>
        <w:rPr>
          <w:rFonts w:eastAsia="Times New Roman" w:cs="Times New Roman"/>
        </w:rPr>
        <w:t xml:space="preserve"> P. Zona A, Constanța P. Zona B, Constanța P. Ferryboat și Năvodari deservesc strict transportul de mărfuri. Cea mai mare parte dintre liniile de transport feroviar, la nivelul zonei de studiu, sunt neelectrificate.</w:t>
      </w:r>
    </w:p>
    <w:p w14:paraId="10B2EEA6" w14:textId="77777777" w:rsidR="00AE2EAA" w:rsidRDefault="00AE2EAA" w:rsidP="00AE2EAA">
      <w:pPr>
        <w:spacing w:before="0"/>
        <w:ind w:firstLine="567"/>
        <w:rPr>
          <w:rFonts w:eastAsia="Times New Roman" w:cs="Times New Roman"/>
        </w:rPr>
      </w:pPr>
      <w:r>
        <w:rPr>
          <w:rFonts w:eastAsia="Times New Roman" w:cs="Times New Roman"/>
        </w:rPr>
        <w:t xml:space="preserve"> În Strategia de Dezvoltare a Infrastructurii Feroviare 2021-2025 sunt vizate următoarele măsuri în județul Constanța:</w:t>
      </w:r>
    </w:p>
    <w:p w14:paraId="3B7A11B9" w14:textId="77777777" w:rsidR="00AE2EAA" w:rsidRDefault="00AE2EAA" w:rsidP="00AE2EAA">
      <w:pPr>
        <w:spacing w:before="0"/>
        <w:ind w:firstLine="567"/>
        <w:rPr>
          <w:rFonts w:eastAsia="Times New Roman" w:cs="Times New Roman"/>
        </w:rPr>
      </w:pPr>
      <w:r>
        <w:rPr>
          <w:rFonts w:eastAsia="Times New Roman" w:cs="Times New Roman"/>
        </w:rPr>
        <w:t>• Electrificarea și reabilitarea tronsonului Constanța – Mangalia;</w:t>
      </w:r>
    </w:p>
    <w:p w14:paraId="5506C19E" w14:textId="77777777" w:rsidR="00AE2EAA" w:rsidRDefault="00AE2EAA" w:rsidP="00AE2EAA">
      <w:pPr>
        <w:spacing w:before="0"/>
        <w:ind w:firstLine="567"/>
        <w:rPr>
          <w:rFonts w:eastAsia="Times New Roman" w:cs="Times New Roman"/>
        </w:rPr>
      </w:pPr>
      <w:r>
        <w:rPr>
          <w:rFonts w:eastAsia="Times New Roman" w:cs="Times New Roman"/>
        </w:rPr>
        <w:lastRenderedPageBreak/>
        <w:t>• Modernizarea infrastructurii feroviare din Portul Constanța.</w:t>
      </w:r>
    </w:p>
    <w:p w14:paraId="7F3EBB50" w14:textId="77777777" w:rsidR="00AE2EAA" w:rsidRDefault="00AE2EAA" w:rsidP="00AE2EAA">
      <w:pPr>
        <w:spacing w:before="0"/>
        <w:rPr>
          <w:rFonts w:eastAsia="Times New Roman" w:cs="Times New Roman"/>
          <w:i/>
        </w:rPr>
      </w:pPr>
      <w:r>
        <w:rPr>
          <w:rFonts w:eastAsia="Times New Roman" w:cs="Times New Roman"/>
          <w:i/>
        </w:rPr>
        <w:t xml:space="preserve">Transport naval </w:t>
      </w:r>
    </w:p>
    <w:p w14:paraId="24A4E200" w14:textId="77777777" w:rsidR="00AE2EAA" w:rsidRDefault="00AE2EAA" w:rsidP="00AE2EAA">
      <w:pPr>
        <w:spacing w:before="0"/>
        <w:ind w:firstLine="567"/>
        <w:rPr>
          <w:rFonts w:eastAsia="Times New Roman" w:cs="Times New Roman"/>
        </w:rPr>
      </w:pPr>
      <w:r>
        <w:rPr>
          <w:rFonts w:eastAsia="Times New Roman" w:cs="Times New Roman"/>
        </w:rPr>
        <w:t>Prezența în zonă a Portului Constanța, a porturilor maritime satelit Mangalia și Midia și a Portului Sulina, noduri importante de transport, face ca cea mai mare parte a transporturilor să fie asociată conectării acestor porturi (în cea mai mare măsură a Portului Constanța) cu rutele de transport ce folosesc alte moduri de transport decât cel maritim pentru afluirea mărfurilor către și dinspre acestea către întreg hinterlandul lor.</w:t>
      </w:r>
    </w:p>
    <w:p w14:paraId="647EF03E" w14:textId="2E3C237E" w:rsidR="00AE2EAA" w:rsidRDefault="00AE2EAA" w:rsidP="00AE2EAA">
      <w:pPr>
        <w:spacing w:before="0"/>
        <w:ind w:firstLine="567"/>
        <w:rPr>
          <w:rFonts w:eastAsia="Times New Roman" w:cs="Times New Roman"/>
        </w:rPr>
      </w:pPr>
      <w:r>
        <w:rPr>
          <w:rFonts w:eastAsia="Times New Roman" w:cs="Times New Roman"/>
        </w:rPr>
        <w:t xml:space="preserve">Traficul maritim este concentrat în zona portului maritim Constanța (inclusiv Agigea), dar și în zona porturilor situate pe sectorul maritim al Dunării. În general, traficul maritim se concentrează în zona litoralului sudic şi gurile Dunării, rutele fiind spre principalele porturi din Marea Neagră, în special spre Bosfor (Fig. </w:t>
      </w:r>
      <w:r w:rsidR="00154C5C">
        <w:rPr>
          <w:rFonts w:eastAsia="Times New Roman" w:cs="Times New Roman"/>
        </w:rPr>
        <w:t>2.</w:t>
      </w:r>
      <w:r>
        <w:rPr>
          <w:rFonts w:eastAsia="Times New Roman" w:cs="Times New Roman"/>
        </w:rPr>
        <w:t>4.8.3.1), și este reprezentat în general de nave tip vrachier, tanc și portcontainer (INCDM, 2022).</w:t>
      </w:r>
    </w:p>
    <w:p w14:paraId="74D356FB" w14:textId="77777777" w:rsidR="00AE2EAA" w:rsidRDefault="00AE2EAA" w:rsidP="00AE2EAA">
      <w:pPr>
        <w:ind w:firstLine="567"/>
        <w:rPr>
          <w:rFonts w:eastAsia="Times New Roman" w:cs="Times New Roman"/>
        </w:rPr>
      </w:pPr>
    </w:p>
    <w:p w14:paraId="6ABCE0EE" w14:textId="77777777" w:rsidR="00AE2EAA" w:rsidRDefault="00AE2EAA" w:rsidP="00AE2EAA">
      <w:pPr>
        <w:jc w:val="center"/>
        <w:rPr>
          <w:rFonts w:eastAsia="Times New Roman" w:cs="Times New Roman"/>
        </w:rPr>
      </w:pPr>
      <w:r>
        <w:rPr>
          <w:rFonts w:eastAsia="Times New Roman" w:cs="Times New Roman"/>
          <w:noProof/>
        </w:rPr>
        <w:drawing>
          <wp:inline distT="0" distB="0" distL="0" distR="0" wp14:anchorId="7184A5DD" wp14:editId="08DBF903">
            <wp:extent cx="5742940" cy="4057015"/>
            <wp:effectExtent l="0" t="0" r="0" b="0"/>
            <wp:docPr id="214140195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1"/>
                    <a:srcRect/>
                    <a:stretch>
                      <a:fillRect/>
                    </a:stretch>
                  </pic:blipFill>
                  <pic:spPr>
                    <a:xfrm>
                      <a:off x="0" y="0"/>
                      <a:ext cx="5742940" cy="4057015"/>
                    </a:xfrm>
                    <a:prstGeom prst="rect">
                      <a:avLst/>
                    </a:prstGeom>
                    <a:ln/>
                  </pic:spPr>
                </pic:pic>
              </a:graphicData>
            </a:graphic>
          </wp:inline>
        </w:drawing>
      </w:r>
    </w:p>
    <w:p w14:paraId="6B0DED24" w14:textId="774B92F1" w:rsidR="00AE2EAA" w:rsidRDefault="00AE2EAA" w:rsidP="00154C5C">
      <w:pPr>
        <w:ind w:firstLine="567"/>
        <w:jc w:val="center"/>
        <w:rPr>
          <w:rFonts w:eastAsia="Times New Roman" w:cs="Times New Roman"/>
          <w:b/>
        </w:rPr>
      </w:pPr>
      <w:r>
        <w:rPr>
          <w:rFonts w:eastAsia="Times New Roman" w:cs="Times New Roman"/>
          <w:b/>
        </w:rPr>
        <w:t xml:space="preserve">Fig. </w:t>
      </w:r>
      <w:r w:rsidR="00154C5C">
        <w:rPr>
          <w:rFonts w:eastAsia="Times New Roman" w:cs="Times New Roman"/>
          <w:b/>
        </w:rPr>
        <w:t>2.</w:t>
      </w:r>
      <w:r>
        <w:rPr>
          <w:rFonts w:eastAsia="Times New Roman" w:cs="Times New Roman"/>
          <w:b/>
        </w:rPr>
        <w:t>4.8.3.1</w:t>
      </w:r>
      <w:r>
        <w:rPr>
          <w:b/>
        </w:rPr>
        <w:t xml:space="preserve"> </w:t>
      </w:r>
      <w:r>
        <w:rPr>
          <w:rFonts w:eastAsia="Times New Roman" w:cs="Times New Roman"/>
          <w:b/>
        </w:rPr>
        <w:t>Intensitatea traficului maritim 2020 (</w:t>
      </w:r>
      <w:r>
        <w:rPr>
          <w:rFonts w:eastAsia="Times New Roman" w:cs="Times New Roman"/>
          <w:b/>
          <w:i/>
        </w:rPr>
        <w:t>sursă: EmodNet Human Activities</w:t>
      </w:r>
      <w:r>
        <w:rPr>
          <w:rFonts w:eastAsia="Times New Roman" w:cs="Times New Roman"/>
          <w:b/>
        </w:rPr>
        <w:t>)</w:t>
      </w:r>
    </w:p>
    <w:p w14:paraId="104F6063" w14:textId="77777777" w:rsidR="00AE2EAA" w:rsidRDefault="00AE2EAA" w:rsidP="00AE2EAA">
      <w:pPr>
        <w:ind w:firstLine="567"/>
        <w:rPr>
          <w:rFonts w:eastAsia="Times New Roman" w:cs="Times New Roman"/>
        </w:rPr>
      </w:pPr>
    </w:p>
    <w:p w14:paraId="5031756E" w14:textId="77777777" w:rsidR="00AE2EAA" w:rsidRDefault="00AE2EAA" w:rsidP="00AE2EAA">
      <w:pPr>
        <w:ind w:firstLine="567"/>
        <w:rPr>
          <w:rFonts w:eastAsia="Times New Roman" w:cs="Times New Roman"/>
        </w:rPr>
      </w:pPr>
    </w:p>
    <w:p w14:paraId="1472D109" w14:textId="336CCFF7" w:rsidR="00AE2EAA" w:rsidRDefault="00AE2EAA" w:rsidP="00154C5C">
      <w:pPr>
        <w:spacing w:before="0"/>
        <w:ind w:firstLine="567"/>
        <w:rPr>
          <w:rFonts w:eastAsia="Times New Roman" w:cs="Times New Roman"/>
          <w:color w:val="000000"/>
        </w:rPr>
      </w:pPr>
      <w:r>
        <w:rPr>
          <w:rFonts w:eastAsia="Times New Roman" w:cs="Times New Roman"/>
          <w:color w:val="000000"/>
        </w:rPr>
        <w:t xml:space="preserve">În ultimii cinci ani în porturile maritime românești traficul naval a inclus un număr mediu de aproximativ 4000 de nave fluviale și 10.000 de nave maritime (Fig. </w:t>
      </w:r>
      <w:r w:rsidR="00154C5C">
        <w:rPr>
          <w:rFonts w:eastAsia="Times New Roman" w:cs="Times New Roman"/>
          <w:color w:val="000000"/>
        </w:rPr>
        <w:t>2.</w:t>
      </w:r>
      <w:r>
        <w:rPr>
          <w:rFonts w:eastAsia="Times New Roman" w:cs="Times New Roman"/>
          <w:color w:val="000000"/>
        </w:rPr>
        <w:t>4.8.3.2).</w:t>
      </w:r>
    </w:p>
    <w:p w14:paraId="13C9F21B" w14:textId="77777777" w:rsidR="00AE2EAA" w:rsidRDefault="00AE2EAA" w:rsidP="00154C5C">
      <w:pPr>
        <w:spacing w:before="0"/>
        <w:ind w:firstLine="567"/>
      </w:pPr>
    </w:p>
    <w:p w14:paraId="4559B340" w14:textId="77777777" w:rsidR="00AE2EAA" w:rsidRDefault="00AE2EAA" w:rsidP="00AE2EAA">
      <w:pPr>
        <w:spacing w:before="240" w:after="240"/>
        <w:jc w:val="center"/>
      </w:pPr>
      <w:r>
        <w:rPr>
          <w:noProof/>
          <w:color w:val="000000"/>
        </w:rPr>
        <w:lastRenderedPageBreak/>
        <w:drawing>
          <wp:inline distT="0" distB="0" distL="0" distR="0" wp14:anchorId="79ECA6F4" wp14:editId="06CDC7B2">
            <wp:extent cx="3787140" cy="2255520"/>
            <wp:effectExtent l="0" t="0" r="0" b="0"/>
            <wp:docPr id="214140195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2"/>
                    <a:srcRect/>
                    <a:stretch>
                      <a:fillRect/>
                    </a:stretch>
                  </pic:blipFill>
                  <pic:spPr>
                    <a:xfrm>
                      <a:off x="0" y="0"/>
                      <a:ext cx="3787140" cy="2255520"/>
                    </a:xfrm>
                    <a:prstGeom prst="rect">
                      <a:avLst/>
                    </a:prstGeom>
                    <a:ln/>
                  </pic:spPr>
                </pic:pic>
              </a:graphicData>
            </a:graphic>
          </wp:inline>
        </w:drawing>
      </w:r>
    </w:p>
    <w:p w14:paraId="1D3E75FE" w14:textId="707312F7" w:rsidR="00AE2EAA" w:rsidRDefault="00AE2EAA" w:rsidP="00AE2EAA">
      <w:pPr>
        <w:spacing w:before="240" w:after="240"/>
        <w:jc w:val="center"/>
        <w:rPr>
          <w:rFonts w:eastAsia="Times New Roman" w:cs="Times New Roman"/>
        </w:rPr>
      </w:pPr>
      <w:bookmarkStart w:id="92" w:name="_heading=h.23ckvvd" w:colFirst="0" w:colLast="0"/>
      <w:bookmarkEnd w:id="92"/>
      <w:r>
        <w:rPr>
          <w:rFonts w:eastAsia="Times New Roman" w:cs="Times New Roman"/>
          <w:b/>
          <w:color w:val="000000"/>
        </w:rPr>
        <w:t xml:space="preserve">Fig. </w:t>
      </w:r>
      <w:r w:rsidR="00154C5C">
        <w:rPr>
          <w:rFonts w:eastAsia="Times New Roman" w:cs="Times New Roman"/>
          <w:b/>
          <w:color w:val="000000"/>
        </w:rPr>
        <w:t>2.</w:t>
      </w:r>
      <w:r>
        <w:rPr>
          <w:rFonts w:eastAsia="Times New Roman" w:cs="Times New Roman"/>
          <w:b/>
          <w:color w:val="000000"/>
        </w:rPr>
        <w:t>4.8.3.2 Escale ale navelor maritime în porturile românești (</w:t>
      </w:r>
      <w:r>
        <w:rPr>
          <w:rFonts w:eastAsia="Times New Roman" w:cs="Times New Roman"/>
          <w:i/>
          <w:color w:val="000000"/>
        </w:rPr>
        <w:t>sursa: www.portofconstantza.com</w:t>
      </w:r>
      <w:r>
        <w:rPr>
          <w:rFonts w:eastAsia="Times New Roman" w:cs="Times New Roman"/>
          <w:b/>
          <w:color w:val="000000"/>
        </w:rPr>
        <w:t>)</w:t>
      </w:r>
    </w:p>
    <w:p w14:paraId="00415FA7" w14:textId="09AB7E93" w:rsidR="00AE2EAA" w:rsidRDefault="00AE2EAA" w:rsidP="00AE2EAA">
      <w:pPr>
        <w:ind w:firstLine="567"/>
        <w:rPr>
          <w:rFonts w:eastAsia="Times New Roman" w:cs="Times New Roman"/>
          <w:color w:val="000000"/>
        </w:rPr>
      </w:pPr>
      <w:r>
        <w:rPr>
          <w:rFonts w:eastAsia="Times New Roman" w:cs="Times New Roman"/>
          <w:color w:val="000000"/>
        </w:rPr>
        <w:t xml:space="preserve">Luând în considerare faptul că Portul Constanța, care concentrează cea mai mare parte a traficului, include operarea tuturor tipurilor de mărfuri și tipul navelor care au avut escală în acest port este divers. Totuși, în ceea ce privește numărul acestora se observă o reprezentare semnificativă a navelor cargou, urmată de navele care transportă produse lichide sau solide în vrac, navele tanc și cele vrachier (Fig. </w:t>
      </w:r>
      <w:r w:rsidR="00154C5C">
        <w:rPr>
          <w:rFonts w:eastAsia="Times New Roman" w:cs="Times New Roman"/>
          <w:color w:val="000000"/>
        </w:rPr>
        <w:t>2.</w:t>
      </w:r>
      <w:r>
        <w:rPr>
          <w:rFonts w:eastAsia="Times New Roman" w:cs="Times New Roman"/>
          <w:color w:val="000000"/>
        </w:rPr>
        <w:t>4.8.3.3).</w:t>
      </w:r>
    </w:p>
    <w:p w14:paraId="66FF3CFE" w14:textId="77777777" w:rsidR="00AE2EAA" w:rsidRDefault="00AE2EAA" w:rsidP="00AE2EAA">
      <w:pPr>
        <w:ind w:firstLine="567"/>
      </w:pPr>
    </w:p>
    <w:p w14:paraId="68D3C65F" w14:textId="77777777" w:rsidR="00AE2EAA" w:rsidRDefault="00AE2EAA" w:rsidP="00AE2EAA">
      <w:pPr>
        <w:spacing w:before="240" w:after="240"/>
        <w:jc w:val="center"/>
      </w:pPr>
      <w:r>
        <w:rPr>
          <w:b/>
          <w:noProof/>
          <w:color w:val="000000"/>
        </w:rPr>
        <w:drawing>
          <wp:inline distT="0" distB="0" distL="0" distR="0" wp14:anchorId="1F729E41" wp14:editId="0B2DEBFF">
            <wp:extent cx="3846376" cy="3299683"/>
            <wp:effectExtent l="0" t="0" r="0" b="0"/>
            <wp:docPr id="214140195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3"/>
                    <a:srcRect/>
                    <a:stretch>
                      <a:fillRect/>
                    </a:stretch>
                  </pic:blipFill>
                  <pic:spPr>
                    <a:xfrm>
                      <a:off x="0" y="0"/>
                      <a:ext cx="3846376" cy="3299683"/>
                    </a:xfrm>
                    <a:prstGeom prst="rect">
                      <a:avLst/>
                    </a:prstGeom>
                    <a:ln/>
                  </pic:spPr>
                </pic:pic>
              </a:graphicData>
            </a:graphic>
          </wp:inline>
        </w:drawing>
      </w:r>
    </w:p>
    <w:p w14:paraId="1F6E1A88" w14:textId="13239629" w:rsidR="00AE2EAA" w:rsidRDefault="00AE2EAA" w:rsidP="00AE2EAA">
      <w:pPr>
        <w:spacing w:before="240" w:after="240"/>
        <w:jc w:val="center"/>
        <w:rPr>
          <w:rFonts w:eastAsia="Times New Roman" w:cs="Times New Roman"/>
          <w:i/>
          <w:color w:val="000000"/>
        </w:rPr>
      </w:pPr>
      <w:bookmarkStart w:id="93" w:name="_heading=h.ihv636" w:colFirst="0" w:colLast="0"/>
      <w:bookmarkEnd w:id="93"/>
      <w:r>
        <w:rPr>
          <w:rFonts w:eastAsia="Times New Roman" w:cs="Times New Roman"/>
          <w:b/>
          <w:color w:val="000000"/>
        </w:rPr>
        <w:t xml:space="preserve">Fig. </w:t>
      </w:r>
      <w:r w:rsidR="00154C5C">
        <w:rPr>
          <w:rFonts w:eastAsia="Times New Roman" w:cs="Times New Roman"/>
          <w:b/>
          <w:color w:val="000000"/>
        </w:rPr>
        <w:t>2.</w:t>
      </w:r>
      <w:r>
        <w:rPr>
          <w:rFonts w:eastAsia="Times New Roman" w:cs="Times New Roman"/>
          <w:b/>
          <w:color w:val="000000"/>
        </w:rPr>
        <w:t>4.8.3.3 Tipuri de nave maritime cu escală în porturile maritime românești (</w:t>
      </w:r>
      <w:r>
        <w:rPr>
          <w:rFonts w:eastAsia="Times New Roman" w:cs="Times New Roman"/>
          <w:i/>
          <w:color w:val="000000"/>
        </w:rPr>
        <w:t xml:space="preserve">sursa: </w:t>
      </w:r>
      <w:hyperlink r:id="rId54">
        <w:r>
          <w:rPr>
            <w:rFonts w:eastAsia="Times New Roman" w:cs="Times New Roman"/>
            <w:color w:val="0000FF"/>
            <w:u w:val="single"/>
          </w:rPr>
          <w:t>www.portofconstantza.com</w:t>
        </w:r>
      </w:hyperlink>
      <w:r>
        <w:rPr>
          <w:rFonts w:eastAsia="Times New Roman" w:cs="Times New Roman"/>
          <w:i/>
          <w:color w:val="000000"/>
        </w:rPr>
        <w:t>)</w:t>
      </w:r>
    </w:p>
    <w:p w14:paraId="5DFC9C16" w14:textId="574464AE" w:rsidR="00AE2EAA" w:rsidRDefault="00AE2EAA" w:rsidP="00154C5C">
      <w:pPr>
        <w:spacing w:before="0"/>
        <w:ind w:firstLine="567"/>
        <w:rPr>
          <w:rFonts w:eastAsia="Times New Roman" w:cs="Times New Roman"/>
          <w:color w:val="000000"/>
        </w:rPr>
      </w:pPr>
      <w:r>
        <w:rPr>
          <w:rFonts w:eastAsia="Times New Roman" w:cs="Times New Roman"/>
          <w:color w:val="000000"/>
        </w:rPr>
        <w:t xml:space="preserve">Deși politicile de dezvoltare a porturilor românești au avut permanent orientarea către a promova escalele navelor de mari dimensiuni, în măsură să aducă beneficii economice crescute </w:t>
      </w:r>
      <w:r>
        <w:rPr>
          <w:rFonts w:eastAsia="Times New Roman" w:cs="Times New Roman"/>
          <w:color w:val="000000"/>
        </w:rPr>
        <w:lastRenderedPageBreak/>
        <w:t xml:space="preserve">în raport cu cantitățile de mărfuri transportate, dar și un impact redus asupra mediului, numărul navelor cu capacități sub 5.000 de tone care accesează porturile românești este încă semnificativ (Fig. </w:t>
      </w:r>
      <w:r w:rsidR="00154C5C">
        <w:rPr>
          <w:rFonts w:eastAsia="Times New Roman" w:cs="Times New Roman"/>
          <w:color w:val="000000"/>
        </w:rPr>
        <w:t>2.</w:t>
      </w:r>
      <w:r>
        <w:rPr>
          <w:rFonts w:eastAsia="Times New Roman" w:cs="Times New Roman"/>
          <w:color w:val="000000"/>
        </w:rPr>
        <w:t>4.8.3.4). Totuși, este de remarcat faptul că ultimele dezvoltări ale infrastructurii portuare și condițiile noi generate de conflictul militar din Ucraina au condus la operarea în 2022 și de nave cu o capacitate mai mare de 180.000 de tone.</w:t>
      </w:r>
    </w:p>
    <w:p w14:paraId="3EFCD92D" w14:textId="77777777" w:rsidR="00AE2EAA" w:rsidRDefault="00AE2EAA" w:rsidP="00AE2EAA">
      <w:pPr>
        <w:ind w:firstLine="567"/>
        <w:rPr>
          <w:rFonts w:eastAsia="Times New Roman" w:cs="Times New Roman"/>
          <w:color w:val="000000"/>
        </w:rPr>
      </w:pPr>
    </w:p>
    <w:p w14:paraId="05245D61" w14:textId="77777777" w:rsidR="00AE2EAA" w:rsidRDefault="00AE2EAA" w:rsidP="00AE2EAA">
      <w:pPr>
        <w:spacing w:before="240" w:after="240"/>
        <w:jc w:val="center"/>
      </w:pPr>
      <w:r>
        <w:rPr>
          <w:b/>
          <w:noProof/>
          <w:color w:val="000000"/>
        </w:rPr>
        <w:drawing>
          <wp:inline distT="0" distB="0" distL="0" distR="0" wp14:anchorId="7BC35AF1" wp14:editId="1084D06E">
            <wp:extent cx="4480560" cy="3855720"/>
            <wp:effectExtent l="0" t="0" r="0" b="0"/>
            <wp:docPr id="214140195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5"/>
                    <a:srcRect/>
                    <a:stretch>
                      <a:fillRect/>
                    </a:stretch>
                  </pic:blipFill>
                  <pic:spPr>
                    <a:xfrm>
                      <a:off x="0" y="0"/>
                      <a:ext cx="4480560" cy="3855720"/>
                    </a:xfrm>
                    <a:prstGeom prst="rect">
                      <a:avLst/>
                    </a:prstGeom>
                    <a:ln/>
                  </pic:spPr>
                </pic:pic>
              </a:graphicData>
            </a:graphic>
          </wp:inline>
        </w:drawing>
      </w:r>
    </w:p>
    <w:p w14:paraId="5F1F1765" w14:textId="75D7537B" w:rsidR="00AE2EAA" w:rsidRDefault="00AE2EAA" w:rsidP="00AE2EAA">
      <w:pPr>
        <w:spacing w:before="240" w:after="240"/>
        <w:jc w:val="center"/>
        <w:rPr>
          <w:rFonts w:eastAsia="Times New Roman" w:cs="Times New Roman"/>
        </w:rPr>
      </w:pPr>
      <w:bookmarkStart w:id="94" w:name="_heading=h.32hioqz" w:colFirst="0" w:colLast="0"/>
      <w:bookmarkEnd w:id="94"/>
      <w:r>
        <w:rPr>
          <w:rFonts w:eastAsia="Times New Roman" w:cs="Times New Roman"/>
          <w:b/>
          <w:color w:val="000000"/>
        </w:rPr>
        <w:t xml:space="preserve">Fig. </w:t>
      </w:r>
      <w:r w:rsidR="00154C5C">
        <w:rPr>
          <w:rFonts w:eastAsia="Times New Roman" w:cs="Times New Roman"/>
          <w:b/>
          <w:color w:val="000000"/>
        </w:rPr>
        <w:t>2.</w:t>
      </w:r>
      <w:r>
        <w:rPr>
          <w:rFonts w:eastAsia="Times New Roman" w:cs="Times New Roman"/>
          <w:b/>
          <w:color w:val="000000"/>
        </w:rPr>
        <w:t>4.8.3.4 Număr de nave maritime cu escală în porturile maritime românești în funcție de capacități (</w:t>
      </w:r>
      <w:r>
        <w:rPr>
          <w:rFonts w:eastAsia="Times New Roman" w:cs="Times New Roman"/>
          <w:b/>
          <w:i/>
          <w:color w:val="000000"/>
        </w:rPr>
        <w:t xml:space="preserve">sursa: </w:t>
      </w:r>
      <w:hyperlink r:id="rId56">
        <w:r>
          <w:rPr>
            <w:rFonts w:eastAsia="Times New Roman" w:cs="Times New Roman"/>
            <w:b/>
            <w:i/>
            <w:color w:val="0000FF"/>
            <w:u w:val="single"/>
          </w:rPr>
          <w:t>www.portofconstantza.com</w:t>
        </w:r>
      </w:hyperlink>
      <w:r>
        <w:rPr>
          <w:rFonts w:eastAsia="Times New Roman" w:cs="Times New Roman"/>
          <w:i/>
          <w:color w:val="000000"/>
        </w:rPr>
        <w:t>)</w:t>
      </w:r>
    </w:p>
    <w:p w14:paraId="46D170A2" w14:textId="77777777" w:rsidR="00AE2EAA" w:rsidRDefault="00AE2EAA" w:rsidP="00154C5C">
      <w:pPr>
        <w:spacing w:before="0"/>
        <w:rPr>
          <w:rFonts w:eastAsia="Times New Roman" w:cs="Times New Roman"/>
        </w:rPr>
      </w:pPr>
      <w:r>
        <w:rPr>
          <w:rFonts w:eastAsia="Times New Roman" w:cs="Times New Roman"/>
          <w:color w:val="000000"/>
        </w:rPr>
        <w:t>Conexiuni și intermodalism pentru Portul Constanța</w:t>
      </w:r>
    </w:p>
    <w:p w14:paraId="6BDAC2C0" w14:textId="77777777" w:rsidR="00AE2EAA" w:rsidRDefault="00AE2EAA" w:rsidP="00154C5C">
      <w:pPr>
        <w:spacing w:before="0"/>
        <w:rPr>
          <w:rFonts w:eastAsia="Times New Roman" w:cs="Times New Roman"/>
        </w:rPr>
      </w:pPr>
      <w:r>
        <w:rPr>
          <w:rFonts w:eastAsia="Times New Roman" w:cs="Times New Roman"/>
          <w:color w:val="000000"/>
          <w:u w:val="single"/>
        </w:rPr>
        <w:t>Calea ferată</w:t>
      </w:r>
    </w:p>
    <w:p w14:paraId="426E4007" w14:textId="77777777" w:rsidR="00AE2EAA" w:rsidRDefault="00AE2EAA" w:rsidP="00154C5C">
      <w:pPr>
        <w:spacing w:before="0"/>
        <w:ind w:firstLine="567"/>
        <w:rPr>
          <w:rFonts w:eastAsia="Times New Roman" w:cs="Times New Roman"/>
        </w:rPr>
      </w:pPr>
      <w:r>
        <w:rPr>
          <w:rFonts w:eastAsia="Times New Roman" w:cs="Times New Roman"/>
          <w:color w:val="000000"/>
        </w:rPr>
        <w:t>Serviciile permanente de cale ferată asigură transportul volumelor mari de mărfuri către cele mai importante zone economice din România și Europa de Est. De asemenea, Portul Constanța reprezintă un important nod de transport al Coridorului TRACECA. Fiecare terminal portuar are acces direct la sistemul de cale ferată, asigurându-se un transport sigur și eficient al mărfurilor. Lungimea totală de cale ferată în port ajunge la 326 km.</w:t>
      </w:r>
    </w:p>
    <w:p w14:paraId="1A9B2530" w14:textId="77777777" w:rsidR="00AE2EAA" w:rsidRDefault="00AE2EAA" w:rsidP="00154C5C">
      <w:pPr>
        <w:spacing w:before="0"/>
        <w:rPr>
          <w:rFonts w:eastAsia="Times New Roman" w:cs="Times New Roman"/>
        </w:rPr>
      </w:pPr>
      <w:r>
        <w:rPr>
          <w:rFonts w:eastAsia="Times New Roman" w:cs="Times New Roman"/>
          <w:color w:val="000000"/>
          <w:u w:val="single"/>
        </w:rPr>
        <w:t>Fluvial</w:t>
      </w:r>
      <w:r>
        <w:rPr>
          <w:rFonts w:eastAsia="Times New Roman" w:cs="Times New Roman"/>
          <w:i/>
          <w:color w:val="000000"/>
        </w:rPr>
        <w:t> </w:t>
      </w:r>
    </w:p>
    <w:p w14:paraId="4CEE5158" w14:textId="77777777" w:rsidR="00AE2EAA" w:rsidRDefault="00AE2EAA" w:rsidP="00154C5C">
      <w:pPr>
        <w:spacing w:before="0"/>
        <w:ind w:firstLine="567"/>
        <w:rPr>
          <w:rFonts w:eastAsia="Times New Roman" w:cs="Times New Roman"/>
        </w:rPr>
      </w:pPr>
      <w:r>
        <w:rPr>
          <w:rFonts w:eastAsia="Times New Roman" w:cs="Times New Roman"/>
          <w:color w:val="000000"/>
        </w:rPr>
        <w:t>Portul Constanța este conectat la Coridorul TEN-T Rin-Dunăre, care leagă cei doi poli comerciali europeni: Rotterdam și Constanța, creând o cale navigabilă interioară de la Marea Nordului până la Marea Neagră. Lungimea acestei căi navigabile este de 2.414 km</w:t>
      </w:r>
      <w:r>
        <w:rPr>
          <w:rFonts w:eastAsia="Times New Roman" w:cs="Times New Roman"/>
          <w:b/>
          <w:color w:val="000000"/>
        </w:rPr>
        <w:t xml:space="preserve"> </w:t>
      </w:r>
      <w:r>
        <w:rPr>
          <w:rFonts w:eastAsia="Times New Roman" w:cs="Times New Roman"/>
          <w:color w:val="000000"/>
        </w:rPr>
        <w:t xml:space="preserve">de la Sulina, până la Kelheim, de unde continuă prin Canalul Main-Rin, traversând Europa până la Marea </w:t>
      </w:r>
      <w:r>
        <w:rPr>
          <w:rFonts w:eastAsia="Times New Roman" w:cs="Times New Roman"/>
          <w:color w:val="000000"/>
        </w:rPr>
        <w:lastRenderedPageBreak/>
        <w:t>Nordului. Pe teritoriul României, lungimea căii navigabile este de 1.075 km. Legătura Portului Constanța cu Coridorul Rin-Dunăre prin Canalul Dunăre-Marea Neagră creează o alternativă de transport cu 4000 km mai scurtă pentru mărfurile care vin din Orientul Îndepărtat și Australia prin Canalul Suez și au destinație Europa Centrală.</w:t>
      </w:r>
    </w:p>
    <w:p w14:paraId="6DB36B91" w14:textId="77777777" w:rsidR="00AE2EAA" w:rsidRDefault="00AE2EAA" w:rsidP="00154C5C">
      <w:pPr>
        <w:spacing w:before="0"/>
        <w:ind w:firstLine="567"/>
        <w:rPr>
          <w:rFonts w:eastAsia="Times New Roman" w:cs="Times New Roman"/>
        </w:rPr>
      </w:pPr>
      <w:r>
        <w:rPr>
          <w:rFonts w:eastAsia="Times New Roman" w:cs="Times New Roman"/>
          <w:color w:val="000000"/>
        </w:rPr>
        <w:t>În conformitate cu standardele Uniunii Europene și ale Națiunilor Unite, Canalul Dunăre-Marea Neagră este un canal de clasa VI și un canal fluvial de clasa "F". Canalul, administrat de CN ACN, are lungimea de 64,4 km, lățimea de 90 m, adâncimea apei de 7 m și 17,5 m sub poduri. Situat la 35,4 km de Dunăre, brațul de nord al Canalului Dunăre-Marea Neagră asigură legătura cu Portul Midia prin două ecluze, la Ovidiu și Năvodari. Brațul de nord are o lungime de 27,5 km și o lățime de 45-50 m, cu adâncimi minime ale apei de 5,5 m. În opinia CN APM, accesul facil spre Europa Centrală este asigurat de bunele condiții navigabile ale Dunării de Jos și numărul redus de ecluze (doar 4 ecluze) pe sectorul dintre Constanța și Budapesta.</w:t>
      </w:r>
    </w:p>
    <w:p w14:paraId="17328846" w14:textId="77777777" w:rsidR="00AE2EAA" w:rsidRDefault="00AE2EAA" w:rsidP="00154C5C">
      <w:pPr>
        <w:spacing w:before="0"/>
        <w:rPr>
          <w:rFonts w:eastAsia="Times New Roman" w:cs="Times New Roman"/>
        </w:rPr>
      </w:pPr>
      <w:r>
        <w:rPr>
          <w:rFonts w:eastAsia="Times New Roman" w:cs="Times New Roman"/>
          <w:color w:val="000000"/>
          <w:u w:val="single"/>
        </w:rPr>
        <w:t>Rutier</w:t>
      </w:r>
    </w:p>
    <w:p w14:paraId="08A29CCE" w14:textId="77777777" w:rsidR="00AE2EAA" w:rsidRDefault="00AE2EAA" w:rsidP="00154C5C">
      <w:pPr>
        <w:spacing w:before="0"/>
        <w:ind w:firstLine="567"/>
        <w:rPr>
          <w:rFonts w:eastAsia="Times New Roman" w:cs="Times New Roman"/>
        </w:rPr>
      </w:pPr>
      <w:r>
        <w:rPr>
          <w:rFonts w:eastAsia="Times New Roman" w:cs="Times New Roman"/>
          <w:color w:val="000000"/>
        </w:rPr>
        <w:t>Toate porțile de intrare/ieșire în/din Portul Constanța sunt conectate la rețeaua națională și europeană de șosele, conexiunea rutieră având o importanță strategică, realizându-se astfel legătura între Portul Constanța și țările fără acces la mare din Europa Centrală și de Est. Lungimea totală a șoselelor în Portul Constanța este de aprox. 100 km. Autostrada A2 leagă Bucureștiul de orașul port Constanța (</w:t>
      </w:r>
      <w:r>
        <w:rPr>
          <w:rFonts w:eastAsia="Times New Roman" w:cs="Times New Roman"/>
          <w:i/>
          <w:color w:val="000000"/>
        </w:rPr>
        <w:t xml:space="preserve">via </w:t>
      </w:r>
      <w:r>
        <w:rPr>
          <w:rFonts w:eastAsia="Times New Roman" w:cs="Times New Roman"/>
          <w:color w:val="000000"/>
        </w:rPr>
        <w:t>autostrada A4).</w:t>
      </w:r>
    </w:p>
    <w:p w14:paraId="6166473A" w14:textId="77777777" w:rsidR="00AE2EAA" w:rsidRDefault="00AE2EAA" w:rsidP="00154C5C">
      <w:pPr>
        <w:spacing w:before="0"/>
        <w:ind w:firstLine="567"/>
        <w:rPr>
          <w:rFonts w:eastAsia="Times New Roman" w:cs="Times New Roman"/>
          <w:color w:val="000000"/>
        </w:rPr>
      </w:pPr>
      <w:r>
        <w:rPr>
          <w:rFonts w:eastAsia="Times New Roman" w:cs="Times New Roman"/>
          <w:color w:val="000000"/>
        </w:rPr>
        <w:t xml:space="preserve">Traficul de mărfuri în porturile maritime a cunoscut în ultima perioadă o creștere semnificativă datorită preluării a unei mari părți din traficul porturilor ucrainiene, situație generată de conflictul militar din zonă. Astfel, traficul total de mărfuri în 2021 a fost de 67.483.435 tone, iar în 2022 se observă o creștere cu mai mult de 10%, până la 75.537.687. Analiza datelor furnizate de CN APM referitoare la perioada 2015-2022, confirmă creșterea aproape continuă a traficului portuar în porturile maritime, cu excepția anului 2020, când s-a observat o scădere cu circa 10% în datorată pandemiei de </w:t>
      </w:r>
      <w:r>
        <w:rPr>
          <w:rFonts w:eastAsia="Times New Roman" w:cs="Times New Roman"/>
        </w:rPr>
        <w:t>coronavirus</w:t>
      </w:r>
      <w:r>
        <w:rPr>
          <w:rFonts w:eastAsia="Times New Roman" w:cs="Times New Roman"/>
          <w:color w:val="000000"/>
        </w:rPr>
        <w:t>.</w:t>
      </w:r>
    </w:p>
    <w:p w14:paraId="2BC76559" w14:textId="77777777" w:rsidR="00AE2EAA" w:rsidRDefault="00AE2EAA" w:rsidP="00154C5C">
      <w:pPr>
        <w:spacing w:before="0"/>
        <w:ind w:firstLine="567"/>
        <w:rPr>
          <w:rFonts w:eastAsia="Times New Roman" w:cs="Times New Roman"/>
        </w:rPr>
      </w:pPr>
      <w:r>
        <w:rPr>
          <w:rFonts w:eastAsia="Times New Roman" w:cs="Times New Roman"/>
        </w:rPr>
        <w:t>În prezent, Master Planul Portului Constanţa, aflat în curs de actualizare, prevede o serie de proiecte menite a-i spori capacitatea de acomodare a navelor de tonaj mare şi de dezvoltare a transportului multimodal, în paralel cu modernizarea infrastructurii şi suprastructurii. Îmbunătățirea infrastructurii feroviare din port și a conexiunilor feroviare cu acesta este unul dintre proiectele importante de care depinde dezvoltarea transportului naval în zonă. De asemenea, portul trebuie să asigure în timp relativ scurt capacitatea de aprovizionare cu LNG a navelor și să ia în considerare în dezvoltările sale schimbările din sectorul energetic din regiune.</w:t>
      </w:r>
    </w:p>
    <w:p w14:paraId="1B87C2AE" w14:textId="765E5B5C" w:rsidR="00AE2EAA" w:rsidRDefault="00AE2EAA" w:rsidP="00154C5C">
      <w:pPr>
        <w:spacing w:before="0"/>
        <w:ind w:firstLine="567"/>
        <w:rPr>
          <w:rFonts w:eastAsia="Times New Roman" w:cs="Times New Roman"/>
          <w:color w:val="000000"/>
        </w:rPr>
      </w:pPr>
      <w:r>
        <w:rPr>
          <w:rFonts w:eastAsia="Times New Roman" w:cs="Times New Roman"/>
          <w:color w:val="000000"/>
        </w:rPr>
        <w:t xml:space="preserve">În ceea ce privește traficul naval pe brațele Dunării, se observă o creștere semnificativă în 2022 a numărului de nave ce au tranzitat Canalul Sulina (Fig. </w:t>
      </w:r>
      <w:r w:rsidR="00154C5C">
        <w:rPr>
          <w:rFonts w:eastAsia="Times New Roman" w:cs="Times New Roman"/>
          <w:color w:val="000000"/>
        </w:rPr>
        <w:t>2.</w:t>
      </w:r>
      <w:r>
        <w:rPr>
          <w:rFonts w:eastAsia="Times New Roman" w:cs="Times New Roman"/>
          <w:color w:val="000000"/>
        </w:rPr>
        <w:t xml:space="preserve">4.8.3.5), în special pentru nave cu tonaj peste 3000 tdw. Evident, această creștere semnificativă este în strânsă legătură cu conflictul armat generat de agresiunea Rusiei asupra Ucrainei. </w:t>
      </w:r>
    </w:p>
    <w:p w14:paraId="42443B4B" w14:textId="77777777" w:rsidR="00AE2EAA" w:rsidRDefault="00AE2EAA" w:rsidP="00AE2EAA">
      <w:pPr>
        <w:spacing w:before="240" w:after="240"/>
        <w:jc w:val="center"/>
      </w:pPr>
      <w:r>
        <w:rPr>
          <w:noProof/>
          <w:color w:val="000000"/>
        </w:rPr>
        <w:lastRenderedPageBreak/>
        <w:drawing>
          <wp:inline distT="0" distB="0" distL="0" distR="0" wp14:anchorId="523CCF9F" wp14:editId="01F5E16E">
            <wp:extent cx="5424043" cy="3162793"/>
            <wp:effectExtent l="0" t="0" r="0" b="0"/>
            <wp:docPr id="214140195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7"/>
                    <a:srcRect/>
                    <a:stretch>
                      <a:fillRect/>
                    </a:stretch>
                  </pic:blipFill>
                  <pic:spPr>
                    <a:xfrm>
                      <a:off x="0" y="0"/>
                      <a:ext cx="5424043" cy="3162793"/>
                    </a:xfrm>
                    <a:prstGeom prst="rect">
                      <a:avLst/>
                    </a:prstGeom>
                    <a:ln/>
                  </pic:spPr>
                </pic:pic>
              </a:graphicData>
            </a:graphic>
          </wp:inline>
        </w:drawing>
      </w:r>
    </w:p>
    <w:p w14:paraId="4EA37AEC" w14:textId="1CE3BEDA" w:rsidR="00AE2EAA" w:rsidRDefault="00AE2EAA" w:rsidP="00AE2EAA">
      <w:pPr>
        <w:spacing w:before="240" w:after="240"/>
        <w:jc w:val="center"/>
        <w:rPr>
          <w:rFonts w:eastAsia="Times New Roman" w:cs="Times New Roman"/>
          <w:b/>
          <w:color w:val="000000"/>
        </w:rPr>
      </w:pPr>
      <w:bookmarkStart w:id="95" w:name="_heading=h.1hmsyys" w:colFirst="0" w:colLast="0"/>
      <w:bookmarkEnd w:id="95"/>
      <w:r>
        <w:rPr>
          <w:rFonts w:eastAsia="Times New Roman" w:cs="Times New Roman"/>
          <w:b/>
          <w:color w:val="000000"/>
        </w:rPr>
        <w:t xml:space="preserve">Fig. </w:t>
      </w:r>
      <w:r w:rsidR="00154C5C">
        <w:rPr>
          <w:rFonts w:eastAsia="Times New Roman" w:cs="Times New Roman"/>
          <w:b/>
          <w:color w:val="000000"/>
        </w:rPr>
        <w:t>2.</w:t>
      </w:r>
      <w:r>
        <w:rPr>
          <w:rFonts w:eastAsia="Times New Roman" w:cs="Times New Roman"/>
          <w:b/>
          <w:color w:val="000000"/>
        </w:rPr>
        <w:t>4.8.3.5 Număr de nave care au tranzitat Canalul Sulina (</w:t>
      </w:r>
      <w:r>
        <w:rPr>
          <w:rFonts w:eastAsia="Times New Roman" w:cs="Times New Roman"/>
          <w:b/>
          <w:i/>
          <w:color w:val="000000"/>
        </w:rPr>
        <w:t xml:space="preserve">sursa: </w:t>
      </w:r>
      <w:hyperlink r:id="rId58">
        <w:r>
          <w:rPr>
            <w:rFonts w:eastAsia="Times New Roman" w:cs="Times New Roman"/>
            <w:b/>
            <w:i/>
            <w:color w:val="0000FF"/>
            <w:u w:val="single"/>
          </w:rPr>
          <w:t>www.afdj.ro</w:t>
        </w:r>
      </w:hyperlink>
      <w:r>
        <w:rPr>
          <w:rFonts w:eastAsia="Times New Roman" w:cs="Times New Roman"/>
          <w:b/>
          <w:color w:val="000000"/>
        </w:rPr>
        <w:t>)</w:t>
      </w:r>
    </w:p>
    <w:p w14:paraId="70AF7EEE" w14:textId="77777777" w:rsidR="00AE2EAA" w:rsidRDefault="00AE2EAA" w:rsidP="00154C5C">
      <w:pPr>
        <w:spacing w:before="0"/>
        <w:jc w:val="center"/>
        <w:rPr>
          <w:rFonts w:eastAsia="Times New Roman" w:cs="Times New Roman"/>
        </w:rPr>
      </w:pPr>
    </w:p>
    <w:p w14:paraId="17A57071" w14:textId="77777777" w:rsidR="00AE2EAA" w:rsidRDefault="00AE2EAA" w:rsidP="00154C5C">
      <w:pPr>
        <w:spacing w:before="0"/>
        <w:ind w:firstLine="567"/>
        <w:rPr>
          <w:rFonts w:eastAsia="Times New Roman" w:cs="Times New Roman"/>
        </w:rPr>
      </w:pPr>
      <w:r>
        <w:rPr>
          <w:rFonts w:eastAsia="Times New Roman" w:cs="Times New Roman"/>
          <w:color w:val="000000"/>
        </w:rPr>
        <w:t>Canalul Sulina, parte a rețelei TEN-T fluviale centrale, este cel mai scurt și cel mai drept braț al Dunării și cea mai rapidă legătură între fluviu și Marea Neagră, mai ales în condițiile în care acesta este regularizat și canalizat, permițând accesul navelor maritime şi fluvio-maritime, cu un pescaj în apă dulce de maximum 7 m până în porturile Tulcea, Galați, Brăila, Reni, Ismail, Vâlcov, Giurgiulești. Anual, Canalul Sulina este tranzitat de peste 1.500 de nave de mărfuri, care transportă peste 2.5 milioane tone pe an, la care se adaugă cursele zilnice ale navelor de pasageri, care leagă municipiul Tulcea de localitățile riverane (Partizani, Maliuc, Gorgova, Crișan, Sulina), navele serviciilor de urgență (ambulanță, ISU). Practic, Canalul Sulina reprezintă singura cale de acces pentru cei peste 5.500 de locuitori ai Deltei de pe malurile acestuia și pentru furnizorii de mărfuri și servicii adresate acestora. </w:t>
      </w:r>
    </w:p>
    <w:p w14:paraId="40D75BD1" w14:textId="61E03D0E" w:rsidR="00AE2EAA" w:rsidRDefault="00AE2EAA" w:rsidP="00154C5C">
      <w:pPr>
        <w:spacing w:before="0"/>
        <w:ind w:firstLine="567"/>
        <w:rPr>
          <w:rFonts w:eastAsia="Times New Roman" w:cs="Times New Roman"/>
          <w:color w:val="000000"/>
        </w:rPr>
      </w:pPr>
      <w:r>
        <w:rPr>
          <w:rFonts w:eastAsia="Times New Roman" w:cs="Times New Roman"/>
          <w:color w:val="000000"/>
        </w:rPr>
        <w:t xml:space="preserve">În Tabelul </w:t>
      </w:r>
      <w:r w:rsidR="00154C5C">
        <w:rPr>
          <w:rFonts w:eastAsia="Times New Roman" w:cs="Times New Roman"/>
          <w:color w:val="000000"/>
        </w:rPr>
        <w:t>2.</w:t>
      </w:r>
      <w:r>
        <w:rPr>
          <w:rFonts w:eastAsia="Times New Roman" w:cs="Times New Roman"/>
          <w:color w:val="000000"/>
        </w:rPr>
        <w:t>4.8.3.1 este prezentată dinamica numărului de pasageri pe cele trei brațe ale Dunării (sursa SC NAVROM DELTA Tulcea), către localitățile Sulina, Periprava și Sfântu Gheorghe, pentru anii de referință 2013, 2018 si 2022. Analizând datele, remarcăm o scădere continuă a numărului de pasageri în ultimii 10 ani, iar cauzele sunt multiple: numărul în creștere a celor care aleg să meargă cu ambarcațiuni private, contextul pandemic, etc.</w:t>
      </w:r>
    </w:p>
    <w:p w14:paraId="20EA46AE" w14:textId="77777777" w:rsidR="00AE2EAA" w:rsidRDefault="00AE2EAA" w:rsidP="00AE2EAA">
      <w:pPr>
        <w:ind w:firstLine="567"/>
        <w:jc w:val="center"/>
        <w:rPr>
          <w:rFonts w:eastAsia="Times New Roman" w:cs="Times New Roman"/>
          <w:b/>
          <w:color w:val="000000"/>
          <w:sz w:val="28"/>
          <w:szCs w:val="28"/>
        </w:rPr>
      </w:pPr>
    </w:p>
    <w:p w14:paraId="56A64E50" w14:textId="729336D2" w:rsidR="00AE2EAA" w:rsidRDefault="00AE2EAA" w:rsidP="00AE2EAA">
      <w:pPr>
        <w:spacing w:after="0"/>
        <w:jc w:val="center"/>
      </w:pPr>
      <w:bookmarkStart w:id="96" w:name="_heading=h.41mghml" w:colFirst="0" w:colLast="0"/>
      <w:bookmarkEnd w:id="96"/>
      <w:r>
        <w:rPr>
          <w:rFonts w:eastAsia="Times New Roman" w:cs="Times New Roman"/>
          <w:b/>
          <w:color w:val="000000"/>
        </w:rPr>
        <w:t xml:space="preserve">Tabel </w:t>
      </w:r>
      <w:r w:rsidR="00154C5C">
        <w:rPr>
          <w:rFonts w:eastAsia="Times New Roman" w:cs="Times New Roman"/>
          <w:b/>
          <w:color w:val="000000"/>
        </w:rPr>
        <w:t>2.</w:t>
      </w:r>
      <w:r>
        <w:rPr>
          <w:rFonts w:eastAsia="Times New Roman" w:cs="Times New Roman"/>
          <w:b/>
          <w:color w:val="000000"/>
        </w:rPr>
        <w:t>4.8.3.1 Numărul de pasageri către localitățile Sulina, Periprava și Sfântu Gheorghe</w:t>
      </w:r>
    </w:p>
    <w:tbl>
      <w:tblPr>
        <w:tblW w:w="9006" w:type="dxa"/>
        <w:tblLayout w:type="fixed"/>
        <w:tblLook w:val="0400" w:firstRow="0" w:lastRow="0" w:firstColumn="0" w:lastColumn="0" w:noHBand="0" w:noVBand="1"/>
      </w:tblPr>
      <w:tblGrid>
        <w:gridCol w:w="699"/>
        <w:gridCol w:w="946"/>
        <w:gridCol w:w="1196"/>
        <w:gridCol w:w="1037"/>
        <w:gridCol w:w="1196"/>
        <w:gridCol w:w="1037"/>
        <w:gridCol w:w="1196"/>
        <w:gridCol w:w="763"/>
        <w:gridCol w:w="936"/>
      </w:tblGrid>
      <w:tr w:rsidR="00AE2EAA" w14:paraId="599DB62C" w14:textId="77777777" w:rsidTr="00AE2EAA">
        <w:trPr>
          <w:trHeight w:val="440"/>
        </w:trPr>
        <w:tc>
          <w:tcPr>
            <w:tcW w:w="699"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172961"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Anul</w:t>
            </w:r>
          </w:p>
        </w:tc>
        <w:tc>
          <w:tcPr>
            <w:tcW w:w="2142"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9B51AC"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Tulcea-Sulina</w:t>
            </w:r>
          </w:p>
        </w:tc>
        <w:tc>
          <w:tcPr>
            <w:tcW w:w="223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98E861"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Tulcea-Periprava</w:t>
            </w:r>
          </w:p>
        </w:tc>
        <w:tc>
          <w:tcPr>
            <w:tcW w:w="223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17DA96" w14:textId="77777777" w:rsidR="00AE2EAA" w:rsidRDefault="00AE2EAA" w:rsidP="00AE2EAA">
            <w:pPr>
              <w:spacing w:after="0" w:line="240" w:lineRule="auto"/>
              <w:rPr>
                <w:rFonts w:eastAsia="Times New Roman" w:cs="Times New Roman"/>
                <w:sz w:val="20"/>
                <w:szCs w:val="20"/>
              </w:rPr>
            </w:pPr>
            <w:r>
              <w:rPr>
                <w:rFonts w:eastAsia="Times New Roman" w:cs="Times New Roman"/>
                <w:color w:val="000000"/>
                <w:sz w:val="20"/>
                <w:szCs w:val="20"/>
              </w:rPr>
              <w:t>Tulcea-Sf. Gheorghe</w:t>
            </w:r>
          </w:p>
        </w:tc>
        <w:tc>
          <w:tcPr>
            <w:tcW w:w="76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295E05" w14:textId="77777777" w:rsidR="00AE2EAA" w:rsidRDefault="00AE2EAA" w:rsidP="00AE2EAA">
            <w:pPr>
              <w:spacing w:after="0" w:line="240" w:lineRule="auto"/>
              <w:rPr>
                <w:rFonts w:eastAsia="Times New Roman" w:cs="Times New Roman"/>
                <w:sz w:val="20"/>
                <w:szCs w:val="20"/>
              </w:rPr>
            </w:pPr>
          </w:p>
          <w:p w14:paraId="3A08C221"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lastRenderedPageBreak/>
              <w:t>Alte categorii </w:t>
            </w:r>
          </w:p>
        </w:tc>
        <w:tc>
          <w:tcPr>
            <w:tcW w:w="936"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0C3D6F"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lastRenderedPageBreak/>
              <w:t>Total </w:t>
            </w:r>
          </w:p>
        </w:tc>
      </w:tr>
      <w:tr w:rsidR="00AE2EAA" w14:paraId="5188D64C" w14:textId="77777777" w:rsidTr="00AE2EAA">
        <w:trPr>
          <w:trHeight w:val="440"/>
        </w:trPr>
        <w:tc>
          <w:tcPr>
            <w:tcW w:w="699"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6290BA" w14:textId="77777777" w:rsidR="00AE2EAA" w:rsidRDefault="00AE2EAA" w:rsidP="00AE2EAA">
            <w:pPr>
              <w:widowControl w:val="0"/>
              <w:pBdr>
                <w:top w:val="nil"/>
                <w:left w:val="nil"/>
                <w:bottom w:val="nil"/>
                <w:right w:val="nil"/>
                <w:between w:val="nil"/>
              </w:pBdr>
              <w:spacing w:after="0"/>
              <w:rPr>
                <w:rFonts w:eastAsia="Times New Roman" w:cs="Times New Roman"/>
                <w:sz w:val="20"/>
                <w:szCs w:val="20"/>
              </w:rPr>
            </w:pPr>
          </w:p>
        </w:tc>
        <w:tc>
          <w:tcPr>
            <w:tcW w:w="9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56E1C5" w14:textId="77777777" w:rsidR="00AE2EAA" w:rsidRDefault="00AE2EAA" w:rsidP="00AE2EAA">
            <w:pPr>
              <w:spacing w:after="0" w:line="240" w:lineRule="auto"/>
              <w:rPr>
                <w:rFonts w:eastAsia="Times New Roman" w:cs="Times New Roman"/>
                <w:sz w:val="20"/>
                <w:szCs w:val="20"/>
              </w:rPr>
            </w:pPr>
            <w:r>
              <w:rPr>
                <w:rFonts w:eastAsia="Times New Roman" w:cs="Times New Roman"/>
                <w:color w:val="000000"/>
                <w:sz w:val="20"/>
                <w:szCs w:val="20"/>
              </w:rPr>
              <w:t>Subvenționat</w:t>
            </w:r>
          </w:p>
        </w:tc>
        <w:tc>
          <w:tcPr>
            <w:tcW w:w="11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20373B"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Nesubvenționat</w:t>
            </w:r>
          </w:p>
        </w:tc>
        <w:tc>
          <w:tcPr>
            <w:tcW w:w="10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F3A527"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Subvenționat</w:t>
            </w:r>
          </w:p>
        </w:tc>
        <w:tc>
          <w:tcPr>
            <w:tcW w:w="11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13B763"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Nesubvenționat</w:t>
            </w:r>
          </w:p>
        </w:tc>
        <w:tc>
          <w:tcPr>
            <w:tcW w:w="10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6F3238"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Subvenționat</w:t>
            </w:r>
          </w:p>
        </w:tc>
        <w:tc>
          <w:tcPr>
            <w:tcW w:w="11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E685B5"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Nesubvenționat</w:t>
            </w:r>
          </w:p>
        </w:tc>
        <w:tc>
          <w:tcPr>
            <w:tcW w:w="76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A431DD" w14:textId="77777777" w:rsidR="00AE2EAA" w:rsidRDefault="00AE2EAA" w:rsidP="00AE2EAA">
            <w:pPr>
              <w:widowControl w:val="0"/>
              <w:pBdr>
                <w:top w:val="nil"/>
                <w:left w:val="nil"/>
                <w:bottom w:val="nil"/>
                <w:right w:val="nil"/>
                <w:between w:val="nil"/>
              </w:pBdr>
              <w:spacing w:after="0"/>
              <w:rPr>
                <w:rFonts w:eastAsia="Times New Roman" w:cs="Times New Roman"/>
                <w:sz w:val="20"/>
                <w:szCs w:val="20"/>
              </w:rPr>
            </w:pPr>
          </w:p>
        </w:tc>
        <w:tc>
          <w:tcPr>
            <w:tcW w:w="936"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19E591" w14:textId="77777777" w:rsidR="00AE2EAA" w:rsidRDefault="00AE2EAA" w:rsidP="00AE2EAA">
            <w:pPr>
              <w:widowControl w:val="0"/>
              <w:pBdr>
                <w:top w:val="nil"/>
                <w:left w:val="nil"/>
                <w:bottom w:val="nil"/>
                <w:right w:val="nil"/>
                <w:between w:val="nil"/>
              </w:pBdr>
              <w:spacing w:after="0"/>
              <w:rPr>
                <w:rFonts w:eastAsia="Times New Roman" w:cs="Times New Roman"/>
                <w:sz w:val="20"/>
                <w:szCs w:val="20"/>
              </w:rPr>
            </w:pPr>
          </w:p>
        </w:tc>
      </w:tr>
      <w:tr w:rsidR="00AE2EAA" w14:paraId="10867B5B" w14:textId="77777777" w:rsidTr="00AE2EAA">
        <w:tc>
          <w:tcPr>
            <w:tcW w:w="6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920DA9"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2013</w:t>
            </w:r>
          </w:p>
        </w:tc>
        <w:tc>
          <w:tcPr>
            <w:tcW w:w="9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22BD06"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77827</w:t>
            </w:r>
          </w:p>
        </w:tc>
        <w:tc>
          <w:tcPr>
            <w:tcW w:w="11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BA649A"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33349</w:t>
            </w:r>
          </w:p>
        </w:tc>
        <w:tc>
          <w:tcPr>
            <w:tcW w:w="10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B21E1E"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25601</w:t>
            </w:r>
          </w:p>
        </w:tc>
        <w:tc>
          <w:tcPr>
            <w:tcW w:w="11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3A4B40"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1577</w:t>
            </w:r>
          </w:p>
        </w:tc>
        <w:tc>
          <w:tcPr>
            <w:tcW w:w="10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65B4BC"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11615</w:t>
            </w:r>
          </w:p>
        </w:tc>
        <w:tc>
          <w:tcPr>
            <w:tcW w:w="11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D36C02"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17759</w:t>
            </w:r>
          </w:p>
        </w:tc>
        <w:tc>
          <w:tcPr>
            <w:tcW w:w="7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E36F28"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5220</w:t>
            </w:r>
          </w:p>
        </w:tc>
        <w:tc>
          <w:tcPr>
            <w:tcW w:w="9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2C10A0"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172948</w:t>
            </w:r>
          </w:p>
        </w:tc>
      </w:tr>
      <w:tr w:rsidR="00AE2EAA" w14:paraId="61BDDF04" w14:textId="77777777" w:rsidTr="00AE2EAA">
        <w:tc>
          <w:tcPr>
            <w:tcW w:w="6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371280"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2018</w:t>
            </w:r>
          </w:p>
        </w:tc>
        <w:tc>
          <w:tcPr>
            <w:tcW w:w="9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CD7411"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49810</w:t>
            </w:r>
          </w:p>
        </w:tc>
        <w:tc>
          <w:tcPr>
            <w:tcW w:w="11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EA9987"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108</w:t>
            </w:r>
          </w:p>
        </w:tc>
        <w:tc>
          <w:tcPr>
            <w:tcW w:w="10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10925A"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15600</w:t>
            </w:r>
          </w:p>
        </w:tc>
        <w:tc>
          <w:tcPr>
            <w:tcW w:w="11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CB7D61"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1047</w:t>
            </w:r>
          </w:p>
        </w:tc>
        <w:tc>
          <w:tcPr>
            <w:tcW w:w="10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95E7A7"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10765</w:t>
            </w:r>
          </w:p>
        </w:tc>
        <w:tc>
          <w:tcPr>
            <w:tcW w:w="11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E4BD6B"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11087</w:t>
            </w:r>
          </w:p>
        </w:tc>
        <w:tc>
          <w:tcPr>
            <w:tcW w:w="7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43A436"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6461</w:t>
            </w:r>
          </w:p>
        </w:tc>
        <w:tc>
          <w:tcPr>
            <w:tcW w:w="9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FF8C80"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119419</w:t>
            </w:r>
          </w:p>
        </w:tc>
      </w:tr>
      <w:tr w:rsidR="00AE2EAA" w14:paraId="18AED816" w14:textId="77777777" w:rsidTr="00AE2EAA">
        <w:tc>
          <w:tcPr>
            <w:tcW w:w="6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219876"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2022</w:t>
            </w:r>
          </w:p>
        </w:tc>
        <w:tc>
          <w:tcPr>
            <w:tcW w:w="9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E2B1F2"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41355</w:t>
            </w:r>
          </w:p>
        </w:tc>
        <w:tc>
          <w:tcPr>
            <w:tcW w:w="11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D16AE6"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15759</w:t>
            </w:r>
          </w:p>
        </w:tc>
        <w:tc>
          <w:tcPr>
            <w:tcW w:w="10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FEFF86"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6621</w:t>
            </w:r>
          </w:p>
        </w:tc>
        <w:tc>
          <w:tcPr>
            <w:tcW w:w="11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9DAF32"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625</w:t>
            </w:r>
          </w:p>
        </w:tc>
        <w:tc>
          <w:tcPr>
            <w:tcW w:w="10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56B9C6"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8529</w:t>
            </w:r>
          </w:p>
        </w:tc>
        <w:tc>
          <w:tcPr>
            <w:tcW w:w="11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21CC01"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4159</w:t>
            </w:r>
          </w:p>
        </w:tc>
        <w:tc>
          <w:tcPr>
            <w:tcW w:w="7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9C0B7E"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20041</w:t>
            </w:r>
          </w:p>
        </w:tc>
        <w:tc>
          <w:tcPr>
            <w:tcW w:w="9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71C567" w14:textId="77777777" w:rsidR="00AE2EAA" w:rsidRDefault="00AE2EAA" w:rsidP="00154C5C">
            <w:pPr>
              <w:spacing w:after="0" w:line="240" w:lineRule="auto"/>
              <w:ind w:firstLine="0"/>
              <w:rPr>
                <w:rFonts w:eastAsia="Times New Roman" w:cs="Times New Roman"/>
                <w:sz w:val="20"/>
                <w:szCs w:val="20"/>
              </w:rPr>
            </w:pPr>
            <w:r>
              <w:rPr>
                <w:rFonts w:eastAsia="Times New Roman" w:cs="Times New Roman"/>
                <w:color w:val="000000"/>
                <w:sz w:val="20"/>
                <w:szCs w:val="20"/>
              </w:rPr>
              <w:t>97089</w:t>
            </w:r>
          </w:p>
        </w:tc>
      </w:tr>
    </w:tbl>
    <w:p w14:paraId="06A48B67" w14:textId="77777777" w:rsidR="00AE2EAA" w:rsidRDefault="00AE2EAA" w:rsidP="00AE2EAA"/>
    <w:p w14:paraId="09D00F9B" w14:textId="4674ED2D" w:rsidR="00154C5C" w:rsidRDefault="00154C5C" w:rsidP="00154C5C">
      <w:pPr>
        <w:pStyle w:val="Heading4"/>
      </w:pPr>
      <w:bookmarkStart w:id="97" w:name="_Toc169625141"/>
      <w:r>
        <w:t>2.4.8.4 Agricultura</w:t>
      </w:r>
      <w:bookmarkEnd w:id="97"/>
    </w:p>
    <w:p w14:paraId="0DF353C0" w14:textId="77777777" w:rsidR="00154C5C" w:rsidRDefault="00154C5C" w:rsidP="00154C5C">
      <w:pPr>
        <w:spacing w:after="0"/>
        <w:ind w:firstLine="567"/>
        <w:rPr>
          <w:rFonts w:eastAsia="Times New Roman" w:cs="Times New Roman"/>
        </w:rPr>
      </w:pPr>
      <w:r>
        <w:rPr>
          <w:rFonts w:eastAsia="Times New Roman" w:cs="Times New Roman"/>
        </w:rPr>
        <w:t>Agricultura este unul dintre cele mai importante sectoare economice din zona costieră, terenurile cultivate cu culturi agricole însumând o suprafață totală de 134.000 ha (37,55% din terenurile zonei costiere) conform datelor furnizate de JRC pentru anul 2018 (D`Andrimont și colab., 2021). Dintre acestea, suprafața cea mai mare o ocupă terenurilor ocupate cu culturi cerealiere, 42,8% din totalul terenurilor agricole, după care urmează terenurile acoperite cu vegetație ierboasă (24,6%), culturile oleaginoase (16,9 %) și plantațiile multianuale de pomi și arbuști fructiferi (13,8 %).</w:t>
      </w:r>
    </w:p>
    <w:p w14:paraId="4AE0A732" w14:textId="77777777" w:rsidR="00154C5C" w:rsidRDefault="00154C5C" w:rsidP="00154C5C">
      <w:pPr>
        <w:pBdr>
          <w:top w:val="nil"/>
          <w:left w:val="nil"/>
          <w:bottom w:val="nil"/>
          <w:right w:val="nil"/>
          <w:between w:val="nil"/>
        </w:pBdr>
        <w:spacing w:after="0"/>
        <w:ind w:firstLine="567"/>
        <w:rPr>
          <w:rFonts w:eastAsia="Times New Roman" w:cs="Times New Roman"/>
          <w:color w:val="000000"/>
        </w:rPr>
      </w:pPr>
      <w:r>
        <w:rPr>
          <w:rFonts w:eastAsia="Times New Roman" w:cs="Times New Roman"/>
          <w:color w:val="000000"/>
        </w:rPr>
        <w:t>Repartiția geografică a terenurilor cultivate nu este uniformă, cea mai mare parte a terenurilor cultivate fiind concentrate în partea sudică și centrală a zonei de studiu (peste 60 %). Suprafețele totale agricole la nivelul celor două județe din zona costieră au rămas relativ constante în ultimii ani. Totuși, referitor la categoriile de folosință, dacă în județul Constanța suprafețele au rămas constante pe categoriile de folosință cu destinație agricolă, respectiv arabil, pășuni, fânețe, vii și livezi, pentru județul Tulcea este observată o ușoară tendință de creștere la arabil, creștere realizată în detrimentul suprafețelor cu vii și livezi.</w:t>
      </w:r>
    </w:p>
    <w:p w14:paraId="277AF6B7" w14:textId="77777777" w:rsidR="00154C5C" w:rsidRDefault="00154C5C" w:rsidP="00154C5C">
      <w:pPr>
        <w:pBdr>
          <w:top w:val="nil"/>
          <w:left w:val="nil"/>
          <w:bottom w:val="nil"/>
          <w:right w:val="nil"/>
          <w:between w:val="nil"/>
        </w:pBdr>
        <w:spacing w:after="0"/>
        <w:ind w:firstLine="540"/>
        <w:rPr>
          <w:rFonts w:eastAsia="Times New Roman" w:cs="Times New Roman"/>
          <w:color w:val="000000"/>
        </w:rPr>
      </w:pPr>
      <w:r>
        <w:rPr>
          <w:rFonts w:eastAsia="Times New Roman" w:cs="Times New Roman"/>
          <w:color w:val="000000"/>
        </w:rPr>
        <w:t>Jumătatea sudică a litoralului se remarcă prin ponderi ridicate ale suprafețelor cultivate, valorile pot să ajungă la un maxim rural de 94,5 % (comuna 23 August), în timp ce valorile pentru mediul urban se încadrează în intervalul 45 % - 78 %. În același timp, cinci din șase orașe prezente în zona costieră se află aici. Chiar și în orașul Eforie, cea mai mică UAT din zonă, localizată, în cea mai mare parte, pe un grind care separă lacul Techirghiol de Marea Neagră, terenurile cultivate ocupă 45 % din suprafața administrativă.</w:t>
      </w:r>
    </w:p>
    <w:p w14:paraId="3357A43F" w14:textId="0EBBB995" w:rsidR="00154C5C" w:rsidRDefault="00154C5C" w:rsidP="00154C5C">
      <w:pPr>
        <w:pBdr>
          <w:top w:val="nil"/>
          <w:left w:val="nil"/>
          <w:bottom w:val="nil"/>
          <w:right w:val="nil"/>
          <w:between w:val="nil"/>
        </w:pBdr>
        <w:spacing w:after="0"/>
        <w:ind w:firstLine="540"/>
        <w:rPr>
          <w:rFonts w:eastAsia="Times New Roman" w:cs="Times New Roman"/>
          <w:color w:val="000000"/>
        </w:rPr>
      </w:pPr>
      <w:r>
        <w:rPr>
          <w:rFonts w:eastAsia="Times New Roman" w:cs="Times New Roman"/>
          <w:color w:val="000000"/>
        </w:rPr>
        <w:t>Jumătatea nordică cuprinde localități extinse, dar cu o pondere redusă a suprafețelor cultivate din cauza umidității excesive a Deltei Dunării. La nivelul județului Tulcea, în zona costieră sunt cinci comune și doar un oraș, iar valorile ponderii nu depășesc 46% pentru mediul rural și 6% pentru mediul urban (Sulina), peisajul specific Deltei Dunării limitând mult practicarea agriculturii în zonele înmlăștinite și acoperite cu ape (Fig. 2.4.8.4.1).</w:t>
      </w:r>
    </w:p>
    <w:p w14:paraId="4444CF97" w14:textId="77777777" w:rsidR="00154C5C" w:rsidRDefault="00154C5C" w:rsidP="00154C5C">
      <w:pPr>
        <w:spacing w:after="200"/>
        <w:ind w:firstLine="567"/>
        <w:jc w:val="center"/>
        <w:rPr>
          <w:rFonts w:eastAsia="Times New Roman" w:cs="Times New Roman"/>
        </w:rPr>
      </w:pPr>
      <w:r>
        <w:rPr>
          <w:rFonts w:eastAsia="Times New Roman" w:cs="Times New Roman"/>
          <w:noProof/>
        </w:rPr>
        <w:lastRenderedPageBreak/>
        <w:drawing>
          <wp:inline distT="0" distB="0" distL="0" distR="0" wp14:anchorId="273B0AB6" wp14:editId="179B063A">
            <wp:extent cx="4114800" cy="7860665"/>
            <wp:effectExtent l="0" t="0" r="0" b="6985"/>
            <wp:docPr id="214140193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9"/>
                    <a:srcRect/>
                    <a:stretch>
                      <a:fillRect/>
                    </a:stretch>
                  </pic:blipFill>
                  <pic:spPr>
                    <a:xfrm>
                      <a:off x="0" y="0"/>
                      <a:ext cx="4114800" cy="7860665"/>
                    </a:xfrm>
                    <a:prstGeom prst="rect">
                      <a:avLst/>
                    </a:prstGeom>
                    <a:ln/>
                  </pic:spPr>
                </pic:pic>
              </a:graphicData>
            </a:graphic>
          </wp:inline>
        </w:drawing>
      </w:r>
    </w:p>
    <w:p w14:paraId="1EDCB15E" w14:textId="314A9FE2" w:rsidR="00154C5C" w:rsidRDefault="00154C5C" w:rsidP="00154C5C">
      <w:pPr>
        <w:spacing w:after="200"/>
        <w:ind w:firstLine="567"/>
        <w:jc w:val="center"/>
        <w:rPr>
          <w:rFonts w:eastAsia="Times New Roman" w:cs="Times New Roman"/>
          <w:b/>
        </w:rPr>
      </w:pPr>
      <w:r>
        <w:rPr>
          <w:rFonts w:eastAsia="Times New Roman" w:cs="Times New Roman"/>
          <w:b/>
        </w:rPr>
        <w:t>Fig. 2.4.8.4.1. Principalele culturi agricole în zona costieră (sursă: D`Andrimont și colab., 2021)</w:t>
      </w:r>
    </w:p>
    <w:p w14:paraId="138D3101" w14:textId="77777777" w:rsidR="00154C5C" w:rsidRDefault="00154C5C" w:rsidP="00154C5C">
      <w:pPr>
        <w:pBdr>
          <w:top w:val="nil"/>
          <w:left w:val="nil"/>
          <w:bottom w:val="nil"/>
          <w:right w:val="nil"/>
          <w:between w:val="nil"/>
        </w:pBdr>
        <w:spacing w:before="0"/>
        <w:rPr>
          <w:rFonts w:eastAsia="Times New Roman" w:cs="Times New Roman"/>
          <w:color w:val="000000"/>
        </w:rPr>
      </w:pPr>
      <w:r>
        <w:rPr>
          <w:rFonts w:eastAsia="Times New Roman" w:cs="Times New Roman"/>
          <w:i/>
          <w:color w:val="000000"/>
        </w:rPr>
        <w:t>Culturi cerealiere</w:t>
      </w:r>
    </w:p>
    <w:p w14:paraId="2A9D9C47" w14:textId="77777777" w:rsidR="00154C5C" w:rsidRDefault="00154C5C" w:rsidP="00154C5C">
      <w:pPr>
        <w:pBdr>
          <w:top w:val="nil"/>
          <w:left w:val="nil"/>
          <w:bottom w:val="nil"/>
          <w:right w:val="nil"/>
          <w:between w:val="nil"/>
        </w:pBdr>
        <w:spacing w:before="0"/>
        <w:ind w:firstLine="700"/>
        <w:rPr>
          <w:rFonts w:eastAsia="Times New Roman" w:cs="Times New Roman"/>
          <w:color w:val="000000"/>
        </w:rPr>
      </w:pPr>
      <w:r>
        <w:rPr>
          <w:rFonts w:eastAsia="Times New Roman" w:cs="Times New Roman"/>
          <w:color w:val="000000"/>
        </w:rPr>
        <w:lastRenderedPageBreak/>
        <w:t>Culturile cerealiere se află pe primul loc dintre grupurile majore de plante cultivate în zonă, ocupând aproape 43 % din suprafața cultivată (57,3 mii ha) și 16 % din suprafața totală a zonei de studiu. Principalele culturi cultivate sunt grâul, porumbul și orzul.</w:t>
      </w:r>
    </w:p>
    <w:p w14:paraId="7B810A02" w14:textId="77777777" w:rsidR="00154C5C" w:rsidRDefault="00154C5C" w:rsidP="00154C5C">
      <w:pPr>
        <w:pBdr>
          <w:top w:val="nil"/>
          <w:left w:val="nil"/>
          <w:bottom w:val="nil"/>
          <w:right w:val="nil"/>
          <w:between w:val="nil"/>
        </w:pBdr>
        <w:spacing w:before="0"/>
        <w:ind w:firstLine="540"/>
        <w:rPr>
          <w:rFonts w:eastAsia="Times New Roman" w:cs="Times New Roman"/>
          <w:color w:val="000000"/>
        </w:rPr>
      </w:pPr>
      <w:r>
        <w:rPr>
          <w:rFonts w:eastAsia="Times New Roman" w:cs="Times New Roman"/>
          <w:color w:val="000000"/>
        </w:rPr>
        <w:t xml:space="preserve">Grâul, cu 39,5 mii ha, este o cultură cu dominație absolută: 69 % din suprafața terenurilor cultivate cu cereale și 29,5 % din suprafața totală cultivată. Comunele Corbu, Săcele și Murighiol dețin cele mai mare suprafețe cultivate cu grâu, de circa 4 mii ha. Cu ponderi ridicate în suprafața cultivată se remarcă orașul Techirghiol (peste 50 % din terenuri agricole sunt ocupate cu grâu), chiar dacă suprafața absolută nu este atât de mare (doar 1,2 mii ha). Tot cu un rol important în cultivarea grâului (cu ponderi peste 40 %) se remarcă comunele 23 August, Tuzla, Agigea, </w:t>
      </w:r>
      <w:sdt>
        <w:sdtPr>
          <w:tag w:val="goog_rdk_42"/>
          <w:id w:val="-1339692570"/>
        </w:sdtPr>
        <w:sdtContent>
          <w:r>
            <w:rPr>
              <w:rFonts w:eastAsia="Times New Roman" w:cs="Times New Roman"/>
              <w:color w:val="000000"/>
            </w:rPr>
            <w:t>Costinești</w:t>
          </w:r>
        </w:sdtContent>
      </w:sdt>
      <w:r>
        <w:rPr>
          <w:rFonts w:eastAsia="Times New Roman" w:cs="Times New Roman"/>
          <w:color w:val="000000"/>
        </w:rPr>
        <w:t xml:space="preserve"> și Istria. În celelalte localități suprafața terenurilor ocupate cu grâu variază între 12 și 770 ha, în timp ce ponderile acestei culturi în totalul terenurilor cultivate oscilează între 0,8 % și 8,4 %.</w:t>
      </w:r>
    </w:p>
    <w:p w14:paraId="2069F41A" w14:textId="77777777" w:rsidR="00154C5C" w:rsidRDefault="00154C5C" w:rsidP="00154C5C">
      <w:pPr>
        <w:pBdr>
          <w:top w:val="nil"/>
          <w:left w:val="nil"/>
          <w:bottom w:val="nil"/>
          <w:right w:val="nil"/>
          <w:between w:val="nil"/>
        </w:pBdr>
        <w:spacing w:before="0"/>
        <w:ind w:firstLine="700"/>
        <w:rPr>
          <w:rFonts w:eastAsia="Times New Roman" w:cs="Times New Roman"/>
          <w:color w:val="000000"/>
        </w:rPr>
      </w:pPr>
      <w:r>
        <w:rPr>
          <w:rFonts w:eastAsia="Times New Roman" w:cs="Times New Roman"/>
          <w:color w:val="000000"/>
        </w:rPr>
        <w:t>Porumbul, a două cereală ca importanță, ocupă 13,8 mii ha, ceea ce reprezintă aproximativ un sfert din suprafața cultivată cu cereale. Ca și în cazul grâului, comuna Murighiol se remarcă prin suprafețe și ponderi ridicate: 3,9 mii ha, respectiv 19,4 % din suprafața cultivată. La mare distanță urmează comunele Sf. Gheorghe, Jurilovca și C.A. Rosetti, cu suprafețe de 1,2-1,3 mii ha și cu ponderi de 10-13 %. Prin ponderi la fel de ridicate, dar cu suprafețe mult mai mici ies în evidență comuna Tuzla, orașul Năvodari și mun. Constanța. În celelalte localități suprafața terenurilor ocupate cu porumb variază între 22 ha și 3,3 mii ha, în timp ce ponderile acestei culturi în totalul terenurilor cultivate oscilează între 3,6 % și 36 %.</w:t>
      </w:r>
    </w:p>
    <w:p w14:paraId="1BC64936" w14:textId="77777777" w:rsidR="00154C5C" w:rsidRDefault="00154C5C" w:rsidP="00154C5C">
      <w:pPr>
        <w:pBdr>
          <w:top w:val="nil"/>
          <w:left w:val="nil"/>
          <w:bottom w:val="nil"/>
          <w:right w:val="nil"/>
          <w:between w:val="nil"/>
        </w:pBdr>
        <w:spacing w:before="0"/>
        <w:ind w:firstLine="540"/>
        <w:rPr>
          <w:rFonts w:eastAsia="Times New Roman" w:cs="Times New Roman"/>
          <w:color w:val="000000"/>
        </w:rPr>
      </w:pPr>
      <w:r>
        <w:rPr>
          <w:rFonts w:eastAsia="Times New Roman" w:cs="Times New Roman"/>
          <w:color w:val="000000"/>
        </w:rPr>
        <w:t>A treia cultură cerealieră majoră a zonei este orzul, care, însă, deține doar 7 % din suprafața cultivată cu cereale (circa 4 mii ha). Este o cultură importantă pentru partea nordică a zonei de studiu, comuna Mihai Viteazu deținând cele mai mari suprafețe (678 ha) și ponderi (7 %). Relativ aproape se situează comunele Corbu, Săcele, Jurilovca cu suprafețe de peste 450 ha și ponderi de peste 4,5 % din suprafața cultivată, fiecare. Tot aici poate fi încadrată și comuna Murighiol, care are o suprafață ocupată cu orz de peste 500 ha, cu toate că ponderea acestei culturi în totalul terenurilor cultivate este de 2 ori mai mică.</w:t>
      </w:r>
    </w:p>
    <w:p w14:paraId="20F36633" w14:textId="77777777" w:rsidR="00154C5C" w:rsidRDefault="00154C5C" w:rsidP="00154C5C">
      <w:pPr>
        <w:pBdr>
          <w:top w:val="nil"/>
          <w:left w:val="nil"/>
          <w:bottom w:val="nil"/>
          <w:right w:val="nil"/>
          <w:between w:val="nil"/>
        </w:pBdr>
        <w:spacing w:before="0"/>
        <w:rPr>
          <w:rFonts w:eastAsia="Times New Roman" w:cs="Times New Roman"/>
          <w:color w:val="000000"/>
        </w:rPr>
      </w:pPr>
      <w:r>
        <w:rPr>
          <w:rFonts w:eastAsia="Times New Roman" w:cs="Times New Roman"/>
          <w:i/>
          <w:color w:val="000000"/>
        </w:rPr>
        <w:t>Plante oleaginoase</w:t>
      </w:r>
    </w:p>
    <w:p w14:paraId="34A4743E" w14:textId="77777777" w:rsidR="00154C5C" w:rsidRDefault="00154C5C" w:rsidP="00154C5C">
      <w:pPr>
        <w:pBdr>
          <w:top w:val="nil"/>
          <w:left w:val="nil"/>
          <w:bottom w:val="nil"/>
          <w:right w:val="nil"/>
          <w:between w:val="nil"/>
        </w:pBdr>
        <w:spacing w:before="0"/>
        <w:ind w:firstLine="540"/>
        <w:rPr>
          <w:rFonts w:eastAsia="Times New Roman" w:cs="Times New Roman"/>
          <w:color w:val="000000"/>
        </w:rPr>
      </w:pPr>
      <w:r>
        <w:rPr>
          <w:rFonts w:eastAsia="Times New Roman" w:cs="Times New Roman"/>
          <w:color w:val="000000"/>
        </w:rPr>
        <w:t>Plantele oleaginoase ocupă locul trei printre plantele cultivate în zona de studiu, având o suprafață totală de 22,6 mii ha, ceea ce reprezintă 16,9 % din totalul terenurilor cultivate. Terenurile cultivate cu plante oleaginoase sunt împărțite între floarea soarelui și rapiță în proporție de 60% la 40%; a treia cultură oleaginoasă, soia, având o prezență nesemnificativă.</w:t>
      </w:r>
    </w:p>
    <w:p w14:paraId="240C2D77" w14:textId="77777777" w:rsidR="00154C5C" w:rsidRDefault="00154C5C" w:rsidP="00154C5C">
      <w:pPr>
        <w:pBdr>
          <w:top w:val="nil"/>
          <w:left w:val="nil"/>
          <w:bottom w:val="nil"/>
          <w:right w:val="nil"/>
          <w:between w:val="nil"/>
        </w:pBdr>
        <w:spacing w:before="0"/>
        <w:ind w:firstLine="540"/>
        <w:rPr>
          <w:rFonts w:eastAsia="Times New Roman" w:cs="Times New Roman"/>
          <w:color w:val="000000"/>
        </w:rPr>
      </w:pPr>
      <w:r>
        <w:rPr>
          <w:rFonts w:eastAsia="Times New Roman" w:cs="Times New Roman"/>
          <w:color w:val="000000"/>
        </w:rPr>
        <w:t>Floarea soarelui este cultivată pe 13,5 mii ha, cele mai extinse suprafețe ocupate cu floarea soarelui aflându-se în două zone: în jumătatea nordică (Murighiol, Corbu și Mihai Viteazu) cu suprafețe de la 1,1 la 2,4 mii ha și ponderi de 11 % din totalul cultivat al comunelor respective și în extremitatea sudică, la Limanu și 23 August (între 1,2 și 2,1 mii ha), prima comună având și ponderea cea mai mare, de 26 %. </w:t>
      </w:r>
    </w:p>
    <w:p w14:paraId="0238F7E4" w14:textId="77777777" w:rsidR="00154C5C" w:rsidRDefault="00154C5C" w:rsidP="00154C5C">
      <w:pPr>
        <w:pBdr>
          <w:top w:val="nil"/>
          <w:left w:val="nil"/>
          <w:bottom w:val="nil"/>
          <w:right w:val="nil"/>
          <w:between w:val="nil"/>
        </w:pBdr>
        <w:spacing w:before="0"/>
        <w:ind w:firstLine="540"/>
        <w:rPr>
          <w:rFonts w:eastAsia="Times New Roman" w:cs="Times New Roman"/>
          <w:color w:val="000000"/>
        </w:rPr>
      </w:pPr>
      <w:r>
        <w:rPr>
          <w:rFonts w:eastAsia="Times New Roman" w:cs="Times New Roman"/>
          <w:color w:val="000000"/>
        </w:rPr>
        <w:t xml:space="preserve">Rapița este cultura care câștigă tot mai mult teren, deținând o pondere de circa 7 % din totalul terenurilor cultivate, cu 9,1 mii ha. Această plantă este prezentă în toate cele 19 UAT-uri care fac parte din zona de studiu, însă concentrarea cea mai mare se remarcă într-o zonă </w:t>
      </w:r>
      <w:r>
        <w:rPr>
          <w:rFonts w:eastAsia="Times New Roman" w:cs="Times New Roman"/>
          <w:color w:val="000000"/>
        </w:rPr>
        <w:lastRenderedPageBreak/>
        <w:t>compactă în partea central-nordică a zonei, în comunele Săcele, Corbu, Mihai Viteazu și Istria (fiecare unitate având între 1,3 și 1,9 mii ha cultivate cu rapiță și ponderi de la 16 % la 19 % din suprafața cultivată).</w:t>
      </w:r>
    </w:p>
    <w:p w14:paraId="5E8A8825" w14:textId="77777777" w:rsidR="00154C5C" w:rsidRDefault="00154C5C" w:rsidP="00154C5C">
      <w:pPr>
        <w:pBdr>
          <w:top w:val="nil"/>
          <w:left w:val="nil"/>
          <w:bottom w:val="nil"/>
          <w:right w:val="nil"/>
          <w:between w:val="nil"/>
        </w:pBdr>
        <w:spacing w:before="0"/>
        <w:ind w:firstLine="540"/>
        <w:rPr>
          <w:rFonts w:eastAsia="Times New Roman" w:cs="Times New Roman"/>
          <w:color w:val="000000"/>
        </w:rPr>
      </w:pPr>
      <w:r>
        <w:rPr>
          <w:rFonts w:eastAsia="Times New Roman" w:cs="Times New Roman"/>
          <w:color w:val="000000"/>
        </w:rPr>
        <w:t>Soia nu ocupă nici măcar 3 ha în total, dar este prezentă în mai toate localitățile din zona de studiu. Circa 40% din toată soia cultivată în zonă îi revine comunei Murighiol.</w:t>
      </w:r>
    </w:p>
    <w:p w14:paraId="0395D4A1" w14:textId="77777777" w:rsidR="00154C5C" w:rsidRDefault="00154C5C" w:rsidP="00154C5C">
      <w:pPr>
        <w:pBdr>
          <w:top w:val="nil"/>
          <w:left w:val="nil"/>
          <w:bottom w:val="nil"/>
          <w:right w:val="nil"/>
          <w:between w:val="nil"/>
        </w:pBdr>
        <w:spacing w:before="0"/>
        <w:ind w:firstLine="540"/>
        <w:rPr>
          <w:rFonts w:eastAsia="Times New Roman" w:cs="Times New Roman"/>
          <w:color w:val="000000"/>
        </w:rPr>
      </w:pPr>
      <w:r>
        <w:rPr>
          <w:rFonts w:eastAsia="Times New Roman" w:cs="Times New Roman"/>
          <w:i/>
          <w:color w:val="000000"/>
        </w:rPr>
        <w:t>Terenuri cultivate cu alte culturi</w:t>
      </w:r>
    </w:p>
    <w:p w14:paraId="260ADF29" w14:textId="77777777" w:rsidR="00154C5C" w:rsidRDefault="00154C5C" w:rsidP="00154C5C">
      <w:pPr>
        <w:pBdr>
          <w:top w:val="nil"/>
          <w:left w:val="nil"/>
          <w:bottom w:val="nil"/>
          <w:right w:val="nil"/>
          <w:between w:val="nil"/>
        </w:pBdr>
        <w:spacing w:before="0"/>
        <w:ind w:firstLine="540"/>
        <w:rPr>
          <w:rFonts w:eastAsia="Times New Roman" w:cs="Times New Roman"/>
          <w:color w:val="000000"/>
        </w:rPr>
      </w:pPr>
      <w:r>
        <w:rPr>
          <w:rFonts w:eastAsia="Times New Roman" w:cs="Times New Roman"/>
          <w:color w:val="000000"/>
        </w:rPr>
        <w:t>Celelalte plante de cultură prezente în zonă (leguminoase boabe, plante tuberculifere, culturi industriale nepermanente și plante furajere) dețin cumulat o pondere de sub 2% din totalul suprafețelor cultivate. Ele sunt prezente în toate localitățile din zona de studiu, cu mici excepții.</w:t>
      </w:r>
    </w:p>
    <w:p w14:paraId="0A1FE3FE" w14:textId="77777777" w:rsidR="00154C5C" w:rsidRDefault="00154C5C" w:rsidP="00154C5C">
      <w:pPr>
        <w:pBdr>
          <w:top w:val="nil"/>
          <w:left w:val="nil"/>
          <w:bottom w:val="nil"/>
          <w:right w:val="nil"/>
          <w:between w:val="nil"/>
        </w:pBdr>
        <w:spacing w:before="0"/>
        <w:ind w:firstLine="540"/>
        <w:rPr>
          <w:rFonts w:eastAsia="Times New Roman" w:cs="Times New Roman"/>
          <w:color w:val="000000"/>
        </w:rPr>
      </w:pPr>
      <w:r>
        <w:rPr>
          <w:rFonts w:eastAsia="Times New Roman" w:cs="Times New Roman"/>
          <w:color w:val="000000"/>
        </w:rPr>
        <w:t xml:space="preserve">Terenurile acoperite cu </w:t>
      </w:r>
      <w:r>
        <w:rPr>
          <w:rFonts w:eastAsia="Times New Roman" w:cs="Times New Roman"/>
          <w:i/>
          <w:color w:val="000000"/>
        </w:rPr>
        <w:t>vegetație ierboasă</w:t>
      </w:r>
      <w:r>
        <w:rPr>
          <w:rFonts w:eastAsia="Times New Roman" w:cs="Times New Roman"/>
          <w:color w:val="000000"/>
        </w:rPr>
        <w:t xml:space="preserve">, cu 33 mii ha și un sfert din suprafețele de cultură, reprezintă a doua mare categorie de terenuri cultivate, după cereale. Delta Dunării furnizează cele mai extinse suprafețe din această categorie și cele mai mari ponderi. Mai mult de jumătate din terenurile cultivate se află în Sulina și în comunele C.A. Rosetti și Sf. Gheorghe. Aceste comune, la care se adaugă și Murighiol, se remarcă și prin valori absolute mari, de la 4,9 la 7,1 mii ha. Și celelalte localități din partea nordică a zonei de studiu (Jurilovca, Mihai Viteazu, Istria, </w:t>
      </w:r>
      <w:sdt>
        <w:sdtPr>
          <w:tag w:val="goog_rdk_43"/>
          <w:id w:val="-1916232516"/>
        </w:sdtPr>
        <w:sdtContent>
          <w:r>
            <w:rPr>
              <w:rFonts w:eastAsia="Times New Roman" w:cs="Times New Roman"/>
              <w:color w:val="000000"/>
            </w:rPr>
            <w:t>Săcele</w:t>
          </w:r>
        </w:sdtContent>
      </w:sdt>
      <w:r>
        <w:rPr>
          <w:rFonts w:eastAsia="Times New Roman" w:cs="Times New Roman"/>
          <w:color w:val="000000"/>
        </w:rPr>
        <w:t>, Corbu) înregistrează valorile superioare ale acestei categorii de terenuri, deși, procentul relativ poate să varieze destul de mult, de la 35% la Jurilovca la 12% la Corbu. În jumătatea sudică a zonei aceste suprafețe sunt mai mici atât ca suprafață, cât și ca pondere. De remarcat că în municipiul Constanța vegetația ierboasă joacă un rol destul de semnificativ, ocupând 1,2 mii ha și deținând o pondere de 16,7% din totalul terenurilor cultivate.</w:t>
      </w:r>
    </w:p>
    <w:p w14:paraId="047A2E51" w14:textId="77777777" w:rsidR="00154C5C" w:rsidRDefault="00154C5C" w:rsidP="00154C5C">
      <w:pPr>
        <w:pBdr>
          <w:top w:val="nil"/>
          <w:left w:val="nil"/>
          <w:bottom w:val="nil"/>
          <w:right w:val="nil"/>
          <w:between w:val="nil"/>
        </w:pBdr>
        <w:spacing w:before="0"/>
        <w:ind w:firstLine="540"/>
        <w:rPr>
          <w:rFonts w:eastAsia="Times New Roman" w:cs="Times New Roman"/>
          <w:color w:val="000000"/>
        </w:rPr>
      </w:pPr>
      <w:r>
        <w:rPr>
          <w:rFonts w:eastAsia="Times New Roman" w:cs="Times New Roman"/>
          <w:i/>
          <w:color w:val="000000"/>
        </w:rPr>
        <w:t xml:space="preserve">Plantațiile multianuale de pomi și arbuști fructiferi </w:t>
      </w:r>
      <w:r>
        <w:rPr>
          <w:rFonts w:eastAsia="Times New Roman" w:cs="Times New Roman"/>
          <w:color w:val="000000"/>
        </w:rPr>
        <w:t>ocupă un loc important în peisajul agricol al zonei de studiu, cu o suprafață de 18,5 mii ha și o pondere de 13,8% din suprafața cultivată. Repartizarea geografică scoate în evidență concentrarea acestor plantații în partea de nord a zonei, comunele din zona Deltei Dunării deținând suprafețe semnificative, care pot să depășească 3 mii ha (C.A. Rosetti și Murighiol) sau cu ponderi de peste 20 % (Sf. Gheorghe și Sulina). De remarcat că ambele municipii (Constanța și Mangalia) dețin atât suprafețe (1,9 și 1,2 mii ha), cât și ponderi semnificative de plantații multianuale (26-28 %).</w:t>
      </w:r>
    </w:p>
    <w:p w14:paraId="5E4F7EE3" w14:textId="77777777" w:rsidR="00154C5C" w:rsidRDefault="00154C5C" w:rsidP="00154C5C">
      <w:pPr>
        <w:spacing w:before="0"/>
        <w:ind w:firstLine="567"/>
        <w:rPr>
          <w:rFonts w:eastAsia="Times New Roman" w:cs="Times New Roman"/>
        </w:rPr>
      </w:pPr>
      <w:r>
        <w:rPr>
          <w:rFonts w:eastAsia="Times New Roman" w:cs="Times New Roman"/>
        </w:rPr>
        <w:t xml:space="preserve">Având în vedere, ponderea mare a acestui sector în economia UAT-urilor din zona costieră, agricultura şi zootehnia reprezintă unele dintre cele mai importante surse difuze de introducere a materiei organice, compușilor cu azot și fosfor, contaminanți în sol, subsol şi ape, în special în partea sudică a zonei de studiu. Practicile agricole defectuoase, monocultura fiind pe primul loc, influențează negativ atât calitatea solurilor, cât și calitatea apelor de suprafața și subterane prin utilizarea excesivă de substanțe chimice (fertilizanți și pesticide). Suprafețele de pajiști naturale acoperite cu vegetație ierboasă, caracteristică zonei de stepă, cu valoare furajeră mediocră și ponderea redusă a culturilor furajere trădează predominanța sistemelor de creștere extensivă a animalelor, practică ce poate avea un impact major asupra solului prin distrugerea covorului vegetal și declanșarea proceselor erozionale. </w:t>
      </w:r>
    </w:p>
    <w:p w14:paraId="2AC3C3C6" w14:textId="77777777" w:rsidR="00154C5C" w:rsidRDefault="00154C5C" w:rsidP="00154C5C">
      <w:pPr>
        <w:spacing w:before="0"/>
        <w:ind w:firstLine="567"/>
        <w:rPr>
          <w:rFonts w:eastAsia="Times New Roman" w:cs="Times New Roman"/>
        </w:rPr>
      </w:pPr>
      <w:r>
        <w:rPr>
          <w:rFonts w:eastAsia="Times New Roman" w:cs="Times New Roman"/>
        </w:rPr>
        <w:t xml:space="preserve">Principalele amenințări pentru agricultură în Dobrogea, deci și în zona de studiu, sunt seceta și aridizarea. Prin urmare, obținerea unor producții satisfăcătoare este dependentă în </w:t>
      </w:r>
      <w:r>
        <w:rPr>
          <w:rFonts w:eastAsia="Times New Roman" w:cs="Times New Roman"/>
        </w:rPr>
        <w:lastRenderedPageBreak/>
        <w:t>primul rând de irigaţii. Statistic, peste 70 % din suprafaţa agricolă este amenajată pentru irigaţii, dar numai 10 % din aceasta se poate iriga efectiv, astfel încât se ajunge la o suprafață mare de terenurii agricole calamitată din cauza secetei. Așadar, este imperios necesară extinderea urgentă a irigațiilor, asigurarea necesarului de apă fiind una dintre măsurile de primă importanță pentru atingerea potențialului productiv maxim pentru majoritatea culturilor. Totuși, în condițiile secetei tot mai accentuate și sursele de apă pentru irigații se reduc, astfel încât extinderea și îmbunătățirea sistemului de irigații reprezintă o soluție parțială și destul de costisitoare.</w:t>
      </w:r>
    </w:p>
    <w:p w14:paraId="333A5FB1" w14:textId="77777777" w:rsidR="00154C5C" w:rsidRDefault="00154C5C" w:rsidP="00154C5C">
      <w:pPr>
        <w:spacing w:before="0"/>
        <w:ind w:firstLine="567"/>
        <w:rPr>
          <w:rFonts w:eastAsia="Times New Roman" w:cs="Times New Roman"/>
        </w:rPr>
      </w:pPr>
      <w:r>
        <w:rPr>
          <w:rFonts w:eastAsia="Times New Roman" w:cs="Times New Roman"/>
        </w:rPr>
        <w:t>Dezvoltarea unei “agriculturi inteligente” este o necesitate pentru dezvoltarea în continuare a acestui sector. Aplicarea pe scară mai largă a diversificării producției agricole este de asemenea necesară pentru a combate efectele secetei, permițând anumitor culturi să evite perioadele de vreme caldă sau uscată în fazele lor cele mai sensibile. Un astfel de exemplu ar fi înlocuirea porumbului cu sorgul, ale cărui cerințe totale de apă sunt mai puțin constrângătoare. De asemenea, creșterea utilizării științei și tehnologiei sunt esențiale. Creșterea capacității de monitorizare a condițiilor meteo la o scară cât mai redusă (local) și integrarea datelor în diverse sisteme de modelare, prognoză poate oferi fermierilor recomandări de irigare și fertilizare până la recoltare.</w:t>
      </w:r>
    </w:p>
    <w:p w14:paraId="6175DE31" w14:textId="77777777" w:rsidR="00154C5C" w:rsidRDefault="00154C5C" w:rsidP="00154C5C">
      <w:pPr>
        <w:spacing w:before="0"/>
        <w:ind w:firstLine="567"/>
        <w:rPr>
          <w:rFonts w:eastAsia="Times New Roman" w:cs="Times New Roman"/>
        </w:rPr>
      </w:pPr>
      <w:r>
        <w:rPr>
          <w:rFonts w:eastAsia="Times New Roman" w:cs="Times New Roman"/>
        </w:rPr>
        <w:t>O altă problemă, de data aceasta referitoare la calitatea producției agricole, este dezvoltarea insuficientă a agriculturii ecologice în zona costieră, în special în sectorul sudic al zonei costiere. Dezvoltarea acestora ar putea contribui și la dezvoltarea turismului (prin integrarea produselor eco/agricultură ecologică în dezvoltarea sustenabilă a turismului).</w:t>
      </w:r>
    </w:p>
    <w:p w14:paraId="01D9F64A" w14:textId="0DA1BDB6" w:rsidR="00154C5C" w:rsidRDefault="00154C5C" w:rsidP="00154C5C">
      <w:pPr>
        <w:pStyle w:val="Heading4"/>
      </w:pPr>
      <w:bookmarkStart w:id="98" w:name="_Toc169625142"/>
      <w:r>
        <w:t>2.4.8.5 Industrie</w:t>
      </w:r>
      <w:bookmarkEnd w:id="98"/>
    </w:p>
    <w:p w14:paraId="21CA2B5C" w14:textId="77777777" w:rsidR="00154C5C" w:rsidRDefault="00154C5C" w:rsidP="00154C5C">
      <w:pPr>
        <w:spacing w:before="0"/>
        <w:ind w:firstLine="567"/>
        <w:rPr>
          <w:rFonts w:eastAsia="Times New Roman" w:cs="Times New Roman"/>
        </w:rPr>
      </w:pPr>
      <w:r>
        <w:rPr>
          <w:rFonts w:eastAsia="Times New Roman" w:cs="Times New Roman"/>
        </w:rPr>
        <w:t xml:space="preserve">Activitatea industrială în zone costieră se focalizează în partea sa sudică, în partea nordică, aferentă județului Tulcea, fiind nesemnificativă. </w:t>
      </w:r>
    </w:p>
    <w:p w14:paraId="63EE1DEC" w14:textId="77777777" w:rsidR="00154C5C" w:rsidRDefault="00154C5C" w:rsidP="00154C5C">
      <w:pPr>
        <w:spacing w:before="0"/>
        <w:ind w:firstLine="567"/>
        <w:rPr>
          <w:rFonts w:eastAsia="Times New Roman" w:cs="Times New Roman"/>
        </w:rPr>
      </w:pPr>
      <w:r>
        <w:rPr>
          <w:rFonts w:eastAsia="Times New Roman" w:cs="Times New Roman"/>
        </w:rPr>
        <w:t>Principalele ramuri industriale, potențial generatoare de impact asupra componentelor mediului și bunăstării comunității costiere sunt industria petrochimică, industria extractivă, construcții și întreținere de nave, industria materialelor de construcții și industria alimentară.</w:t>
      </w:r>
    </w:p>
    <w:p w14:paraId="40FECBBD" w14:textId="77777777" w:rsidR="00154C5C" w:rsidRDefault="00154C5C" w:rsidP="00154C5C">
      <w:pPr>
        <w:spacing w:before="0"/>
        <w:ind w:firstLine="567"/>
        <w:rPr>
          <w:rFonts w:eastAsia="Times New Roman" w:cs="Times New Roman"/>
        </w:rPr>
      </w:pPr>
      <w:r>
        <w:rPr>
          <w:rFonts w:eastAsia="Times New Roman" w:cs="Times New Roman"/>
        </w:rPr>
        <w:t xml:space="preserve">Activitatea industrială în zone costieră se focalizează în partea sa sudică, în partea nordică, aferentă județului Tulcea, fiind nesemnificativă. Principalele ramuri industriale, potențial generatoare de impact asupra componentelor mediului și bunăstării comunității costiere sunt industria petrochimică, industria extractivă și cea de construcții și întreținere de nave. </w:t>
      </w:r>
    </w:p>
    <w:p w14:paraId="09DAE5CF" w14:textId="77777777" w:rsidR="00154C5C" w:rsidRDefault="00154C5C" w:rsidP="00154C5C">
      <w:pPr>
        <w:spacing w:before="0"/>
        <w:rPr>
          <w:rFonts w:eastAsia="Times New Roman" w:cs="Times New Roman"/>
          <w:i/>
        </w:rPr>
      </w:pPr>
      <w:r>
        <w:rPr>
          <w:rFonts w:eastAsia="Times New Roman" w:cs="Times New Roman"/>
          <w:i/>
        </w:rPr>
        <w:t>Industria petrochimică</w:t>
      </w:r>
    </w:p>
    <w:p w14:paraId="2DAEE901" w14:textId="77777777" w:rsidR="00154C5C" w:rsidRDefault="00154C5C" w:rsidP="00154C5C">
      <w:pPr>
        <w:spacing w:before="0"/>
        <w:ind w:firstLine="567"/>
        <w:rPr>
          <w:rFonts w:eastAsia="Times New Roman" w:cs="Times New Roman"/>
        </w:rPr>
      </w:pPr>
      <w:r>
        <w:rPr>
          <w:rFonts w:eastAsia="Times New Roman" w:cs="Times New Roman"/>
        </w:rPr>
        <w:t xml:space="preserve">Rompetrol Rafinare SA, companie membră a Grupului KMG International, realizează operațiuni de producție produse petroliere și petrochimice, în zona costieră, în următoarele unități: Rafinăria Petromidia (benzină, motorină, combustibil pentru avioane) și Uzina Petrochimică (HDPE, LDPE, PP). </w:t>
      </w:r>
    </w:p>
    <w:p w14:paraId="2A2D84AF" w14:textId="77777777" w:rsidR="00154C5C" w:rsidRDefault="00154C5C" w:rsidP="00154C5C">
      <w:pPr>
        <w:spacing w:before="0"/>
        <w:ind w:firstLine="567"/>
        <w:rPr>
          <w:rFonts w:eastAsia="Times New Roman" w:cs="Times New Roman"/>
        </w:rPr>
      </w:pPr>
      <w:r>
        <w:rPr>
          <w:rFonts w:eastAsia="Times New Roman" w:cs="Times New Roman"/>
        </w:rPr>
        <w:t xml:space="preserve">Rafinăria Petromidia, cea mai mare rafinărie din România și una dintre cele mai moderne rafinării din sud-estul Europei, este poziționată strategic pe malul Mării Negre în Năvodari, la 20 km spre nord de Portul Constanța și prezintă o serie de avantaje logistice, precum, propriul </w:t>
      </w:r>
      <w:r>
        <w:rPr>
          <w:rFonts w:eastAsia="Times New Roman" w:cs="Times New Roman"/>
        </w:rPr>
        <w:lastRenderedPageBreak/>
        <w:t xml:space="preserve">terminal marin, facilități în Portul Midia, propriul sistem logistic pe cale ferată și acces la Canalul Dunăre-Marea Neagră. Producția realizată de Rafinăria Petromidia în 2021, deși afectată serios de incendiul major din iulie 2021, s-a ridicat la 1,13 milioane de tone de benzină și aproape 2,5 milioane de tone de motorină și combustibil special pentru aviație. </w:t>
      </w:r>
    </w:p>
    <w:p w14:paraId="2F4805B1" w14:textId="77777777" w:rsidR="00154C5C" w:rsidRDefault="00154C5C" w:rsidP="00154C5C">
      <w:pPr>
        <w:spacing w:before="0"/>
        <w:ind w:firstLine="567"/>
        <w:rPr>
          <w:rFonts w:eastAsia="Times New Roman" w:cs="Times New Roman"/>
        </w:rPr>
      </w:pPr>
      <w:r>
        <w:rPr>
          <w:rFonts w:eastAsia="Times New Roman" w:cs="Times New Roman"/>
        </w:rPr>
        <w:t xml:space="preserve">Uzina Petrochimică este singurul producător român de poliolefine și a crescut în mod constant cota de piață pe aceste segmente de produse. În cadrul acestei divizii funcționează instalația de polipropilenă (capacitate de 90 ktone/an), instalația de polietilenă de înaltă densitate (capacitate de 70 ktone/an) și instalația de polietilenă de joasă densitate (capacitate de 60 ktone/an). </w:t>
      </w:r>
    </w:p>
    <w:p w14:paraId="790F2227" w14:textId="77777777" w:rsidR="00154C5C" w:rsidRDefault="00154C5C" w:rsidP="00154C5C">
      <w:pPr>
        <w:spacing w:before="0"/>
        <w:ind w:firstLine="567"/>
        <w:rPr>
          <w:rFonts w:eastAsia="Times New Roman" w:cs="Times New Roman"/>
        </w:rPr>
      </w:pPr>
      <w:r>
        <w:rPr>
          <w:rFonts w:eastAsia="Times New Roman" w:cs="Times New Roman"/>
        </w:rPr>
        <w:t>În ceea ce privește producția Uzinei Petrochimice, producția totală de polimeri a fost de 106 mii tone în 2021, în scădere cu 26% față de 2020, din cauza nefuncționării instalațiilor de polimeri în perioada iulie-septembrie 2021 (lipsa materiei prime necesare). Cu toate acestea, compania a reușit să proceseze un total de 110 mii tone de propilenă, un nivel similar cu cel din 2020. Din producția totală de polimeri, 70.173 de tone au fost polipropilenă (PP), iar 35.994 de tone au fost polietilenă de joasă densitate (LDPE) (KMG International NV, 2021).</w:t>
      </w:r>
    </w:p>
    <w:p w14:paraId="549E1D9D" w14:textId="77777777" w:rsidR="00154C5C" w:rsidRDefault="00154C5C" w:rsidP="00154C5C">
      <w:pPr>
        <w:spacing w:before="0"/>
        <w:ind w:firstLine="567"/>
        <w:rPr>
          <w:rFonts w:eastAsia="Times New Roman" w:cs="Times New Roman"/>
          <w:i/>
        </w:rPr>
      </w:pPr>
      <w:r>
        <w:rPr>
          <w:rFonts w:eastAsia="Times New Roman" w:cs="Times New Roman"/>
          <w:i/>
        </w:rPr>
        <w:t>Construcții și reparații nave</w:t>
      </w:r>
    </w:p>
    <w:p w14:paraId="50E2FC28" w14:textId="77777777" w:rsidR="00154C5C" w:rsidRDefault="00154C5C" w:rsidP="00154C5C">
      <w:pPr>
        <w:spacing w:before="0"/>
        <w:ind w:firstLine="567"/>
        <w:rPr>
          <w:rFonts w:eastAsia="Times New Roman" w:cs="Times New Roman"/>
        </w:rPr>
      </w:pPr>
      <w:r>
        <w:rPr>
          <w:rFonts w:eastAsia="Times New Roman" w:cs="Times New Roman"/>
        </w:rPr>
        <w:t>Șantierul Naval Constanța (SNC) este unul dintre cele mai mari șantiere de construcții, reparații și conversii nave din Europa și prezintă avantajul accesibilității atât pe cale maritimă prin Strâmtoarea Bosfor, cât și pe apele interioare prin Canalul Dunăre–Marea Neagră. SNC este principalul șantier de reparații și proiecte conversie din Marea Mediterană si Marea Neagră, fiind singura alternativă pentru andocarea navelor de tip Suezmax și Capesize din zona Mării Negre. Având facilități de andocare pentru orice tip de navă de capacitate maximă 200.000 tdw, SNC a efectuat reparații la peste 5.000 nave, cu o medie anuala de 80-100 proiecte. Principalii indicatori economici ai SNC, pentru perioada 2018-2022, arată o creștere atât a profitului net, cât și a cifrei de afaceri, în timp ce numărul angajaților prezintă o tendință de scădere.</w:t>
      </w:r>
    </w:p>
    <w:p w14:paraId="2EF0687E" w14:textId="77777777" w:rsidR="00154C5C" w:rsidRDefault="00154C5C" w:rsidP="00154C5C">
      <w:pPr>
        <w:spacing w:before="0"/>
        <w:ind w:firstLine="567"/>
        <w:rPr>
          <w:rFonts w:eastAsia="Times New Roman" w:cs="Times New Roman"/>
        </w:rPr>
      </w:pPr>
      <w:r>
        <w:rPr>
          <w:rFonts w:eastAsia="Times New Roman" w:cs="Times New Roman"/>
        </w:rPr>
        <w:t xml:space="preserve">Șantierul Naval Damen Mangalia este o societate în participație între Damen și Guvernul României, cu Damen responsabil de managementul operațional al șantierului. Mangalia este cel mai mare șantier naval din portofoliul Damen, ocupând o suprafață totală de circa 1.000.000 m2 și are 1590 de metri de cheuri. Dispune de trei docuri uscate cu dimensiuni de 302 m/48 m (adâncime de 9m), 322 m / 48 m (adâncime de 9m), 360 m / 60 m (adâncime de 13m) și de o linie de dană lungă, circa 1,6 km lungime totală și adâncime de 7,59 m. Toate acestea, împreună cu alte facilități, fac posibilă realizarea unei game largi de activități pentru toate tipurile de proiecte de reparații și conversie a navelor, de la întreținere de rutină la conversii majore pentru nave de până la 250.000 tdw. Principalii indicatori economici indică o creștere semnificativă atât a cifrei de afaceri, cât și a profitului în 2021, comparativ cu anii precedenți. </w:t>
      </w:r>
    </w:p>
    <w:p w14:paraId="57E57B12" w14:textId="77777777" w:rsidR="00154C5C" w:rsidRDefault="00154C5C" w:rsidP="00154C5C">
      <w:pPr>
        <w:spacing w:before="0"/>
        <w:ind w:firstLine="567"/>
        <w:rPr>
          <w:rFonts w:eastAsia="Times New Roman" w:cs="Times New Roman"/>
        </w:rPr>
      </w:pPr>
      <w:r>
        <w:rPr>
          <w:rFonts w:eastAsia="Times New Roman" w:cs="Times New Roman"/>
        </w:rPr>
        <w:t xml:space="preserve">Șantierul Naval Mangalia S.A a fost până în 2001 o sucursală a filialei S.C. “Arsenal” S.A., a Companiei Naţionale “Romarm” S.A., fără personalitate juridică. În anul 2001, se înființează S.C Șantierul Naval Mangalia S.A, persoană juridică română, sub autoritatea Ministerului Industriei și Resurselor. Analiza principalilor indicatori economici pentru perioada 2018-2021 arată o creșterea considerabilă a cifrei de afaceri și o scădere semnificativă a </w:t>
      </w:r>
      <w:r>
        <w:rPr>
          <w:rFonts w:eastAsia="Times New Roman" w:cs="Times New Roman"/>
        </w:rPr>
        <w:lastRenderedPageBreak/>
        <w:t>pierderilor în 2021. Principala explicație constă în faptul că societatea Șantierul Naval Mangalia S.A. a implementat în 2020 un amplu „Plan de reorganizare și restructurare în vederea restructurării obligațiilor bugetare restante ale societății către ANAF în conformitate cu prevederile Ordonanței Guvernului nr. 6/2019”, ce a inclus, pe lângă măsuri de restructurare a arieratelor societății, și măsuri de retehnologizare și reabilitare a unor capacități de producție existente.</w:t>
      </w:r>
    </w:p>
    <w:p w14:paraId="19AF3E74" w14:textId="77777777" w:rsidR="00154C5C" w:rsidRDefault="00154C5C" w:rsidP="00154C5C">
      <w:pPr>
        <w:spacing w:before="0"/>
        <w:rPr>
          <w:rFonts w:eastAsia="Times New Roman" w:cs="Times New Roman"/>
          <w:i/>
        </w:rPr>
      </w:pPr>
      <w:r>
        <w:rPr>
          <w:rFonts w:eastAsia="Times New Roman" w:cs="Times New Roman"/>
          <w:i/>
        </w:rPr>
        <w:t>Industria extractivă</w:t>
      </w:r>
    </w:p>
    <w:p w14:paraId="72FBA49B" w14:textId="77777777" w:rsidR="00154C5C" w:rsidRDefault="00154C5C" w:rsidP="00154C5C">
      <w:pPr>
        <w:spacing w:before="0"/>
        <w:ind w:firstLine="567"/>
        <w:rPr>
          <w:rFonts w:eastAsia="Times New Roman" w:cs="Times New Roman"/>
        </w:rPr>
      </w:pPr>
      <w:r>
        <w:rPr>
          <w:rFonts w:eastAsia="Times New Roman" w:cs="Times New Roman"/>
        </w:rPr>
        <w:t xml:space="preserve">În prezent, în zona de studiu, există două licențe active de concesiune pentru </w:t>
      </w:r>
      <w:r>
        <w:rPr>
          <w:rFonts w:eastAsia="Times New Roman" w:cs="Times New Roman"/>
          <w:u w:val="single"/>
        </w:rPr>
        <w:t>exploatare a calcarului industrial și de construcți</w:t>
      </w:r>
      <w:r>
        <w:rPr>
          <w:rFonts w:eastAsia="Times New Roman" w:cs="Times New Roman"/>
        </w:rPr>
        <w:t>i, deținute de către CEMART INVEST SRL (Corbu) și ROMCIM SA (Tașaul-Luminița) (https://www.namr.ro/minning-law/working-licenses-permits/). Pe lângă acestea, în zona costieră este activ, în prezent, un singur permis de exploatare a calcarului industrial și pentru construcții, deținut de CELCO SA. Aceasta a investit, începând cu 2012, într-o carieră de piatră, situată în comuna Corbu, dotată cu utilaje performante, specializate în extracția, concasarea și sortarea pietrei de calcar. Capacitatea anuală de producție a carierei CELCO este de 55.000 tone/an. În prezent, societatea CELCO derulează un proiect de dezvoltarea a unei noi cariere de calcar (suprafață de 164.000 m</w:t>
      </w:r>
      <w:r>
        <w:rPr>
          <w:rFonts w:eastAsia="Times New Roman" w:cs="Times New Roman"/>
          <w:vertAlign w:val="superscript"/>
        </w:rPr>
        <w:t>2</w:t>
      </w:r>
      <w:r>
        <w:rPr>
          <w:rFonts w:eastAsia="Times New Roman" w:cs="Times New Roman"/>
        </w:rPr>
        <w:t xml:space="preserve">), pe un teren aflat în vecinătatea actualei cariere, în exploatare. </w:t>
      </w:r>
    </w:p>
    <w:p w14:paraId="3AE6BE8D" w14:textId="77777777" w:rsidR="00154C5C" w:rsidRDefault="00154C5C" w:rsidP="00154C5C">
      <w:pPr>
        <w:spacing w:before="0"/>
        <w:ind w:firstLine="567"/>
        <w:rPr>
          <w:rFonts w:eastAsia="Times New Roman" w:cs="Times New Roman"/>
        </w:rPr>
      </w:pPr>
      <w:r>
        <w:rPr>
          <w:rFonts w:eastAsia="Times New Roman" w:cs="Times New Roman"/>
          <w:u w:val="single"/>
        </w:rPr>
        <w:t>Extragerea de nisip din mare</w:t>
      </w:r>
      <w:r>
        <w:rPr>
          <w:rFonts w:eastAsia="Times New Roman" w:cs="Times New Roman"/>
        </w:rPr>
        <w:t xml:space="preserve"> nu este o activitate cu caracter permanent în zona costieră, această activitate fiind determinată de implementarea Master Planului “Protecția și Reabilitarea Zonei Costiere”. Companiile contractate pentru executarea lucrărilor de înnisipare pe sectoarele de plajă prevăzute în proiecte sunt diferite, pe parcursul ultimilor ani numărul și deținătoarii licențelor de exploatare a nisipului s-au schimbat. În prezent, sunt valabile trei permise de exploatare a nisipului din Marea Neagră, deținute de compania Van Oord Dredging and Marine Contractors BV Rotterdam, pentru perimetrele Van Oord 1, Van Oord 4 și Van Oord 5 (https://www.namr.ro/wp-content/uploads/2023/03/permise_exploatare_14_03_2023.pdf).</w:t>
      </w:r>
    </w:p>
    <w:p w14:paraId="412904F5" w14:textId="77777777" w:rsidR="00154C5C" w:rsidRDefault="00154C5C" w:rsidP="00154C5C">
      <w:pPr>
        <w:spacing w:before="0"/>
        <w:ind w:firstLine="567"/>
        <w:rPr>
          <w:rFonts w:eastAsia="Times New Roman" w:cs="Times New Roman"/>
        </w:rPr>
      </w:pPr>
      <w:r>
        <w:rPr>
          <w:rFonts w:eastAsia="Times New Roman" w:cs="Times New Roman"/>
        </w:rPr>
        <w:t xml:space="preserve">În ceea ce privește </w:t>
      </w:r>
      <w:r>
        <w:rPr>
          <w:rFonts w:eastAsia="Times New Roman" w:cs="Times New Roman"/>
          <w:u w:val="single"/>
        </w:rPr>
        <w:t>extracția de petrol și gaze</w:t>
      </w:r>
      <w:r>
        <w:rPr>
          <w:rFonts w:eastAsia="Times New Roman" w:cs="Times New Roman"/>
        </w:rPr>
        <w:t xml:space="preserve">, în zona costieră, ce cuprinde doar o parte a perimetrului de exploatare XVIII ISTRIA, se află trei foraje, toate fiind, în prezent, inactive. De altfel, nici nu se întrevăd perspective viitoare de exploatare a acestui perimetru. Astfel, acest sector prezintă interes doar prin prisma prezenței conductelor de transport petrol și gaze, plus instalațiile onshore aferente, în zona costieră. Sistemul național român de transport de petrol și gaze pe malul Mării Negre cuprinde două terminale (primul deținut de Oil Terminal SA Constanța, în portul Constanța și al doilea administrat de KMG International - Midia Marine Terminal în Năvodari). </w:t>
      </w:r>
    </w:p>
    <w:p w14:paraId="5DB00DC2" w14:textId="77777777" w:rsidR="00154C5C" w:rsidRDefault="00154C5C" w:rsidP="00154C5C">
      <w:pPr>
        <w:spacing w:before="0"/>
        <w:ind w:firstLine="567"/>
        <w:rPr>
          <w:rFonts w:eastAsia="Times New Roman" w:cs="Times New Roman"/>
        </w:rPr>
      </w:pPr>
      <w:r>
        <w:rPr>
          <w:rFonts w:eastAsia="Times New Roman" w:cs="Times New Roman"/>
        </w:rPr>
        <w:t>Conductele existente în sectorul românesc al Mării Negre sunt:</w:t>
      </w:r>
    </w:p>
    <w:p w14:paraId="460CB4C0" w14:textId="77777777" w:rsidR="00154C5C" w:rsidRDefault="00154C5C" w:rsidP="00154C5C">
      <w:pPr>
        <w:spacing w:before="0"/>
        <w:ind w:firstLine="567"/>
        <w:rPr>
          <w:rFonts w:eastAsia="Times New Roman" w:cs="Times New Roman"/>
        </w:rPr>
      </w:pPr>
      <w:r>
        <w:rPr>
          <w:rFonts w:eastAsia="Times New Roman" w:cs="Times New Roman"/>
        </w:rPr>
        <w:t>- conducte din amonte pentru transport țiței și gaze/condensat, de la Platforma centrală de producție din cadrul Complexului offshore OMV la Terminalul Midia OMV (onshore);</w:t>
      </w:r>
    </w:p>
    <w:p w14:paraId="707F0B74" w14:textId="77777777" w:rsidR="00154C5C" w:rsidRDefault="00154C5C" w:rsidP="00154C5C">
      <w:pPr>
        <w:spacing w:before="0"/>
        <w:ind w:firstLine="567"/>
        <w:rPr>
          <w:rFonts w:eastAsia="Times New Roman" w:cs="Times New Roman"/>
        </w:rPr>
      </w:pPr>
      <w:r>
        <w:rPr>
          <w:rFonts w:eastAsia="Times New Roman" w:cs="Times New Roman"/>
        </w:rPr>
        <w:t xml:space="preserve">- conducte din amonte pentru transportul gazelor naturale de la instalațiile Proiectului de Dezvoltare Gaze Naturale Midia (operator Black Sea Oil &amp; Gas). Proiectul constă într-o conductă submarină de 121 km ce asigură livrarea gazului de la platforma de producție Ana, până la țărm unde se continuă cu o conductă subterană de 4,1 km către noua Stație de Tratare </w:t>
      </w:r>
      <w:r>
        <w:rPr>
          <w:rFonts w:eastAsia="Times New Roman" w:cs="Times New Roman"/>
        </w:rPr>
        <w:lastRenderedPageBreak/>
        <w:t>a Gazelor de la Vadu (comuna Corbu), de unde este livrat în Sistemul Național de Transport operat de Transgaz;</w:t>
      </w:r>
    </w:p>
    <w:p w14:paraId="54E75BF2" w14:textId="77777777" w:rsidR="00154C5C" w:rsidRDefault="00154C5C" w:rsidP="00154C5C">
      <w:pPr>
        <w:spacing w:before="0"/>
        <w:ind w:firstLine="567"/>
        <w:rPr>
          <w:rFonts w:eastAsia="Times New Roman" w:cs="Times New Roman"/>
        </w:rPr>
      </w:pPr>
      <w:r>
        <w:rPr>
          <w:rFonts w:eastAsia="Times New Roman" w:cs="Times New Roman"/>
        </w:rPr>
        <w:t xml:space="preserve">- conducta de transport țiței de la Terminalul tip Single Point Mooring Buoy, localizat în larg, la 8,6 km Est de Portul Midia, la Midia Marine Terminal aparținând KMG International. Acest sistem deservește navele tip tanc petrolier (capacitate 60.000-165.000 tdw). </w:t>
      </w:r>
    </w:p>
    <w:p w14:paraId="4ABF4807" w14:textId="77777777" w:rsidR="00154C5C" w:rsidRDefault="00154C5C" w:rsidP="00154C5C">
      <w:pPr>
        <w:spacing w:before="0"/>
        <w:ind w:firstLine="567"/>
        <w:rPr>
          <w:rFonts w:eastAsia="Times New Roman" w:cs="Times New Roman"/>
        </w:rPr>
      </w:pPr>
      <w:r>
        <w:rPr>
          <w:rFonts w:eastAsia="Times New Roman" w:cs="Times New Roman"/>
        </w:rPr>
        <w:t>Pe lângă acestea, există în interiorul portului Constanța o rețea de conducte constituită din conducte subterane și supraterane cu o lungime totală de 50 km, care asigură conectarea portului la rețeaua națională.</w:t>
      </w:r>
    </w:p>
    <w:p w14:paraId="0A6655C8" w14:textId="6DDD9B27" w:rsidR="00154C5C" w:rsidRDefault="00154C5C" w:rsidP="00154C5C">
      <w:pPr>
        <w:pStyle w:val="Heading4"/>
      </w:pPr>
      <w:bookmarkStart w:id="99" w:name="_Toc169625143"/>
      <w:r>
        <w:t>2.4.8.6 Porturi și activități portuare</w:t>
      </w:r>
      <w:bookmarkEnd w:id="99"/>
    </w:p>
    <w:p w14:paraId="12F586EB" w14:textId="77777777" w:rsidR="00154C5C" w:rsidRDefault="00154C5C" w:rsidP="00154C5C">
      <w:pPr>
        <w:spacing w:before="0"/>
        <w:ind w:firstLine="567"/>
        <w:rPr>
          <w:rFonts w:eastAsia="Times New Roman" w:cs="Times New Roman"/>
        </w:rPr>
      </w:pPr>
      <w:r>
        <w:rPr>
          <w:rFonts w:eastAsia="Times New Roman" w:cs="Times New Roman"/>
        </w:rPr>
        <w:t xml:space="preserve">Portul Constanța include zonele Constanța, Midia, Mangalia și Basarabi (aceasta situată în afara zonei costiere), împreună constituind complexul portuar maritim românesc aflat în administrarea CN APM S.A. Acesta este împărțit în trei subdiviziuni, respectiv portul maritim, portul fluvial și portul turistic. </w:t>
      </w:r>
    </w:p>
    <w:p w14:paraId="70458DC1" w14:textId="77777777" w:rsidR="00154C5C" w:rsidRDefault="00154C5C" w:rsidP="00154C5C">
      <w:pPr>
        <w:spacing w:before="0"/>
        <w:rPr>
          <w:rFonts w:eastAsia="Times New Roman" w:cs="Times New Roman"/>
          <w:i/>
        </w:rPr>
      </w:pPr>
      <w:r>
        <w:rPr>
          <w:rFonts w:eastAsia="Times New Roman" w:cs="Times New Roman"/>
          <w:i/>
        </w:rPr>
        <w:t xml:space="preserve">Portul Constanța – zona Constanța </w:t>
      </w:r>
    </w:p>
    <w:p w14:paraId="375C21A5" w14:textId="77777777" w:rsidR="00154C5C" w:rsidRDefault="00154C5C" w:rsidP="00154C5C">
      <w:pPr>
        <w:spacing w:before="0"/>
        <w:rPr>
          <w:rFonts w:eastAsia="Times New Roman" w:cs="Times New Roman"/>
          <w:u w:val="single"/>
        </w:rPr>
      </w:pPr>
      <w:r>
        <w:rPr>
          <w:rFonts w:eastAsia="Times New Roman" w:cs="Times New Roman"/>
          <w:u w:val="single"/>
        </w:rPr>
        <w:t>Port maritim</w:t>
      </w:r>
    </w:p>
    <w:p w14:paraId="64838C95" w14:textId="77777777" w:rsidR="00154C5C" w:rsidRDefault="00154C5C" w:rsidP="00154C5C">
      <w:pPr>
        <w:spacing w:before="0"/>
        <w:ind w:firstLine="567"/>
        <w:rPr>
          <w:rFonts w:eastAsia="Times New Roman" w:cs="Times New Roman"/>
        </w:rPr>
      </w:pPr>
      <w:r>
        <w:rPr>
          <w:rFonts w:eastAsia="Times New Roman" w:cs="Times New Roman"/>
        </w:rPr>
        <w:t xml:space="preserve">Portul Constanța este situat pe coasta vestică a Mării Negre și acoperă o suprafață totală de 3.926 ha, din care 1.313 ha uscat și 2.613 ha apă. Cele două diguri situate în părțile de nord (lungime totală de 9,4 km), respectiv de sud (lungime totală de 5,66 km), adăpostesc portul, creând condițiile de siguranță optimă pentru activitățile portuare. În portul Constanța există 140 dane operaționale, dintr-un total de 156. Lungimea totală a cheurilor este de 32 km, iar adâncimile variază între 7 și 19 m. Aceste caracteristici sunt comparabile cu cele oferite de către cele mai importante porturi europene și internaționale, permițând accesul navelor tanc cu capacitatea de 165.000 dwt și a vrachierelor cu capacitatea de 220.000 dwt. </w:t>
      </w:r>
    </w:p>
    <w:p w14:paraId="25B52193" w14:textId="77777777" w:rsidR="00154C5C" w:rsidRDefault="00154C5C" w:rsidP="00154C5C">
      <w:pPr>
        <w:spacing w:before="0"/>
        <w:rPr>
          <w:rFonts w:eastAsia="Times New Roman" w:cs="Times New Roman"/>
          <w:u w:val="single"/>
        </w:rPr>
      </w:pPr>
      <w:r>
        <w:rPr>
          <w:rFonts w:eastAsia="Times New Roman" w:cs="Times New Roman"/>
          <w:u w:val="single"/>
        </w:rPr>
        <w:t xml:space="preserve">Port fluvial </w:t>
      </w:r>
    </w:p>
    <w:p w14:paraId="30D5B807" w14:textId="77777777" w:rsidR="00154C5C" w:rsidRDefault="00154C5C" w:rsidP="00154C5C">
      <w:pPr>
        <w:spacing w:before="0"/>
        <w:ind w:firstLine="567"/>
        <w:rPr>
          <w:rFonts w:eastAsia="Times New Roman" w:cs="Times New Roman"/>
        </w:rPr>
      </w:pPr>
      <w:r>
        <w:rPr>
          <w:rFonts w:eastAsia="Times New Roman" w:cs="Times New Roman"/>
        </w:rPr>
        <w:t xml:space="preserve">Portul Constanța este atât port maritim, cât și port fluvial. Facilitățile oferite de Portul Constanța permit acostarea oricărui tip de navă fluvială. Legătura Portului Constanța cu Dunărea se realizează prin Canalul Dunăre - Marea Neagră și reprezintă unul dintre principalele avantaje ale Portului Constanța. </w:t>
      </w:r>
    </w:p>
    <w:p w14:paraId="1201C428" w14:textId="77777777" w:rsidR="00154C5C" w:rsidRDefault="00154C5C" w:rsidP="00154C5C">
      <w:pPr>
        <w:spacing w:before="0"/>
        <w:rPr>
          <w:rFonts w:eastAsia="Times New Roman" w:cs="Times New Roman"/>
          <w:u w:val="single"/>
        </w:rPr>
      </w:pPr>
      <w:r>
        <w:rPr>
          <w:rFonts w:eastAsia="Times New Roman" w:cs="Times New Roman"/>
          <w:u w:val="single"/>
        </w:rPr>
        <w:t xml:space="preserve">Port turistic </w:t>
      </w:r>
    </w:p>
    <w:p w14:paraId="68CEDD50" w14:textId="77777777" w:rsidR="00154C5C" w:rsidRDefault="00154C5C" w:rsidP="00154C5C">
      <w:pPr>
        <w:spacing w:before="0"/>
        <w:ind w:firstLine="567"/>
        <w:rPr>
          <w:rFonts w:eastAsia="Times New Roman" w:cs="Times New Roman"/>
        </w:rPr>
      </w:pPr>
      <w:r>
        <w:rPr>
          <w:rFonts w:eastAsia="Times New Roman" w:cs="Times New Roman"/>
        </w:rPr>
        <w:t>Portul Tomis, prin amplasament și infrastructură, oferă un potențial ridicat de valorificare a turismului nautic, activităților sportive și de agrement, constituind totodată și un adapost pentru ambarcatiunile sportive cu vele.</w:t>
      </w:r>
    </w:p>
    <w:p w14:paraId="630D3B66" w14:textId="77777777" w:rsidR="00154C5C" w:rsidRDefault="00154C5C" w:rsidP="00154C5C">
      <w:pPr>
        <w:spacing w:before="0"/>
        <w:rPr>
          <w:rFonts w:eastAsia="Times New Roman" w:cs="Times New Roman"/>
          <w:i/>
        </w:rPr>
      </w:pPr>
      <w:r>
        <w:rPr>
          <w:rFonts w:eastAsia="Times New Roman" w:cs="Times New Roman"/>
          <w:i/>
        </w:rPr>
        <w:t>Portul Constanța - Zona Midia</w:t>
      </w:r>
    </w:p>
    <w:p w14:paraId="0DACA321" w14:textId="77777777" w:rsidR="00154C5C" w:rsidRDefault="00154C5C" w:rsidP="00154C5C">
      <w:pPr>
        <w:spacing w:before="0"/>
        <w:ind w:firstLine="567"/>
        <w:rPr>
          <w:rFonts w:eastAsia="Times New Roman" w:cs="Times New Roman"/>
        </w:rPr>
      </w:pPr>
      <w:r>
        <w:rPr>
          <w:rFonts w:eastAsia="Times New Roman" w:cs="Times New Roman"/>
        </w:rPr>
        <w:t xml:space="preserve">Zona Midia a fost proiectată și construită pentru a pune la dispoziție facilitățile pentru centrul industrial și petrochimic adiacent. Portul, cu o suprafață totală de 834 ha (din care 234 ha reprezintă uscat și 600 ha - apă) este delimitat de digurile de nord și de sud, cu o lungime totală de 6,97 km, accesul în port realizându-se printr-un canal de legătură, cu lățime de 80 m și adâncime de 10 m. Portul dispune de 14 dane (11 sunt dane operaționale, iar 3 dane sunt destinate întreținerii și reparațiilor de nave), iar lungimea totală a cheului este de 2,24 km. </w:t>
      </w:r>
      <w:r>
        <w:rPr>
          <w:rFonts w:eastAsia="Times New Roman" w:cs="Times New Roman"/>
        </w:rPr>
        <w:lastRenderedPageBreak/>
        <w:t>Adâncimea apei în dane este de 9 m, în timp ce în zona de ancoraj adâncimea atinge 20 m. În urma lucrărilor de dragaj efectuate, adâncimile apei au crescut la 9 m la danele 1-4 de descărcare petrol brut, permițând accesul navelor tanc cu pescaj maxim de 8 m și 20.000 tdw (https://www.portofconstantza.com/pn/page/np_prezentare_port/infgen_port_midia_ro.html). În zona Midia se află și o bază de operațiuni pentru forările offshore care se realizează în sectorul românesc al Mării Negre.</w:t>
      </w:r>
    </w:p>
    <w:p w14:paraId="32FAF21F" w14:textId="77777777" w:rsidR="00154C5C" w:rsidRDefault="00154C5C" w:rsidP="00154C5C">
      <w:pPr>
        <w:spacing w:before="0"/>
        <w:ind w:firstLine="567"/>
        <w:rPr>
          <w:rFonts w:eastAsia="Times New Roman" w:cs="Times New Roman"/>
        </w:rPr>
      </w:pPr>
      <w:r>
        <w:rPr>
          <w:rFonts w:eastAsia="Times New Roman" w:cs="Times New Roman"/>
        </w:rPr>
        <w:t xml:space="preserve">Principalele categorii de mărfuri operate în zona Midia sunt: petrol brut și produse derivate, GPL, mărfuri generale și animale vii. </w:t>
      </w:r>
    </w:p>
    <w:p w14:paraId="60274D87" w14:textId="77777777" w:rsidR="00154C5C" w:rsidRDefault="00154C5C" w:rsidP="00154C5C">
      <w:pPr>
        <w:spacing w:before="0"/>
        <w:rPr>
          <w:rFonts w:eastAsia="Times New Roman" w:cs="Times New Roman"/>
          <w:i/>
        </w:rPr>
      </w:pPr>
      <w:r>
        <w:rPr>
          <w:rFonts w:eastAsia="Times New Roman" w:cs="Times New Roman"/>
          <w:i/>
        </w:rPr>
        <w:t>Portul Constanța - Zona Mangalia</w:t>
      </w:r>
    </w:p>
    <w:p w14:paraId="5ED60BB5" w14:textId="77777777" w:rsidR="00154C5C" w:rsidRDefault="00154C5C" w:rsidP="00154C5C">
      <w:pPr>
        <w:spacing w:before="0"/>
        <w:ind w:firstLine="567"/>
        <w:rPr>
          <w:rFonts w:eastAsia="Times New Roman" w:cs="Times New Roman"/>
        </w:rPr>
      </w:pPr>
      <w:r>
        <w:rPr>
          <w:rFonts w:eastAsia="Times New Roman" w:cs="Times New Roman"/>
        </w:rPr>
        <w:t>Portul Mangalia are o suprafata de 142,19 ha (27,47 ha - uscat și 114,72 ha - apă) și este delimitat de digurile de nord și de sud ce au o lungime totala de 2,74 km. În portul Mangalia există 4 dane (2 fiind dane operaționale), cu o lungime totala de 540 m. Adâncimea maximă este de 9 m. Principalele categorii de mărfuri operate: bitum, mărfuri generale și GPL https://www.portofconstantza.com/pn/page/np_prezentare_port/infgen_port_mangalia_ro.html).</w:t>
      </w:r>
    </w:p>
    <w:p w14:paraId="548C0C86" w14:textId="77777777" w:rsidR="00154C5C" w:rsidRDefault="00154C5C" w:rsidP="00154C5C">
      <w:pPr>
        <w:spacing w:before="0"/>
        <w:ind w:firstLine="567"/>
        <w:rPr>
          <w:rFonts w:eastAsia="Times New Roman" w:cs="Times New Roman"/>
        </w:rPr>
      </w:pPr>
      <w:r>
        <w:rPr>
          <w:rFonts w:eastAsia="Times New Roman" w:cs="Times New Roman"/>
          <w:color w:val="000000"/>
        </w:rPr>
        <w:t xml:space="preserve">În Portul Constanța există următoarele terminale specializate: </w:t>
      </w:r>
    </w:p>
    <w:p w14:paraId="1BC94E7E" w14:textId="77777777" w:rsidR="00154C5C" w:rsidRDefault="00154C5C" w:rsidP="00154C5C">
      <w:pPr>
        <w:spacing w:before="0"/>
        <w:rPr>
          <w:rFonts w:eastAsia="Times New Roman" w:cs="Times New Roman"/>
          <w:u w:val="single"/>
        </w:rPr>
      </w:pPr>
      <w:r>
        <w:rPr>
          <w:rFonts w:eastAsia="Times New Roman" w:cs="Times New Roman"/>
          <w:color w:val="000000"/>
          <w:u w:val="single"/>
        </w:rPr>
        <w:t>Terminale de mărfuri</w:t>
      </w:r>
    </w:p>
    <w:p w14:paraId="14D4FB23" w14:textId="77777777" w:rsidR="00154C5C" w:rsidRDefault="00154C5C" w:rsidP="00154C5C">
      <w:pPr>
        <w:spacing w:before="0"/>
        <w:rPr>
          <w:rFonts w:eastAsia="Times New Roman" w:cs="Times New Roman"/>
        </w:rPr>
      </w:pPr>
      <w:r>
        <w:rPr>
          <w:rFonts w:eastAsia="Times New Roman" w:cs="Times New Roman"/>
          <w:color w:val="000000"/>
        </w:rPr>
        <w:t>a) Vrac lichid</w:t>
      </w:r>
    </w:p>
    <w:p w14:paraId="49B32C81" w14:textId="77777777" w:rsidR="00154C5C" w:rsidRDefault="00154C5C" w:rsidP="00154C5C">
      <w:pPr>
        <w:spacing w:before="0"/>
        <w:ind w:firstLine="567"/>
        <w:rPr>
          <w:rFonts w:eastAsia="Times New Roman" w:cs="Times New Roman"/>
        </w:rPr>
      </w:pPr>
      <w:r>
        <w:rPr>
          <w:rFonts w:eastAsia="Times New Roman" w:cs="Times New Roman"/>
          <w:color w:val="000000"/>
        </w:rPr>
        <w:t xml:space="preserve">Principalele mărfuri vrac lichid sunt reprezentate de petrol brut și produse petroliere. Terminalul de produse petroliere poate opera tancuri cu capacități de până la 165.000 dwt, fiind echipat cu instalații specializate pentru încărcare și descărcare și având acces la rețeaua de conducte. Există un terminal specializat pentru importul petrolului brut și benzinei, precum și pentru exportul de produse petroliere rafinate, produse derivate din petrol și alte produse chimice lichide. Oil Terminal și Rompetrol Logistics Sucursala Transport </w:t>
      </w:r>
      <w:sdt>
        <w:sdtPr>
          <w:tag w:val="goog_rdk_44"/>
          <w:id w:val="999536100"/>
        </w:sdtPr>
        <w:sdtContent>
          <w:r>
            <w:rPr>
              <w:rFonts w:eastAsia="Times New Roman" w:cs="Times New Roman"/>
              <w:color w:val="000000"/>
            </w:rPr>
            <w:t>Constanța</w:t>
          </w:r>
        </w:sdtContent>
      </w:sdt>
      <w:r>
        <w:rPr>
          <w:rFonts w:eastAsia="Times New Roman" w:cs="Times New Roman"/>
          <w:color w:val="000000"/>
        </w:rPr>
        <w:t xml:space="preserve"> sunt cele mai importante companii de operare pentru acest tip de marfă. De asemenea, mărfurile vrac lichid pot fi transbordate pe barje către diferite destinații europene sau transportate prin conducte în hinterland. Rețeaua națională de conducte conectează portul cu principalele rafinării din țară, asigurând un transport rapid și sigur.</w:t>
      </w:r>
    </w:p>
    <w:p w14:paraId="79BF32F1" w14:textId="77777777" w:rsidR="00154C5C" w:rsidRDefault="00154C5C" w:rsidP="00154C5C">
      <w:pPr>
        <w:spacing w:before="0"/>
        <w:ind w:firstLine="567"/>
        <w:rPr>
          <w:rFonts w:eastAsia="Times New Roman" w:cs="Times New Roman"/>
        </w:rPr>
      </w:pPr>
      <w:r>
        <w:rPr>
          <w:rFonts w:eastAsia="Times New Roman" w:cs="Times New Roman"/>
          <w:color w:val="000000"/>
        </w:rPr>
        <w:t>Oil Terminal S.A operează un terminal pentru pentru petrol brut, combustibil, motorină, benzină și produse petrochimice și export de substanțe chimice lichide. Această facilitate are o capacitate de 24 milioane tone/an pentru descărcare și 10 tone/an pentru încărcare. Capacitatea minimă de stocare a produselor petroliere este de 1,7 milioane tone. Terminalul este prevăzut cu 7 dane cu adâncimi cuprinse între 11,3 și 17,1 m, care pot primi cisterne petroliere cu o capacitate maximă de până la 165.000 tdw pentru încărcare/descărcare.</w:t>
      </w:r>
    </w:p>
    <w:p w14:paraId="37123ED6" w14:textId="77777777" w:rsidR="00154C5C" w:rsidRDefault="00154C5C" w:rsidP="00154C5C">
      <w:pPr>
        <w:spacing w:before="0"/>
        <w:rPr>
          <w:rFonts w:eastAsia="Times New Roman" w:cs="Times New Roman"/>
        </w:rPr>
      </w:pPr>
      <w:r>
        <w:rPr>
          <w:rFonts w:eastAsia="Times New Roman" w:cs="Times New Roman"/>
          <w:color w:val="000000"/>
        </w:rPr>
        <w:t>b) Vrac solid</w:t>
      </w:r>
    </w:p>
    <w:p w14:paraId="5201782D" w14:textId="77777777" w:rsidR="00154C5C" w:rsidRDefault="00154C5C" w:rsidP="00154C5C">
      <w:pPr>
        <w:spacing w:before="0"/>
        <w:ind w:firstLine="567"/>
        <w:rPr>
          <w:rFonts w:eastAsia="Times New Roman" w:cs="Times New Roman"/>
        </w:rPr>
      </w:pPr>
      <w:r>
        <w:rPr>
          <w:rFonts w:eastAsia="Times New Roman" w:cs="Times New Roman"/>
          <w:color w:val="000000"/>
        </w:rPr>
        <w:t>Vracul solid este reprezentat în Portul Constanța în principal de minereurile feroase și neferoase, cereale, cărbuni și cocs. Aceste mărfuri sunt operate în terminale specializate situate în vecinătatea bazinului fluvio-maritim, care pot opera atât nave maritime, cât și nave fluviale, cu transbord direct pe barje. Alte categorii de mărfuri vrac solid operate în Portul Constanța sunt: ciment, materiale de construcție, fosfat etc.</w:t>
      </w:r>
    </w:p>
    <w:p w14:paraId="1D6C276C" w14:textId="77777777" w:rsidR="00154C5C" w:rsidRDefault="00154C5C" w:rsidP="00154C5C">
      <w:pPr>
        <w:numPr>
          <w:ilvl w:val="0"/>
          <w:numId w:val="28"/>
        </w:numPr>
        <w:spacing w:before="0"/>
        <w:ind w:left="714" w:hanging="357"/>
        <w:rPr>
          <w:rFonts w:eastAsia="Times New Roman" w:cs="Times New Roman"/>
          <w:i/>
          <w:color w:val="000000"/>
        </w:rPr>
      </w:pPr>
      <w:r>
        <w:rPr>
          <w:rFonts w:eastAsia="Times New Roman" w:cs="Times New Roman"/>
          <w:i/>
          <w:color w:val="000000"/>
        </w:rPr>
        <w:lastRenderedPageBreak/>
        <w:t xml:space="preserve">Minereu, Cărbune, Cocs. </w:t>
      </w:r>
      <w:r>
        <w:rPr>
          <w:rFonts w:eastAsia="Times New Roman" w:cs="Times New Roman"/>
          <w:color w:val="000000"/>
        </w:rPr>
        <w:t xml:space="preserve">Cele două terminale specializate care operează minereu, bauxită, cărbune și cocs cuprind 13 dane, cu adâncimi care ajung până la 19 m. Terminalele pot opera atât nave maritime, cât și fluviale, cu o rată de descărcare de peste 45.000 tone/24 ore (respectiv 2.000 tone/oră/fiecare pod) din nave maritime și o rată de încărcare în barje de 2.000 tone/oră. Capacitatea de depozitare este de 4,7 milioane tone simultan, iar capacitatea de operare anuală este de peste 27 milioane tone. </w:t>
      </w:r>
    </w:p>
    <w:p w14:paraId="5931223D" w14:textId="77777777" w:rsidR="00154C5C" w:rsidRDefault="00154C5C" w:rsidP="00154C5C">
      <w:pPr>
        <w:numPr>
          <w:ilvl w:val="0"/>
          <w:numId w:val="28"/>
        </w:numPr>
        <w:spacing w:before="0"/>
        <w:ind w:left="714" w:hanging="357"/>
        <w:rPr>
          <w:rFonts w:eastAsia="Times New Roman" w:cs="Times New Roman"/>
          <w:i/>
          <w:color w:val="000000"/>
        </w:rPr>
      </w:pPr>
      <w:r>
        <w:rPr>
          <w:rFonts w:eastAsia="Times New Roman" w:cs="Times New Roman"/>
          <w:i/>
          <w:color w:val="000000"/>
        </w:rPr>
        <w:t xml:space="preserve">Produse chimice și îngrășăminte. </w:t>
      </w:r>
      <w:r>
        <w:rPr>
          <w:rFonts w:eastAsia="Times New Roman" w:cs="Times New Roman"/>
          <w:color w:val="000000"/>
        </w:rPr>
        <w:t xml:space="preserve">Portul Constanța dispune de terminale specializate unde se operează: îngrășăminte, fosfat, uree, apatită și alte produse chimice. Terminalele au dane cu adâncimi de până la 13,5 m, capacități de depozitare peste 100.000 tone și capacități de operare de 4,2 milioane tone pe an. Terminalele pot opera nave de peste 30.000 tdw. </w:t>
      </w:r>
    </w:p>
    <w:p w14:paraId="4CFB6D5A" w14:textId="77777777" w:rsidR="00154C5C" w:rsidRDefault="00154C5C" w:rsidP="00154C5C">
      <w:pPr>
        <w:numPr>
          <w:ilvl w:val="0"/>
          <w:numId w:val="28"/>
        </w:numPr>
        <w:spacing w:before="0"/>
        <w:ind w:left="714" w:hanging="357"/>
        <w:rPr>
          <w:rFonts w:eastAsia="Times New Roman" w:cs="Times New Roman"/>
          <w:i/>
          <w:color w:val="000000"/>
        </w:rPr>
      </w:pPr>
      <w:r>
        <w:rPr>
          <w:rFonts w:eastAsia="Times New Roman" w:cs="Times New Roman"/>
          <w:i/>
          <w:color w:val="000000"/>
        </w:rPr>
        <w:t xml:space="preserve">Cereale. </w:t>
      </w:r>
      <w:r>
        <w:rPr>
          <w:rFonts w:eastAsia="Times New Roman" w:cs="Times New Roman"/>
          <w:color w:val="000000"/>
        </w:rPr>
        <w:t xml:space="preserve">Portul Constanța dispune de facilități pentru operarea și depozitarea cerealelor, fiind deservit de dane specializate cu adâncimi între 7 și 19 m. Sunt operate atât nave fluviale, cât și nave maritime de tip Panamax. Facilitățile de depozitare cuprind silozuri și magazii, care asigură o capacitate totală de depozitare de peste 1.800.000 tone. Navele maritime de mare capacitate sunt operate la geamanduri specializate la o adâncime de 17 m, făcându-se transbord direct din nave fluviale. </w:t>
      </w:r>
    </w:p>
    <w:p w14:paraId="649F04D0" w14:textId="77777777" w:rsidR="00154C5C" w:rsidRDefault="00154C5C" w:rsidP="00154C5C">
      <w:pPr>
        <w:numPr>
          <w:ilvl w:val="0"/>
          <w:numId w:val="28"/>
        </w:numPr>
        <w:spacing w:before="0"/>
        <w:ind w:left="714" w:hanging="357"/>
        <w:rPr>
          <w:rFonts w:eastAsia="Times New Roman" w:cs="Times New Roman"/>
          <w:i/>
          <w:color w:val="000000"/>
        </w:rPr>
      </w:pPr>
      <w:r>
        <w:rPr>
          <w:rFonts w:eastAsia="Times New Roman" w:cs="Times New Roman"/>
          <w:i/>
          <w:color w:val="000000"/>
        </w:rPr>
        <w:t xml:space="preserve">Ciment vrac și materiale de construcții. </w:t>
      </w:r>
      <w:r>
        <w:rPr>
          <w:rFonts w:eastAsia="Times New Roman" w:cs="Times New Roman"/>
          <w:color w:val="000000"/>
        </w:rPr>
        <w:t xml:space="preserve">Există două terminale specializate care operează ciment vrac și în saci. Terminalele de ciment vrac sunt dotate cu instalații pentru însăcuire și depozite acoperite și pot fi operate 24 ore/zi. Transbordul cimentului vrac se poate realiza direct din barje în nave maritime cu ajutorul instalațiilor pneumatice plutitoare. </w:t>
      </w:r>
    </w:p>
    <w:p w14:paraId="438887B7" w14:textId="77777777" w:rsidR="00154C5C" w:rsidRDefault="00154C5C" w:rsidP="00154C5C">
      <w:pPr>
        <w:spacing w:before="0"/>
        <w:rPr>
          <w:rFonts w:eastAsia="Times New Roman" w:cs="Times New Roman"/>
        </w:rPr>
      </w:pPr>
      <w:r>
        <w:rPr>
          <w:rFonts w:eastAsia="Times New Roman" w:cs="Times New Roman"/>
          <w:color w:val="000000"/>
        </w:rPr>
        <w:t> c) Containere</w:t>
      </w:r>
    </w:p>
    <w:p w14:paraId="67CB3D63" w14:textId="77777777" w:rsidR="00154C5C" w:rsidRDefault="00154C5C" w:rsidP="00154C5C">
      <w:pPr>
        <w:spacing w:before="0"/>
        <w:ind w:firstLine="567"/>
        <w:rPr>
          <w:rFonts w:eastAsia="Times New Roman" w:cs="Times New Roman"/>
        </w:rPr>
      </w:pPr>
      <w:r>
        <w:rPr>
          <w:rFonts w:eastAsia="Times New Roman" w:cs="Times New Roman"/>
          <w:color w:val="000000"/>
        </w:rPr>
        <w:t>În Portul Constanța există două terminale de containere, care oferă condiții și facilități moderne pentru operarea navelor portcontainer. La finele anului 2003, în portul Constanța a fost inaugurat cel mai mare terminal specializat de containere din Marea Neagră, acesta fiind operat de compania Dubai Ports World. Cu o suprafață totală de peste 76 ha (52 ha operaționale), terminalul oferă o capacitate anuală de operare de aproximativ 1,5 milioane TEU. Datorită adâncimilor, care au un minim de 14,5 metri, terminalul permite operarea navelor portcontainer de tip Post-Panamax, iar facilitățile de operare asigură rata de operare eficientă a navelor acostate. Lungimea danei principale este 636 metri, iar a danei de alimentare de 411 metri, suprafața de depozitare acoperită fiind de 5.000 mp. Terminalul oferă servicii de coordonare feroviară prin cele 3 linii de cale ferată, fiecare având o lungime de 616 metri, fiind capabile să manipuleze 3 garnituri de trenuri cu câte 30 de vagoane fiecare.</w:t>
      </w:r>
    </w:p>
    <w:p w14:paraId="7AFEEADC" w14:textId="77777777" w:rsidR="00154C5C" w:rsidRDefault="00154C5C" w:rsidP="00154C5C">
      <w:pPr>
        <w:spacing w:before="0"/>
        <w:ind w:firstLine="567"/>
        <w:rPr>
          <w:rFonts w:eastAsia="Times New Roman" w:cs="Times New Roman"/>
        </w:rPr>
      </w:pPr>
      <w:r>
        <w:rPr>
          <w:rFonts w:eastAsia="Times New Roman" w:cs="Times New Roman"/>
          <w:color w:val="000000"/>
        </w:rPr>
        <w:t>d) Mărfuri generale</w:t>
      </w:r>
    </w:p>
    <w:p w14:paraId="2084E958" w14:textId="77777777" w:rsidR="00154C5C" w:rsidRDefault="00154C5C" w:rsidP="00154C5C">
      <w:pPr>
        <w:spacing w:before="0"/>
        <w:ind w:firstLine="567"/>
        <w:rPr>
          <w:rFonts w:eastAsia="Times New Roman" w:cs="Times New Roman"/>
        </w:rPr>
      </w:pPr>
      <w:r>
        <w:rPr>
          <w:rFonts w:eastAsia="Times New Roman" w:cs="Times New Roman"/>
          <w:color w:val="000000"/>
        </w:rPr>
        <w:t>Orice categorie de marfă poate fi operată de către companiile specializate din Portul Constanța. Din categoria mărfurilor generale, în Portul Constanța sunt operate: produse alimentare, băuturi și tutun, celuloză și hârtie, laminate, piese de schimb, ciment, produse chimice și îngrășăminte în saci, produse metalice, precum și alte mărfuri.</w:t>
      </w:r>
    </w:p>
    <w:p w14:paraId="25F88C58" w14:textId="77777777" w:rsidR="00154C5C" w:rsidRDefault="00154C5C" w:rsidP="00154C5C">
      <w:pPr>
        <w:spacing w:before="0"/>
        <w:rPr>
          <w:rFonts w:eastAsia="Times New Roman" w:cs="Times New Roman"/>
        </w:rPr>
      </w:pPr>
      <w:r>
        <w:rPr>
          <w:rFonts w:eastAsia="Times New Roman" w:cs="Times New Roman"/>
          <w:color w:val="000000"/>
        </w:rPr>
        <w:t>e) Ro-Ro / FERRY</w:t>
      </w:r>
    </w:p>
    <w:p w14:paraId="4B2CC85C" w14:textId="77777777" w:rsidR="00154C5C" w:rsidRDefault="00154C5C" w:rsidP="00154C5C">
      <w:pPr>
        <w:spacing w:before="0"/>
        <w:ind w:firstLine="567"/>
        <w:rPr>
          <w:rFonts w:eastAsia="Times New Roman" w:cs="Times New Roman"/>
        </w:rPr>
      </w:pPr>
      <w:r>
        <w:rPr>
          <w:rFonts w:eastAsia="Times New Roman" w:cs="Times New Roman"/>
          <w:color w:val="000000"/>
        </w:rPr>
        <w:lastRenderedPageBreak/>
        <w:t>În portul Constanța există două terminale Ro-Ro situate în partea de sud, iar în partea de nord există o dană ce poate găzdui acest tip de operare. Dana Ro-Ro aflată în partea de nord are o lungime de 364 m, 13 m adâncime și poate acomoda până la 4.800 de vehicule.</w:t>
      </w:r>
    </w:p>
    <w:p w14:paraId="100F5AB3" w14:textId="77777777" w:rsidR="00154C5C" w:rsidRDefault="00154C5C" w:rsidP="00154C5C">
      <w:pPr>
        <w:spacing w:before="0"/>
        <w:ind w:firstLine="567"/>
        <w:rPr>
          <w:rFonts w:eastAsia="Times New Roman" w:cs="Times New Roman"/>
        </w:rPr>
      </w:pPr>
      <w:r>
        <w:rPr>
          <w:rFonts w:eastAsia="Times New Roman" w:cs="Times New Roman"/>
          <w:color w:val="000000"/>
        </w:rPr>
        <w:t>Cele două terminale din partea de sud a portului sunt situate în dana 120 și dana PL6. Terminalul din dana 120 dispune de un cheu de 25 m, cu o adâncime de 14 m și o platformă de depozitare cu o suprafață de 17.000 mp. Capacitatea maximă de încărcare și descărcare pe sens este de 100 unități (import-export). Cel de-al doilea terminal, situat în dana PL6, are adâncimi la cheu de 7 m, pescajul maxim admis fiind de 6,5 m, ceea ce permite acostarea navelor Ro-Ro de dimensiuni medii (capacitate max. 1.500 autoturisme).</w:t>
      </w:r>
    </w:p>
    <w:p w14:paraId="3817405F" w14:textId="77777777" w:rsidR="00154C5C" w:rsidRDefault="00154C5C" w:rsidP="00154C5C">
      <w:pPr>
        <w:spacing w:before="0"/>
        <w:ind w:firstLine="567"/>
        <w:rPr>
          <w:rFonts w:eastAsia="Times New Roman" w:cs="Times New Roman"/>
        </w:rPr>
      </w:pPr>
      <w:r>
        <w:rPr>
          <w:rFonts w:eastAsia="Times New Roman" w:cs="Times New Roman"/>
          <w:color w:val="000000"/>
        </w:rPr>
        <w:t xml:space="preserve">Zona totală de stocare măsoară 71.000 mp, spațiu corespunzător primirii a 5.400 de vehicule, cu o lungime a danei de 200 m, divizată în mai multe zone, având funcții specifice operațiunilor - recepție, inspecție, stocare, încărcare/descărcare. Accesul în terminalul Ro-Ro se poate face atât cu camioane, cât și cu trenuri, existând o linie dublă și o linie simplă ce deservesc exclusiv dana. </w:t>
      </w:r>
    </w:p>
    <w:p w14:paraId="6F0D50F4" w14:textId="77777777" w:rsidR="00154C5C" w:rsidRDefault="00154C5C" w:rsidP="00154C5C">
      <w:pPr>
        <w:spacing w:before="0"/>
        <w:ind w:firstLine="567"/>
        <w:rPr>
          <w:rFonts w:eastAsia="Times New Roman" w:cs="Times New Roman"/>
        </w:rPr>
      </w:pPr>
      <w:r>
        <w:rPr>
          <w:rFonts w:eastAsia="Times New Roman" w:cs="Times New Roman"/>
          <w:color w:val="000000"/>
        </w:rPr>
        <w:t>Terminalul Ferry-Boat, situat în partea de sud a Portului, oferă clienților condiții adecvate de operare a navelor specializate, fiind dotat cu echipamente specializate pentru încărcarea și descărcarea trenurilor, folosind ecartamentul normal european de cale ferată, Terminalul dispune de: grupă de trei linii, fiecare cu o lungime de 750 ml de cale ferată pentru primirea și expedierea vagoanelor; o grupă de pregătire a vagoanelor formată din 10 linii fiecare, cu o lungime de 450-500 m linii de cale ferată pentru îmbarcare/debarcare pe și de pe navă; și cinci linii de cale ferată pentru accesul pe navă, vagoanele fiind operate prin utilizarea echipamentelor navelor.</w:t>
      </w:r>
    </w:p>
    <w:p w14:paraId="6CE795AD" w14:textId="77777777" w:rsidR="00154C5C" w:rsidRDefault="00154C5C" w:rsidP="00154C5C">
      <w:pPr>
        <w:spacing w:before="0"/>
        <w:rPr>
          <w:rFonts w:eastAsia="Times New Roman" w:cs="Times New Roman"/>
        </w:rPr>
      </w:pPr>
      <w:r>
        <w:rPr>
          <w:rFonts w:eastAsia="Times New Roman" w:cs="Times New Roman"/>
          <w:color w:val="000000"/>
        </w:rPr>
        <w:t>f) Barje nepropulsate și remorchere fluviale</w:t>
      </w:r>
    </w:p>
    <w:p w14:paraId="0B660390" w14:textId="77777777" w:rsidR="00154C5C" w:rsidRDefault="00154C5C" w:rsidP="00154C5C">
      <w:pPr>
        <w:spacing w:before="0"/>
        <w:ind w:firstLine="567"/>
        <w:rPr>
          <w:rFonts w:eastAsia="Times New Roman" w:cs="Times New Roman"/>
        </w:rPr>
      </w:pPr>
      <w:r>
        <w:rPr>
          <w:rFonts w:eastAsia="Times New Roman" w:cs="Times New Roman"/>
          <w:color w:val="000000"/>
        </w:rPr>
        <w:t>Terminalul permite punerea la dispoziția utilizatorilor a unei capacități de acostare pentru circa 10 milioane tone mărfuri. Terminalul de barje include 1.200 m de cheuri cu adâncimea de 7 m pentru acostarea barjelor, precum și a 300 m de cheuri cu adâncimea de 5 m pentru împingătoare și remorchere fluviale.</w:t>
      </w:r>
    </w:p>
    <w:p w14:paraId="63A36C93" w14:textId="77777777" w:rsidR="00154C5C" w:rsidRDefault="00154C5C" w:rsidP="00154C5C">
      <w:pPr>
        <w:spacing w:before="0"/>
        <w:rPr>
          <w:rFonts w:eastAsia="Times New Roman" w:cs="Times New Roman"/>
        </w:rPr>
      </w:pPr>
      <w:r>
        <w:rPr>
          <w:rFonts w:eastAsia="Times New Roman" w:cs="Times New Roman"/>
          <w:color w:val="000000"/>
        </w:rPr>
        <w:t>g) Gaz petrolier lichefiat</w:t>
      </w:r>
    </w:p>
    <w:p w14:paraId="0F892543" w14:textId="77777777" w:rsidR="00154C5C" w:rsidRDefault="00154C5C" w:rsidP="00154C5C">
      <w:pPr>
        <w:spacing w:before="0"/>
        <w:ind w:firstLine="567"/>
        <w:rPr>
          <w:rFonts w:eastAsia="Times New Roman" w:cs="Times New Roman"/>
        </w:rPr>
      </w:pPr>
      <w:r>
        <w:rPr>
          <w:rFonts w:eastAsia="Times New Roman" w:cs="Times New Roman"/>
          <w:color w:val="000000"/>
        </w:rPr>
        <w:t>În anul 2010 a fost inaugurat în Portul Midia cel mai mare terminal maritim de gaz petrol lichefiat (LPG) din țară. Terminalul operează traficul de LPG destinat pieței interne, dar și exportul către alte țări. Terminalul are o suprafață de circa 24.000 de m</w:t>
      </w:r>
      <w:r>
        <w:rPr>
          <w:rFonts w:eastAsia="Times New Roman" w:cs="Times New Roman"/>
          <w:color w:val="000000"/>
          <w:vertAlign w:val="superscript"/>
        </w:rPr>
        <w:t>2</w:t>
      </w:r>
      <w:r>
        <w:rPr>
          <w:rFonts w:eastAsia="Times New Roman" w:cs="Times New Roman"/>
          <w:color w:val="000000"/>
        </w:rPr>
        <w:t xml:space="preserve"> și o capacitate de stocare de 4.000 m</w:t>
      </w:r>
      <w:r>
        <w:rPr>
          <w:rFonts w:eastAsia="Times New Roman" w:cs="Times New Roman"/>
          <w:color w:val="000000"/>
          <w:vertAlign w:val="superscript"/>
        </w:rPr>
        <w:t>3</w:t>
      </w:r>
      <w:r>
        <w:rPr>
          <w:rFonts w:eastAsia="Times New Roman" w:cs="Times New Roman"/>
          <w:color w:val="000000"/>
        </w:rPr>
        <w:t>. Instalațiile cuprind 10 rezervoare a câte 400 m</w:t>
      </w:r>
      <w:r>
        <w:rPr>
          <w:rFonts w:eastAsia="Times New Roman" w:cs="Times New Roman"/>
          <w:color w:val="000000"/>
          <w:vertAlign w:val="superscript"/>
        </w:rPr>
        <w:t>3</w:t>
      </w:r>
      <w:r>
        <w:rPr>
          <w:rFonts w:eastAsia="Times New Roman" w:cs="Times New Roman"/>
          <w:color w:val="000000"/>
        </w:rPr>
        <w:t>, rampe de descărcare, pompe de mare productivitate și automatizări. Terminalul este conectat la calea ferată, rețeaua rutieră și transportul pe apă. Poate încărca 8 vagoane cisternă și 2 autocisterne simultan. Dana de acostare are o adâncime de 9,5 metri și un cheu cu o lungime de 120 m. Descărcarea este asigurată cu pompe de mare randament, cu un debit de 200-250 m</w:t>
      </w:r>
      <w:r>
        <w:rPr>
          <w:rFonts w:eastAsia="Times New Roman" w:cs="Times New Roman"/>
          <w:color w:val="000000"/>
          <w:vertAlign w:val="superscript"/>
        </w:rPr>
        <w:t>3</w:t>
      </w:r>
      <w:r>
        <w:rPr>
          <w:rFonts w:eastAsia="Times New Roman" w:cs="Times New Roman"/>
          <w:color w:val="000000"/>
        </w:rPr>
        <w:t>/oră. Instalația este dotată cu recuperatoare de gaze din tancuri, care elimină pierderile de marfă.</w:t>
      </w:r>
    </w:p>
    <w:p w14:paraId="1B67375C" w14:textId="77777777" w:rsidR="00154C5C" w:rsidRDefault="00154C5C" w:rsidP="00154C5C">
      <w:pPr>
        <w:spacing w:before="0"/>
        <w:rPr>
          <w:rFonts w:eastAsia="Times New Roman" w:cs="Times New Roman"/>
        </w:rPr>
      </w:pPr>
      <w:r>
        <w:rPr>
          <w:rFonts w:eastAsia="Times New Roman" w:cs="Times New Roman"/>
          <w:color w:val="000000"/>
        </w:rPr>
        <w:t>h) Terminalul de pasageri</w:t>
      </w:r>
    </w:p>
    <w:p w14:paraId="61C38ADA" w14:textId="77777777" w:rsidR="00154C5C" w:rsidRDefault="00154C5C" w:rsidP="00154C5C">
      <w:pPr>
        <w:spacing w:before="0"/>
        <w:rPr>
          <w:rFonts w:eastAsia="Times New Roman" w:cs="Times New Roman"/>
        </w:rPr>
      </w:pPr>
      <w:r>
        <w:rPr>
          <w:rFonts w:eastAsia="Times New Roman" w:cs="Times New Roman"/>
          <w:color w:val="000000"/>
        </w:rPr>
        <w:t xml:space="preserve">Terminalul de pasageri este situat în partea de nord a portului, primind nave de croazieră care sosesc fie pe Dunăre, fie pe Marea Neagră. Terminalul are o capacitate de operare de </w:t>
      </w:r>
      <w:r>
        <w:rPr>
          <w:rFonts w:eastAsia="Times New Roman" w:cs="Times New Roman"/>
          <w:color w:val="000000"/>
        </w:rPr>
        <w:lastRenderedPageBreak/>
        <w:t>100.000 pasageri/an. Dana terminalului de pasageri are o lungime de 293 metri cu o adâncime de 13,5 metri, iar dana secundară (RoRo4) are o lungime de 400 metri și o adâncime de 13 metri, conexiunile disponibile fiind centrul orașului (la 1 km), aeroportul (la 25 km) și gara (la 3 km).</w:t>
      </w:r>
    </w:p>
    <w:p w14:paraId="25B2C382" w14:textId="77777777" w:rsidR="00154C5C" w:rsidRDefault="00154C5C" w:rsidP="00154C5C">
      <w:pPr>
        <w:spacing w:before="0"/>
        <w:rPr>
          <w:rFonts w:eastAsia="Times New Roman" w:cs="Times New Roman"/>
        </w:rPr>
      </w:pPr>
      <w:r>
        <w:rPr>
          <w:rFonts w:eastAsia="Times New Roman" w:cs="Times New Roman"/>
          <w:color w:val="000000"/>
          <w:u w:val="single"/>
        </w:rPr>
        <w:t>Capacități de operare portuară în porturile maritime</w:t>
      </w:r>
    </w:p>
    <w:p w14:paraId="560324CC" w14:textId="5B889B55" w:rsidR="00154C5C" w:rsidRDefault="00154C5C" w:rsidP="00154C5C">
      <w:pPr>
        <w:spacing w:before="0"/>
        <w:ind w:firstLine="567"/>
        <w:rPr>
          <w:rFonts w:eastAsia="Times New Roman" w:cs="Times New Roman"/>
          <w:color w:val="000000"/>
        </w:rPr>
      </w:pPr>
      <w:r>
        <w:rPr>
          <w:rFonts w:eastAsia="Times New Roman" w:cs="Times New Roman"/>
          <w:color w:val="000000"/>
        </w:rPr>
        <w:t>Traficul de mărfuri în porturile maritime a cunoscut în ultima perioadă o creștere semnificativă datorită preluării a unei mari părți din traficul porturilor ucrainiene, situație generate de conflictul militar din zonă. Astfel, traficul total de mărfuri în 2021 a fost de 67.483.435 tone, iar în 2022 se observă o creștere cu mai mult de 10 %, până la 75.537.687. Analiza datelor furnizate de CN APM referitoare la perioada 2015-2022 (Tabel 2.4.8.6.1), confirmă creșterea aproape continua a traficului portuar în porturile maritime, cu excepția anului 2020, când s-a observat o scădere cu circa 10% în 2020 datorată pandemiei.</w:t>
      </w:r>
    </w:p>
    <w:p w14:paraId="51A78664" w14:textId="77777777" w:rsidR="00154C5C" w:rsidRDefault="00154C5C" w:rsidP="00154C5C">
      <w:pPr>
        <w:ind w:firstLine="567"/>
        <w:rPr>
          <w:rFonts w:eastAsia="Times New Roman" w:cs="Times New Roman"/>
          <w:color w:val="000000"/>
        </w:rPr>
      </w:pPr>
    </w:p>
    <w:p w14:paraId="22DB93D4" w14:textId="7F863ABF" w:rsidR="00154C5C" w:rsidRDefault="00154C5C" w:rsidP="00154C5C">
      <w:pPr>
        <w:spacing w:before="0" w:after="0"/>
        <w:ind w:firstLine="567"/>
        <w:jc w:val="center"/>
        <w:rPr>
          <w:rFonts w:eastAsia="Times New Roman" w:cs="Times New Roman"/>
          <w:b/>
          <w:color w:val="000000"/>
        </w:rPr>
      </w:pPr>
      <w:r>
        <w:rPr>
          <w:rFonts w:eastAsia="Times New Roman" w:cs="Times New Roman"/>
          <w:b/>
          <w:color w:val="000000"/>
        </w:rPr>
        <w:t>Tabel 2.4.8.6.1 Traficul portuar în perioada 2018 - 2022 (porturile maritime românești)</w:t>
      </w:r>
    </w:p>
    <w:tbl>
      <w:tblPr>
        <w:tblW w:w="87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1418"/>
        <w:gridCol w:w="1417"/>
        <w:gridCol w:w="1418"/>
        <w:gridCol w:w="1417"/>
        <w:gridCol w:w="1418"/>
      </w:tblGrid>
      <w:tr w:rsidR="00154C5C" w14:paraId="340A56BC" w14:textId="77777777" w:rsidTr="00154C5C">
        <w:trPr>
          <w:jc w:val="center"/>
        </w:trPr>
        <w:tc>
          <w:tcPr>
            <w:tcW w:w="1696" w:type="dxa"/>
            <w:tcMar>
              <w:top w:w="100" w:type="dxa"/>
              <w:left w:w="100" w:type="dxa"/>
              <w:bottom w:w="100" w:type="dxa"/>
              <w:right w:w="100" w:type="dxa"/>
            </w:tcMar>
          </w:tcPr>
          <w:p w14:paraId="5CC2FC43"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b/>
                <w:color w:val="000000"/>
                <w:sz w:val="22"/>
              </w:rPr>
              <w:t>Date trafic</w:t>
            </w:r>
          </w:p>
        </w:tc>
        <w:tc>
          <w:tcPr>
            <w:tcW w:w="1418" w:type="dxa"/>
            <w:tcMar>
              <w:top w:w="100" w:type="dxa"/>
              <w:left w:w="100" w:type="dxa"/>
              <w:bottom w:w="100" w:type="dxa"/>
              <w:right w:w="100" w:type="dxa"/>
            </w:tcMar>
          </w:tcPr>
          <w:p w14:paraId="3F5484C9"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b/>
                <w:color w:val="000000"/>
                <w:sz w:val="22"/>
              </w:rPr>
              <w:t>2018</w:t>
            </w:r>
          </w:p>
        </w:tc>
        <w:tc>
          <w:tcPr>
            <w:tcW w:w="1417" w:type="dxa"/>
            <w:tcMar>
              <w:top w:w="100" w:type="dxa"/>
              <w:left w:w="100" w:type="dxa"/>
              <w:bottom w:w="100" w:type="dxa"/>
              <w:right w:w="100" w:type="dxa"/>
            </w:tcMar>
          </w:tcPr>
          <w:p w14:paraId="2876E2D2"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b/>
                <w:color w:val="000000"/>
                <w:sz w:val="22"/>
              </w:rPr>
              <w:t>2019</w:t>
            </w:r>
          </w:p>
        </w:tc>
        <w:tc>
          <w:tcPr>
            <w:tcW w:w="1418" w:type="dxa"/>
            <w:tcMar>
              <w:top w:w="100" w:type="dxa"/>
              <w:left w:w="100" w:type="dxa"/>
              <w:bottom w:w="100" w:type="dxa"/>
              <w:right w:w="100" w:type="dxa"/>
            </w:tcMar>
          </w:tcPr>
          <w:p w14:paraId="73E856EC"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b/>
                <w:color w:val="000000"/>
                <w:sz w:val="22"/>
              </w:rPr>
              <w:t>2020</w:t>
            </w:r>
          </w:p>
        </w:tc>
        <w:tc>
          <w:tcPr>
            <w:tcW w:w="1417" w:type="dxa"/>
            <w:tcMar>
              <w:top w:w="100" w:type="dxa"/>
              <w:left w:w="100" w:type="dxa"/>
              <w:bottom w:w="100" w:type="dxa"/>
              <w:right w:w="100" w:type="dxa"/>
            </w:tcMar>
          </w:tcPr>
          <w:p w14:paraId="335B8443"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b/>
                <w:color w:val="000000"/>
                <w:sz w:val="22"/>
              </w:rPr>
              <w:t>2021</w:t>
            </w:r>
          </w:p>
        </w:tc>
        <w:tc>
          <w:tcPr>
            <w:tcW w:w="1418" w:type="dxa"/>
            <w:tcMar>
              <w:top w:w="100" w:type="dxa"/>
              <w:left w:w="100" w:type="dxa"/>
              <w:bottom w:w="100" w:type="dxa"/>
              <w:right w:w="100" w:type="dxa"/>
            </w:tcMar>
          </w:tcPr>
          <w:p w14:paraId="58EDC0CD"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b/>
                <w:color w:val="000000"/>
                <w:sz w:val="22"/>
              </w:rPr>
              <w:t>2022</w:t>
            </w:r>
          </w:p>
        </w:tc>
      </w:tr>
      <w:tr w:rsidR="00154C5C" w14:paraId="12CC786F" w14:textId="77777777" w:rsidTr="00154C5C">
        <w:trPr>
          <w:jc w:val="center"/>
        </w:trPr>
        <w:tc>
          <w:tcPr>
            <w:tcW w:w="1696" w:type="dxa"/>
            <w:tcMar>
              <w:top w:w="100" w:type="dxa"/>
              <w:left w:w="100" w:type="dxa"/>
              <w:bottom w:w="100" w:type="dxa"/>
              <w:right w:w="100" w:type="dxa"/>
            </w:tcMar>
          </w:tcPr>
          <w:p w14:paraId="0BAE311C"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000000"/>
                <w:sz w:val="22"/>
              </w:rPr>
              <w:t>Trafic total, t</w:t>
            </w:r>
          </w:p>
        </w:tc>
        <w:tc>
          <w:tcPr>
            <w:tcW w:w="1418" w:type="dxa"/>
            <w:shd w:val="clear" w:color="auto" w:fill="FFFFFF"/>
            <w:tcMar>
              <w:top w:w="100" w:type="dxa"/>
              <w:left w:w="100" w:type="dxa"/>
              <w:bottom w:w="100" w:type="dxa"/>
              <w:right w:w="100" w:type="dxa"/>
            </w:tcMar>
          </w:tcPr>
          <w:p w14:paraId="349EA53D"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61.303.774</w:t>
            </w:r>
          </w:p>
        </w:tc>
        <w:tc>
          <w:tcPr>
            <w:tcW w:w="1417" w:type="dxa"/>
            <w:shd w:val="clear" w:color="auto" w:fill="FFFFFF"/>
            <w:tcMar>
              <w:top w:w="100" w:type="dxa"/>
              <w:left w:w="100" w:type="dxa"/>
              <w:bottom w:w="100" w:type="dxa"/>
              <w:right w:w="100" w:type="dxa"/>
            </w:tcMar>
          </w:tcPr>
          <w:p w14:paraId="4535D320"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66.603.292</w:t>
            </w:r>
          </w:p>
        </w:tc>
        <w:tc>
          <w:tcPr>
            <w:tcW w:w="1418" w:type="dxa"/>
            <w:shd w:val="clear" w:color="auto" w:fill="FFFFFF"/>
            <w:tcMar>
              <w:top w:w="100" w:type="dxa"/>
              <w:left w:w="100" w:type="dxa"/>
              <w:bottom w:w="100" w:type="dxa"/>
              <w:right w:w="100" w:type="dxa"/>
            </w:tcMar>
          </w:tcPr>
          <w:p w14:paraId="3CF154C8"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60.375.799</w:t>
            </w:r>
          </w:p>
        </w:tc>
        <w:tc>
          <w:tcPr>
            <w:tcW w:w="1417" w:type="dxa"/>
            <w:shd w:val="clear" w:color="auto" w:fill="FFFFFF"/>
            <w:tcMar>
              <w:top w:w="100" w:type="dxa"/>
              <w:left w:w="100" w:type="dxa"/>
              <w:bottom w:w="100" w:type="dxa"/>
              <w:right w:w="100" w:type="dxa"/>
            </w:tcMar>
          </w:tcPr>
          <w:p w14:paraId="114E548D"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67.483.435</w:t>
            </w:r>
          </w:p>
        </w:tc>
        <w:tc>
          <w:tcPr>
            <w:tcW w:w="1418" w:type="dxa"/>
            <w:shd w:val="clear" w:color="auto" w:fill="FFFFFF"/>
            <w:tcMar>
              <w:top w:w="100" w:type="dxa"/>
              <w:left w:w="100" w:type="dxa"/>
              <w:bottom w:w="100" w:type="dxa"/>
              <w:right w:w="100" w:type="dxa"/>
            </w:tcMar>
          </w:tcPr>
          <w:p w14:paraId="050E5B2D"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75.537.687</w:t>
            </w:r>
          </w:p>
        </w:tc>
      </w:tr>
      <w:tr w:rsidR="00154C5C" w14:paraId="5E1C3453" w14:textId="77777777" w:rsidTr="00154C5C">
        <w:trPr>
          <w:jc w:val="center"/>
        </w:trPr>
        <w:tc>
          <w:tcPr>
            <w:tcW w:w="1696" w:type="dxa"/>
            <w:tcMar>
              <w:top w:w="100" w:type="dxa"/>
              <w:left w:w="100" w:type="dxa"/>
              <w:bottom w:w="100" w:type="dxa"/>
              <w:right w:w="100" w:type="dxa"/>
            </w:tcMar>
          </w:tcPr>
          <w:p w14:paraId="4934FECF"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000000"/>
                <w:sz w:val="22"/>
              </w:rPr>
              <w:t>Vrac lichid, t</w:t>
            </w:r>
          </w:p>
        </w:tc>
        <w:tc>
          <w:tcPr>
            <w:tcW w:w="1418" w:type="dxa"/>
            <w:shd w:val="clear" w:color="auto" w:fill="FFFFFF"/>
            <w:tcMar>
              <w:top w:w="100" w:type="dxa"/>
              <w:left w:w="100" w:type="dxa"/>
              <w:bottom w:w="100" w:type="dxa"/>
              <w:right w:w="100" w:type="dxa"/>
            </w:tcMar>
          </w:tcPr>
          <w:p w14:paraId="112025CA"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14.022.558</w:t>
            </w:r>
          </w:p>
        </w:tc>
        <w:tc>
          <w:tcPr>
            <w:tcW w:w="1417" w:type="dxa"/>
            <w:shd w:val="clear" w:color="auto" w:fill="FFFFFF"/>
            <w:tcMar>
              <w:top w:w="100" w:type="dxa"/>
              <w:left w:w="100" w:type="dxa"/>
              <w:bottom w:w="100" w:type="dxa"/>
              <w:right w:w="100" w:type="dxa"/>
            </w:tcMar>
          </w:tcPr>
          <w:p w14:paraId="19568104"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14.920.635</w:t>
            </w:r>
          </w:p>
        </w:tc>
        <w:tc>
          <w:tcPr>
            <w:tcW w:w="1418" w:type="dxa"/>
            <w:shd w:val="clear" w:color="auto" w:fill="FFFFFF"/>
            <w:tcMar>
              <w:top w:w="100" w:type="dxa"/>
              <w:left w:w="100" w:type="dxa"/>
              <w:bottom w:w="100" w:type="dxa"/>
              <w:right w:w="100" w:type="dxa"/>
            </w:tcMar>
          </w:tcPr>
          <w:p w14:paraId="26A026A2"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12.425.658</w:t>
            </w:r>
          </w:p>
        </w:tc>
        <w:tc>
          <w:tcPr>
            <w:tcW w:w="1417" w:type="dxa"/>
            <w:shd w:val="clear" w:color="auto" w:fill="FFFFFF"/>
            <w:tcMar>
              <w:top w:w="100" w:type="dxa"/>
              <w:left w:w="100" w:type="dxa"/>
              <w:bottom w:w="100" w:type="dxa"/>
              <w:right w:w="100" w:type="dxa"/>
            </w:tcMar>
          </w:tcPr>
          <w:p w14:paraId="68F6E6D2"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12.821.712</w:t>
            </w:r>
          </w:p>
        </w:tc>
        <w:tc>
          <w:tcPr>
            <w:tcW w:w="1418" w:type="dxa"/>
            <w:shd w:val="clear" w:color="auto" w:fill="FFFFFF"/>
            <w:tcMar>
              <w:top w:w="100" w:type="dxa"/>
              <w:left w:w="100" w:type="dxa"/>
              <w:bottom w:w="100" w:type="dxa"/>
              <w:right w:w="100" w:type="dxa"/>
            </w:tcMar>
          </w:tcPr>
          <w:p w14:paraId="6301FB8D"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18.001.109</w:t>
            </w:r>
          </w:p>
        </w:tc>
      </w:tr>
      <w:tr w:rsidR="00154C5C" w14:paraId="13DFC9ED" w14:textId="77777777" w:rsidTr="00154C5C">
        <w:trPr>
          <w:jc w:val="center"/>
        </w:trPr>
        <w:tc>
          <w:tcPr>
            <w:tcW w:w="1696" w:type="dxa"/>
            <w:tcMar>
              <w:top w:w="100" w:type="dxa"/>
              <w:left w:w="100" w:type="dxa"/>
              <w:bottom w:w="100" w:type="dxa"/>
              <w:right w:w="100" w:type="dxa"/>
            </w:tcMar>
          </w:tcPr>
          <w:p w14:paraId="7B1047C3"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000000"/>
                <w:sz w:val="22"/>
              </w:rPr>
              <w:t>Vrac solid, t</w:t>
            </w:r>
          </w:p>
        </w:tc>
        <w:tc>
          <w:tcPr>
            <w:tcW w:w="1418" w:type="dxa"/>
            <w:shd w:val="clear" w:color="auto" w:fill="FFFFFF"/>
            <w:tcMar>
              <w:top w:w="100" w:type="dxa"/>
              <w:left w:w="100" w:type="dxa"/>
              <w:bottom w:w="100" w:type="dxa"/>
              <w:right w:w="100" w:type="dxa"/>
            </w:tcMar>
          </w:tcPr>
          <w:p w14:paraId="3A9E0E75"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37.192.770</w:t>
            </w:r>
          </w:p>
        </w:tc>
        <w:tc>
          <w:tcPr>
            <w:tcW w:w="1417" w:type="dxa"/>
            <w:shd w:val="clear" w:color="auto" w:fill="FFFFFF"/>
            <w:tcMar>
              <w:top w:w="100" w:type="dxa"/>
              <w:left w:w="100" w:type="dxa"/>
              <w:bottom w:w="100" w:type="dxa"/>
              <w:right w:w="100" w:type="dxa"/>
            </w:tcMar>
          </w:tcPr>
          <w:p w14:paraId="5C9D79D7"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41.583.345</w:t>
            </w:r>
          </w:p>
        </w:tc>
        <w:tc>
          <w:tcPr>
            <w:tcW w:w="1418" w:type="dxa"/>
            <w:shd w:val="clear" w:color="auto" w:fill="FFFFFF"/>
            <w:tcMar>
              <w:top w:w="100" w:type="dxa"/>
              <w:left w:w="100" w:type="dxa"/>
              <w:bottom w:w="100" w:type="dxa"/>
              <w:right w:w="100" w:type="dxa"/>
            </w:tcMar>
          </w:tcPr>
          <w:p w14:paraId="2058170E"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38.580.780</w:t>
            </w:r>
          </w:p>
        </w:tc>
        <w:tc>
          <w:tcPr>
            <w:tcW w:w="1417" w:type="dxa"/>
            <w:shd w:val="clear" w:color="auto" w:fill="FFFFFF"/>
            <w:tcMar>
              <w:top w:w="100" w:type="dxa"/>
              <w:left w:w="100" w:type="dxa"/>
              <w:bottom w:w="100" w:type="dxa"/>
              <w:right w:w="100" w:type="dxa"/>
            </w:tcMar>
          </w:tcPr>
          <w:p w14:paraId="6E7947C7"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44.562.451</w:t>
            </w:r>
          </w:p>
        </w:tc>
        <w:tc>
          <w:tcPr>
            <w:tcW w:w="1418" w:type="dxa"/>
            <w:shd w:val="clear" w:color="auto" w:fill="FFFFFF"/>
            <w:tcMar>
              <w:top w:w="100" w:type="dxa"/>
              <w:left w:w="100" w:type="dxa"/>
              <w:bottom w:w="100" w:type="dxa"/>
              <w:right w:w="100" w:type="dxa"/>
            </w:tcMar>
          </w:tcPr>
          <w:p w14:paraId="3DC39960"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44.831.522</w:t>
            </w:r>
          </w:p>
        </w:tc>
      </w:tr>
      <w:tr w:rsidR="00154C5C" w14:paraId="392B5A28" w14:textId="77777777" w:rsidTr="00154C5C">
        <w:trPr>
          <w:jc w:val="center"/>
        </w:trPr>
        <w:tc>
          <w:tcPr>
            <w:tcW w:w="1696" w:type="dxa"/>
            <w:tcMar>
              <w:top w:w="100" w:type="dxa"/>
              <w:left w:w="100" w:type="dxa"/>
              <w:bottom w:w="100" w:type="dxa"/>
              <w:right w:w="100" w:type="dxa"/>
            </w:tcMar>
          </w:tcPr>
          <w:p w14:paraId="0B52389B"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000000"/>
                <w:sz w:val="22"/>
              </w:rPr>
              <w:t>Mărfuri generale, t</w:t>
            </w:r>
          </w:p>
        </w:tc>
        <w:tc>
          <w:tcPr>
            <w:tcW w:w="1418" w:type="dxa"/>
            <w:shd w:val="clear" w:color="auto" w:fill="FFFFFF"/>
            <w:tcMar>
              <w:top w:w="100" w:type="dxa"/>
              <w:left w:w="100" w:type="dxa"/>
              <w:bottom w:w="100" w:type="dxa"/>
              <w:right w:w="100" w:type="dxa"/>
            </w:tcMar>
          </w:tcPr>
          <w:p w14:paraId="6C524BED"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3.524.788</w:t>
            </w:r>
          </w:p>
        </w:tc>
        <w:tc>
          <w:tcPr>
            <w:tcW w:w="1417" w:type="dxa"/>
            <w:shd w:val="clear" w:color="auto" w:fill="FFFFFF"/>
            <w:tcMar>
              <w:top w:w="100" w:type="dxa"/>
              <w:left w:w="100" w:type="dxa"/>
              <w:bottom w:w="100" w:type="dxa"/>
              <w:right w:w="100" w:type="dxa"/>
            </w:tcMar>
          </w:tcPr>
          <w:p w14:paraId="2C37B717"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3.546.879</w:t>
            </w:r>
          </w:p>
        </w:tc>
        <w:tc>
          <w:tcPr>
            <w:tcW w:w="1418" w:type="dxa"/>
            <w:shd w:val="clear" w:color="auto" w:fill="FFFFFF"/>
            <w:tcMar>
              <w:top w:w="100" w:type="dxa"/>
              <w:left w:w="100" w:type="dxa"/>
              <w:bottom w:w="100" w:type="dxa"/>
              <w:right w:w="100" w:type="dxa"/>
            </w:tcMar>
          </w:tcPr>
          <w:p w14:paraId="7077A7B9"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3.023.669</w:t>
            </w:r>
          </w:p>
        </w:tc>
        <w:tc>
          <w:tcPr>
            <w:tcW w:w="1417" w:type="dxa"/>
            <w:shd w:val="clear" w:color="auto" w:fill="FFFFFF"/>
            <w:tcMar>
              <w:top w:w="100" w:type="dxa"/>
              <w:left w:w="100" w:type="dxa"/>
              <w:bottom w:w="100" w:type="dxa"/>
              <w:right w:w="100" w:type="dxa"/>
            </w:tcMar>
          </w:tcPr>
          <w:p w14:paraId="396A5127"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3.915.944</w:t>
            </w:r>
          </w:p>
        </w:tc>
        <w:tc>
          <w:tcPr>
            <w:tcW w:w="1418" w:type="dxa"/>
            <w:shd w:val="clear" w:color="auto" w:fill="FFFFFF"/>
            <w:tcMar>
              <w:top w:w="100" w:type="dxa"/>
              <w:left w:w="100" w:type="dxa"/>
              <w:bottom w:w="100" w:type="dxa"/>
              <w:right w:w="100" w:type="dxa"/>
            </w:tcMar>
          </w:tcPr>
          <w:p w14:paraId="3EB82334"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4.783.304</w:t>
            </w:r>
          </w:p>
        </w:tc>
      </w:tr>
      <w:tr w:rsidR="00154C5C" w14:paraId="70910D24" w14:textId="77777777" w:rsidTr="00154C5C">
        <w:trPr>
          <w:jc w:val="center"/>
        </w:trPr>
        <w:tc>
          <w:tcPr>
            <w:tcW w:w="1696" w:type="dxa"/>
            <w:tcMar>
              <w:top w:w="100" w:type="dxa"/>
              <w:left w:w="100" w:type="dxa"/>
              <w:bottom w:w="100" w:type="dxa"/>
              <w:right w:w="100" w:type="dxa"/>
            </w:tcMar>
          </w:tcPr>
          <w:p w14:paraId="4F2E8952"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000000"/>
                <w:sz w:val="22"/>
              </w:rPr>
              <w:t>Container, t</w:t>
            </w:r>
          </w:p>
        </w:tc>
        <w:tc>
          <w:tcPr>
            <w:tcW w:w="1418" w:type="dxa"/>
            <w:shd w:val="clear" w:color="auto" w:fill="FFFFFF"/>
            <w:tcMar>
              <w:top w:w="100" w:type="dxa"/>
              <w:left w:w="100" w:type="dxa"/>
              <w:bottom w:w="100" w:type="dxa"/>
              <w:right w:w="100" w:type="dxa"/>
            </w:tcMar>
          </w:tcPr>
          <w:p w14:paraId="4756F1FE"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6.563.658</w:t>
            </w:r>
          </w:p>
        </w:tc>
        <w:tc>
          <w:tcPr>
            <w:tcW w:w="1417" w:type="dxa"/>
            <w:shd w:val="clear" w:color="auto" w:fill="FFFFFF"/>
            <w:tcMar>
              <w:top w:w="100" w:type="dxa"/>
              <w:left w:w="100" w:type="dxa"/>
              <w:bottom w:w="100" w:type="dxa"/>
              <w:right w:w="100" w:type="dxa"/>
            </w:tcMar>
          </w:tcPr>
          <w:p w14:paraId="6D8E89FE"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6.552.433</w:t>
            </w:r>
          </w:p>
        </w:tc>
        <w:tc>
          <w:tcPr>
            <w:tcW w:w="1418" w:type="dxa"/>
            <w:shd w:val="clear" w:color="auto" w:fill="FFFFFF"/>
            <w:tcMar>
              <w:top w:w="100" w:type="dxa"/>
              <w:left w:w="100" w:type="dxa"/>
              <w:bottom w:w="100" w:type="dxa"/>
              <w:right w:w="100" w:type="dxa"/>
            </w:tcMar>
          </w:tcPr>
          <w:p w14:paraId="1050C49F"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6.345.692</w:t>
            </w:r>
          </w:p>
        </w:tc>
        <w:tc>
          <w:tcPr>
            <w:tcW w:w="1417" w:type="dxa"/>
            <w:shd w:val="clear" w:color="auto" w:fill="FFFFFF"/>
            <w:tcMar>
              <w:top w:w="100" w:type="dxa"/>
              <w:left w:w="100" w:type="dxa"/>
              <w:bottom w:w="100" w:type="dxa"/>
              <w:right w:w="100" w:type="dxa"/>
            </w:tcMar>
          </w:tcPr>
          <w:p w14:paraId="0593B83F"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6.183.913</w:t>
            </w:r>
          </w:p>
        </w:tc>
        <w:tc>
          <w:tcPr>
            <w:tcW w:w="1418" w:type="dxa"/>
            <w:shd w:val="clear" w:color="auto" w:fill="FFFFFF"/>
            <w:tcMar>
              <w:top w:w="100" w:type="dxa"/>
              <w:left w:w="100" w:type="dxa"/>
              <w:bottom w:w="100" w:type="dxa"/>
              <w:right w:w="100" w:type="dxa"/>
            </w:tcMar>
          </w:tcPr>
          <w:p w14:paraId="0F0FEA02"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7.921.752</w:t>
            </w:r>
          </w:p>
        </w:tc>
      </w:tr>
      <w:tr w:rsidR="00154C5C" w14:paraId="00BA7057" w14:textId="77777777" w:rsidTr="00154C5C">
        <w:trPr>
          <w:jc w:val="center"/>
        </w:trPr>
        <w:tc>
          <w:tcPr>
            <w:tcW w:w="1696" w:type="dxa"/>
            <w:tcMar>
              <w:top w:w="100" w:type="dxa"/>
              <w:left w:w="100" w:type="dxa"/>
              <w:bottom w:w="100" w:type="dxa"/>
              <w:right w:w="100" w:type="dxa"/>
            </w:tcMar>
          </w:tcPr>
          <w:p w14:paraId="07B203AF"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000000"/>
                <w:sz w:val="22"/>
              </w:rPr>
              <w:t>Nr. containere</w:t>
            </w:r>
          </w:p>
        </w:tc>
        <w:tc>
          <w:tcPr>
            <w:tcW w:w="1418" w:type="dxa"/>
            <w:shd w:val="clear" w:color="auto" w:fill="FFFFFF"/>
            <w:tcMar>
              <w:top w:w="100" w:type="dxa"/>
              <w:left w:w="100" w:type="dxa"/>
              <w:bottom w:w="100" w:type="dxa"/>
              <w:right w:w="100" w:type="dxa"/>
            </w:tcMar>
          </w:tcPr>
          <w:p w14:paraId="53440FBD"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400.832</w:t>
            </w:r>
          </w:p>
        </w:tc>
        <w:tc>
          <w:tcPr>
            <w:tcW w:w="1417" w:type="dxa"/>
            <w:shd w:val="clear" w:color="auto" w:fill="FFFFFF"/>
            <w:tcMar>
              <w:top w:w="100" w:type="dxa"/>
              <w:left w:w="100" w:type="dxa"/>
              <w:bottom w:w="100" w:type="dxa"/>
              <w:right w:w="100" w:type="dxa"/>
            </w:tcMar>
          </w:tcPr>
          <w:p w14:paraId="751CA437"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400.945</w:t>
            </w:r>
          </w:p>
        </w:tc>
        <w:tc>
          <w:tcPr>
            <w:tcW w:w="1418" w:type="dxa"/>
            <w:shd w:val="clear" w:color="auto" w:fill="FFFFFF"/>
            <w:tcMar>
              <w:top w:w="100" w:type="dxa"/>
              <w:left w:w="100" w:type="dxa"/>
              <w:bottom w:w="100" w:type="dxa"/>
              <w:right w:w="100" w:type="dxa"/>
            </w:tcMar>
          </w:tcPr>
          <w:p w14:paraId="66D4DB06"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389.061</w:t>
            </w:r>
          </w:p>
        </w:tc>
        <w:tc>
          <w:tcPr>
            <w:tcW w:w="1417" w:type="dxa"/>
            <w:shd w:val="clear" w:color="auto" w:fill="FFFFFF"/>
            <w:tcMar>
              <w:top w:w="100" w:type="dxa"/>
              <w:left w:w="100" w:type="dxa"/>
              <w:bottom w:w="100" w:type="dxa"/>
              <w:right w:w="100" w:type="dxa"/>
            </w:tcMar>
          </w:tcPr>
          <w:p w14:paraId="0EE35790"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379.139</w:t>
            </w:r>
          </w:p>
        </w:tc>
        <w:tc>
          <w:tcPr>
            <w:tcW w:w="1418" w:type="dxa"/>
            <w:shd w:val="clear" w:color="auto" w:fill="FFFFFF"/>
            <w:tcMar>
              <w:top w:w="100" w:type="dxa"/>
              <w:left w:w="100" w:type="dxa"/>
              <w:bottom w:w="100" w:type="dxa"/>
              <w:right w:w="100" w:type="dxa"/>
            </w:tcMar>
          </w:tcPr>
          <w:p w14:paraId="42A2F5BF"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460.506</w:t>
            </w:r>
          </w:p>
        </w:tc>
      </w:tr>
      <w:tr w:rsidR="00154C5C" w14:paraId="58734866" w14:textId="77777777" w:rsidTr="00154C5C">
        <w:trPr>
          <w:jc w:val="center"/>
        </w:trPr>
        <w:tc>
          <w:tcPr>
            <w:tcW w:w="1696" w:type="dxa"/>
            <w:tcMar>
              <w:top w:w="100" w:type="dxa"/>
              <w:left w:w="100" w:type="dxa"/>
              <w:bottom w:w="100" w:type="dxa"/>
              <w:right w:w="100" w:type="dxa"/>
            </w:tcMar>
          </w:tcPr>
          <w:p w14:paraId="0B7465D1"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000000"/>
                <w:sz w:val="22"/>
              </w:rPr>
              <w:t>TEU (containere)</w:t>
            </w:r>
          </w:p>
        </w:tc>
        <w:tc>
          <w:tcPr>
            <w:tcW w:w="1418" w:type="dxa"/>
            <w:shd w:val="clear" w:color="auto" w:fill="FFFFFF"/>
            <w:tcMar>
              <w:top w:w="100" w:type="dxa"/>
              <w:left w:w="100" w:type="dxa"/>
              <w:bottom w:w="100" w:type="dxa"/>
              <w:right w:w="100" w:type="dxa"/>
            </w:tcMar>
          </w:tcPr>
          <w:p w14:paraId="0B72BCDA"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668.016</w:t>
            </w:r>
          </w:p>
        </w:tc>
        <w:tc>
          <w:tcPr>
            <w:tcW w:w="1417" w:type="dxa"/>
            <w:shd w:val="clear" w:color="auto" w:fill="FFFFFF"/>
            <w:tcMar>
              <w:top w:w="100" w:type="dxa"/>
              <w:left w:w="100" w:type="dxa"/>
              <w:bottom w:w="100" w:type="dxa"/>
              <w:right w:w="100" w:type="dxa"/>
            </w:tcMar>
          </w:tcPr>
          <w:p w14:paraId="4BC39F78"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666.036</w:t>
            </w:r>
          </w:p>
        </w:tc>
        <w:tc>
          <w:tcPr>
            <w:tcW w:w="1418" w:type="dxa"/>
            <w:shd w:val="clear" w:color="auto" w:fill="FFFFFF"/>
            <w:tcMar>
              <w:top w:w="100" w:type="dxa"/>
              <w:left w:w="100" w:type="dxa"/>
              <w:bottom w:w="100" w:type="dxa"/>
              <w:right w:w="100" w:type="dxa"/>
            </w:tcMar>
          </w:tcPr>
          <w:p w14:paraId="2AC99D7E"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643.725</w:t>
            </w:r>
          </w:p>
        </w:tc>
        <w:tc>
          <w:tcPr>
            <w:tcW w:w="1417" w:type="dxa"/>
            <w:shd w:val="clear" w:color="auto" w:fill="FFFFFF"/>
            <w:tcMar>
              <w:top w:w="100" w:type="dxa"/>
              <w:left w:w="100" w:type="dxa"/>
              <w:bottom w:w="100" w:type="dxa"/>
              <w:right w:w="100" w:type="dxa"/>
            </w:tcMar>
          </w:tcPr>
          <w:p w14:paraId="13ABB34F"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631.946</w:t>
            </w:r>
          </w:p>
        </w:tc>
        <w:tc>
          <w:tcPr>
            <w:tcW w:w="1418" w:type="dxa"/>
            <w:shd w:val="clear" w:color="auto" w:fill="FFFFFF"/>
            <w:tcMar>
              <w:top w:w="100" w:type="dxa"/>
              <w:left w:w="100" w:type="dxa"/>
              <w:bottom w:w="100" w:type="dxa"/>
              <w:right w:w="100" w:type="dxa"/>
            </w:tcMar>
          </w:tcPr>
          <w:p w14:paraId="3D0A8A95" w14:textId="77777777" w:rsidR="00154C5C" w:rsidRPr="00154C5C" w:rsidRDefault="00154C5C" w:rsidP="00154C5C">
            <w:pPr>
              <w:spacing w:after="0" w:line="240" w:lineRule="auto"/>
              <w:ind w:firstLine="0"/>
              <w:rPr>
                <w:rFonts w:eastAsia="Times New Roman" w:cs="Times New Roman"/>
                <w:sz w:val="22"/>
              </w:rPr>
            </w:pPr>
            <w:r w:rsidRPr="00154C5C">
              <w:rPr>
                <w:rFonts w:eastAsia="Times New Roman" w:cs="Times New Roman"/>
                <w:color w:val="212529"/>
                <w:sz w:val="22"/>
              </w:rPr>
              <w:t>776.590</w:t>
            </w:r>
          </w:p>
        </w:tc>
      </w:tr>
    </w:tbl>
    <w:p w14:paraId="59AD5BD4" w14:textId="77777777" w:rsidR="00154C5C" w:rsidRDefault="00154C5C" w:rsidP="00154C5C">
      <w:pPr>
        <w:spacing w:before="0"/>
        <w:ind w:firstLine="567"/>
        <w:rPr>
          <w:rFonts w:eastAsia="Times New Roman" w:cs="Times New Roman"/>
          <w:sz w:val="28"/>
          <w:szCs w:val="28"/>
        </w:rPr>
      </w:pPr>
    </w:p>
    <w:p w14:paraId="6AA8A7A2" w14:textId="03842692" w:rsidR="00154C5C" w:rsidRDefault="00154C5C" w:rsidP="00154C5C">
      <w:pPr>
        <w:ind w:firstLine="567"/>
        <w:rPr>
          <w:rFonts w:eastAsia="Times New Roman" w:cs="Times New Roman"/>
        </w:rPr>
      </w:pPr>
      <w:r>
        <w:rPr>
          <w:rFonts w:eastAsia="Times New Roman" w:cs="Times New Roman"/>
        </w:rPr>
        <w:t>Structura mărfurilor operate acoperă toate categoriile de mărfuri având în vedere diversitatea terminalelor disponibile. Totuși, trebuie remarcată evoluția ascendentă clară din ultima perioadă a operării mărfurilor solide în vrac, cu predilecție a cerealelor, precum produselor vrac lichid, mai precis petrol brut și produse petroliere (Tabel 2.4.8.6.2). Această evoluție a fost accelerate de situația din Ucraina, însă ea se manifestase cu pregnanță și înainte.</w:t>
      </w:r>
    </w:p>
    <w:p w14:paraId="6333E6F6" w14:textId="77777777" w:rsidR="00154C5C" w:rsidRDefault="00154C5C" w:rsidP="00154C5C">
      <w:pPr>
        <w:spacing w:before="0"/>
        <w:ind w:firstLine="567"/>
        <w:rPr>
          <w:rFonts w:eastAsia="Times New Roman" w:cs="Times New Roman"/>
        </w:rPr>
      </w:pPr>
    </w:p>
    <w:p w14:paraId="593067E6" w14:textId="170DB276" w:rsidR="00154C5C" w:rsidRDefault="00154C5C" w:rsidP="00154C5C">
      <w:pPr>
        <w:spacing w:before="0" w:after="0"/>
        <w:ind w:firstLine="567"/>
        <w:jc w:val="center"/>
        <w:rPr>
          <w:rFonts w:eastAsia="Times New Roman" w:cs="Times New Roman"/>
          <w:b/>
        </w:rPr>
      </w:pPr>
      <w:r>
        <w:rPr>
          <w:rFonts w:eastAsia="Times New Roman" w:cs="Times New Roman"/>
          <w:b/>
        </w:rPr>
        <w:t xml:space="preserve">Tabel 2.4.8.6.2 Trafic pe grupe de marfa 2018 - 2022 </w:t>
      </w:r>
    </w:p>
    <w:p w14:paraId="310EB80D" w14:textId="77777777" w:rsidR="00154C5C" w:rsidRDefault="00154C5C" w:rsidP="00154C5C">
      <w:pPr>
        <w:spacing w:before="0" w:after="0"/>
        <w:ind w:firstLine="567"/>
        <w:jc w:val="center"/>
        <w:rPr>
          <w:rFonts w:eastAsia="Times New Roman" w:cs="Times New Roman"/>
          <w:b/>
        </w:rPr>
      </w:pPr>
      <w:r>
        <w:rPr>
          <w:rFonts w:eastAsia="Times New Roman" w:cs="Times New Roman"/>
          <w:b/>
        </w:rPr>
        <w:t>(www.portofconstantza.com)</w:t>
      </w:r>
    </w:p>
    <w:tbl>
      <w:tblPr>
        <w:tblW w:w="90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70"/>
        <w:gridCol w:w="1190"/>
        <w:gridCol w:w="1190"/>
        <w:gridCol w:w="1190"/>
        <w:gridCol w:w="1190"/>
        <w:gridCol w:w="1190"/>
      </w:tblGrid>
      <w:tr w:rsidR="00154C5C" w:rsidRPr="00D535CE" w14:paraId="4A3B9F27" w14:textId="77777777" w:rsidTr="00D46EB7">
        <w:trPr>
          <w:trHeight w:val="20"/>
        </w:trPr>
        <w:tc>
          <w:tcPr>
            <w:tcW w:w="3070" w:type="dxa"/>
            <w:shd w:val="clear" w:color="auto" w:fill="C9C9C9"/>
            <w:tcMar>
              <w:top w:w="100" w:type="dxa"/>
              <w:left w:w="100" w:type="dxa"/>
              <w:bottom w:w="100" w:type="dxa"/>
              <w:right w:w="100" w:type="dxa"/>
            </w:tcMar>
          </w:tcPr>
          <w:p w14:paraId="1CB787DE" w14:textId="77777777" w:rsidR="00154C5C" w:rsidRPr="00D535CE" w:rsidRDefault="00154C5C" w:rsidP="00D46EB7">
            <w:pPr>
              <w:spacing w:after="0" w:line="240" w:lineRule="auto"/>
              <w:rPr>
                <w:rFonts w:eastAsia="Times New Roman" w:cs="Times New Roman"/>
                <w:b/>
                <w:sz w:val="22"/>
              </w:rPr>
            </w:pPr>
            <w:r w:rsidRPr="00D535CE">
              <w:rPr>
                <w:rFonts w:eastAsia="Times New Roman" w:cs="Times New Roman"/>
                <w:b/>
                <w:color w:val="212529"/>
                <w:sz w:val="22"/>
              </w:rPr>
              <w:lastRenderedPageBreak/>
              <w:t>Tip marfă</w:t>
            </w:r>
          </w:p>
        </w:tc>
        <w:tc>
          <w:tcPr>
            <w:tcW w:w="1190" w:type="dxa"/>
            <w:shd w:val="clear" w:color="auto" w:fill="C9C9C9"/>
            <w:tcMar>
              <w:top w:w="100" w:type="dxa"/>
              <w:left w:w="100" w:type="dxa"/>
              <w:bottom w:w="100" w:type="dxa"/>
              <w:right w:w="100" w:type="dxa"/>
            </w:tcMar>
          </w:tcPr>
          <w:p w14:paraId="47E40B84" w14:textId="77777777" w:rsidR="00154C5C" w:rsidRPr="00D535CE" w:rsidRDefault="00154C5C" w:rsidP="00154C5C">
            <w:pPr>
              <w:spacing w:after="0" w:line="240" w:lineRule="auto"/>
              <w:ind w:firstLine="0"/>
              <w:rPr>
                <w:rFonts w:eastAsia="Times New Roman" w:cs="Times New Roman"/>
                <w:b/>
                <w:sz w:val="22"/>
              </w:rPr>
            </w:pPr>
            <w:r w:rsidRPr="00D535CE">
              <w:rPr>
                <w:rFonts w:eastAsia="Times New Roman" w:cs="Times New Roman"/>
                <w:b/>
                <w:color w:val="212529"/>
                <w:sz w:val="22"/>
              </w:rPr>
              <w:t>2018, t</w:t>
            </w:r>
          </w:p>
        </w:tc>
        <w:tc>
          <w:tcPr>
            <w:tcW w:w="1190" w:type="dxa"/>
            <w:shd w:val="clear" w:color="auto" w:fill="C9C9C9"/>
            <w:tcMar>
              <w:top w:w="100" w:type="dxa"/>
              <w:left w:w="100" w:type="dxa"/>
              <w:bottom w:w="100" w:type="dxa"/>
              <w:right w:w="100" w:type="dxa"/>
            </w:tcMar>
          </w:tcPr>
          <w:p w14:paraId="129AA5D1" w14:textId="33917A52" w:rsidR="00154C5C" w:rsidRPr="00D535CE" w:rsidRDefault="00154C5C" w:rsidP="00154C5C">
            <w:pPr>
              <w:spacing w:after="0" w:line="240" w:lineRule="auto"/>
              <w:ind w:firstLine="0"/>
              <w:rPr>
                <w:rFonts w:eastAsia="Times New Roman" w:cs="Times New Roman"/>
                <w:b/>
                <w:sz w:val="22"/>
              </w:rPr>
            </w:pPr>
            <w:r w:rsidRPr="00D535CE">
              <w:rPr>
                <w:rFonts w:eastAsia="Times New Roman" w:cs="Times New Roman"/>
                <w:b/>
                <w:color w:val="212529"/>
                <w:sz w:val="22"/>
              </w:rPr>
              <w:t>2019, t</w:t>
            </w:r>
          </w:p>
        </w:tc>
        <w:tc>
          <w:tcPr>
            <w:tcW w:w="1190" w:type="dxa"/>
            <w:shd w:val="clear" w:color="auto" w:fill="C9C9C9"/>
            <w:tcMar>
              <w:top w:w="100" w:type="dxa"/>
              <w:left w:w="100" w:type="dxa"/>
              <w:bottom w:w="100" w:type="dxa"/>
              <w:right w:w="100" w:type="dxa"/>
            </w:tcMar>
          </w:tcPr>
          <w:p w14:paraId="51D7F4C1" w14:textId="77777777" w:rsidR="00154C5C" w:rsidRPr="00D535CE" w:rsidRDefault="00154C5C" w:rsidP="00154C5C">
            <w:pPr>
              <w:spacing w:after="0" w:line="240" w:lineRule="auto"/>
              <w:ind w:firstLine="0"/>
              <w:rPr>
                <w:rFonts w:eastAsia="Times New Roman" w:cs="Times New Roman"/>
                <w:b/>
                <w:sz w:val="22"/>
              </w:rPr>
            </w:pPr>
            <w:r w:rsidRPr="00D535CE">
              <w:rPr>
                <w:rFonts w:eastAsia="Times New Roman" w:cs="Times New Roman"/>
                <w:b/>
                <w:color w:val="212529"/>
                <w:sz w:val="22"/>
              </w:rPr>
              <w:t>2020, t</w:t>
            </w:r>
          </w:p>
        </w:tc>
        <w:tc>
          <w:tcPr>
            <w:tcW w:w="1190" w:type="dxa"/>
            <w:shd w:val="clear" w:color="auto" w:fill="C9C9C9"/>
            <w:tcMar>
              <w:top w:w="100" w:type="dxa"/>
              <w:left w:w="100" w:type="dxa"/>
              <w:bottom w:w="100" w:type="dxa"/>
              <w:right w:w="100" w:type="dxa"/>
            </w:tcMar>
          </w:tcPr>
          <w:p w14:paraId="64D561EF" w14:textId="77777777" w:rsidR="00154C5C" w:rsidRPr="00D535CE" w:rsidRDefault="00154C5C" w:rsidP="00154C5C">
            <w:pPr>
              <w:spacing w:after="0" w:line="240" w:lineRule="auto"/>
              <w:ind w:firstLine="0"/>
              <w:rPr>
                <w:rFonts w:eastAsia="Times New Roman" w:cs="Times New Roman"/>
                <w:b/>
                <w:sz w:val="22"/>
              </w:rPr>
            </w:pPr>
            <w:r w:rsidRPr="00D535CE">
              <w:rPr>
                <w:rFonts w:eastAsia="Times New Roman" w:cs="Times New Roman"/>
                <w:b/>
                <w:color w:val="212529"/>
                <w:sz w:val="22"/>
              </w:rPr>
              <w:t>2021, t</w:t>
            </w:r>
          </w:p>
        </w:tc>
        <w:tc>
          <w:tcPr>
            <w:tcW w:w="1190" w:type="dxa"/>
            <w:shd w:val="clear" w:color="auto" w:fill="C9C9C9"/>
            <w:tcMar>
              <w:top w:w="100" w:type="dxa"/>
              <w:left w:w="100" w:type="dxa"/>
              <w:bottom w:w="100" w:type="dxa"/>
              <w:right w:w="100" w:type="dxa"/>
            </w:tcMar>
          </w:tcPr>
          <w:p w14:paraId="691AF526" w14:textId="77777777" w:rsidR="00154C5C" w:rsidRPr="00D535CE" w:rsidRDefault="00154C5C" w:rsidP="00154C5C">
            <w:pPr>
              <w:spacing w:after="0" w:line="240" w:lineRule="auto"/>
              <w:ind w:firstLine="0"/>
              <w:rPr>
                <w:rFonts w:eastAsia="Times New Roman" w:cs="Times New Roman"/>
                <w:b/>
                <w:sz w:val="22"/>
              </w:rPr>
            </w:pPr>
            <w:r w:rsidRPr="00D535CE">
              <w:rPr>
                <w:rFonts w:eastAsia="Times New Roman" w:cs="Times New Roman"/>
                <w:b/>
                <w:color w:val="212529"/>
                <w:sz w:val="22"/>
              </w:rPr>
              <w:t>2022, t</w:t>
            </w:r>
          </w:p>
        </w:tc>
      </w:tr>
      <w:tr w:rsidR="00154C5C" w:rsidRPr="00D535CE" w14:paraId="7CDC59D1" w14:textId="77777777" w:rsidTr="00D46EB7">
        <w:trPr>
          <w:trHeight w:val="20"/>
        </w:trPr>
        <w:tc>
          <w:tcPr>
            <w:tcW w:w="3070" w:type="dxa"/>
            <w:shd w:val="clear" w:color="auto" w:fill="D9D9D9"/>
            <w:tcMar>
              <w:top w:w="100" w:type="dxa"/>
              <w:left w:w="100" w:type="dxa"/>
              <w:bottom w:w="100" w:type="dxa"/>
              <w:right w:w="100" w:type="dxa"/>
            </w:tcMar>
          </w:tcPr>
          <w:p w14:paraId="6C5567AB"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Animale vii, sfeclă de zahăr</w:t>
            </w:r>
          </w:p>
        </w:tc>
        <w:tc>
          <w:tcPr>
            <w:tcW w:w="1190" w:type="dxa"/>
            <w:shd w:val="clear" w:color="auto" w:fill="FFFFFF"/>
            <w:tcMar>
              <w:top w:w="100" w:type="dxa"/>
              <w:left w:w="100" w:type="dxa"/>
              <w:bottom w:w="100" w:type="dxa"/>
              <w:right w:w="100" w:type="dxa"/>
            </w:tcMar>
          </w:tcPr>
          <w:p w14:paraId="2376F66C"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70.934</w:t>
            </w:r>
          </w:p>
        </w:tc>
        <w:tc>
          <w:tcPr>
            <w:tcW w:w="1190" w:type="dxa"/>
            <w:shd w:val="clear" w:color="auto" w:fill="FFFFFF"/>
            <w:tcMar>
              <w:top w:w="100" w:type="dxa"/>
              <w:left w:w="100" w:type="dxa"/>
              <w:bottom w:w="100" w:type="dxa"/>
              <w:right w:w="100" w:type="dxa"/>
            </w:tcMar>
          </w:tcPr>
          <w:p w14:paraId="25D844E8"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96.399</w:t>
            </w:r>
          </w:p>
        </w:tc>
        <w:tc>
          <w:tcPr>
            <w:tcW w:w="1190" w:type="dxa"/>
            <w:shd w:val="clear" w:color="auto" w:fill="FFFFFF"/>
            <w:tcMar>
              <w:top w:w="100" w:type="dxa"/>
              <w:left w:w="100" w:type="dxa"/>
              <w:bottom w:w="100" w:type="dxa"/>
              <w:right w:w="100" w:type="dxa"/>
            </w:tcMar>
          </w:tcPr>
          <w:p w14:paraId="74D8508B"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100.433</w:t>
            </w:r>
          </w:p>
        </w:tc>
        <w:tc>
          <w:tcPr>
            <w:tcW w:w="1190" w:type="dxa"/>
            <w:shd w:val="clear" w:color="auto" w:fill="FFFFFF"/>
            <w:tcMar>
              <w:top w:w="100" w:type="dxa"/>
              <w:left w:w="100" w:type="dxa"/>
              <w:bottom w:w="100" w:type="dxa"/>
              <w:right w:w="100" w:type="dxa"/>
            </w:tcMar>
          </w:tcPr>
          <w:p w14:paraId="2996E3A7"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113.527</w:t>
            </w:r>
          </w:p>
        </w:tc>
        <w:tc>
          <w:tcPr>
            <w:tcW w:w="1190" w:type="dxa"/>
            <w:shd w:val="clear" w:color="auto" w:fill="FFFFFF"/>
            <w:tcMar>
              <w:top w:w="100" w:type="dxa"/>
              <w:left w:w="100" w:type="dxa"/>
              <w:bottom w:w="100" w:type="dxa"/>
              <w:right w:w="100" w:type="dxa"/>
            </w:tcMar>
          </w:tcPr>
          <w:p w14:paraId="1CA83A96"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93.085</w:t>
            </w:r>
          </w:p>
        </w:tc>
      </w:tr>
      <w:tr w:rsidR="00154C5C" w:rsidRPr="00D535CE" w14:paraId="34454221" w14:textId="77777777" w:rsidTr="00D46EB7">
        <w:trPr>
          <w:trHeight w:val="20"/>
        </w:trPr>
        <w:tc>
          <w:tcPr>
            <w:tcW w:w="3070" w:type="dxa"/>
            <w:shd w:val="clear" w:color="auto" w:fill="D9D9D9"/>
            <w:tcMar>
              <w:top w:w="100" w:type="dxa"/>
              <w:left w:w="100" w:type="dxa"/>
              <w:bottom w:w="100" w:type="dxa"/>
              <w:right w:w="100" w:type="dxa"/>
            </w:tcMar>
          </w:tcPr>
          <w:p w14:paraId="2C6E9226"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Articole diverse</w:t>
            </w:r>
          </w:p>
        </w:tc>
        <w:tc>
          <w:tcPr>
            <w:tcW w:w="1190" w:type="dxa"/>
            <w:shd w:val="clear" w:color="auto" w:fill="FFFFFF"/>
            <w:tcMar>
              <w:top w:w="100" w:type="dxa"/>
              <w:left w:w="100" w:type="dxa"/>
              <w:bottom w:w="100" w:type="dxa"/>
              <w:right w:w="100" w:type="dxa"/>
            </w:tcMar>
          </w:tcPr>
          <w:p w14:paraId="28E992F3"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6.567.347</w:t>
            </w:r>
          </w:p>
        </w:tc>
        <w:tc>
          <w:tcPr>
            <w:tcW w:w="1190" w:type="dxa"/>
            <w:shd w:val="clear" w:color="auto" w:fill="FFFFFF"/>
            <w:tcMar>
              <w:top w:w="100" w:type="dxa"/>
              <w:left w:w="100" w:type="dxa"/>
              <w:bottom w:w="100" w:type="dxa"/>
              <w:right w:w="100" w:type="dxa"/>
            </w:tcMar>
          </w:tcPr>
          <w:p w14:paraId="23B73145"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6.561.433</w:t>
            </w:r>
          </w:p>
        </w:tc>
        <w:tc>
          <w:tcPr>
            <w:tcW w:w="1190" w:type="dxa"/>
            <w:shd w:val="clear" w:color="auto" w:fill="FFFFFF"/>
            <w:tcMar>
              <w:top w:w="100" w:type="dxa"/>
              <w:left w:w="100" w:type="dxa"/>
              <w:bottom w:w="100" w:type="dxa"/>
              <w:right w:w="100" w:type="dxa"/>
            </w:tcMar>
          </w:tcPr>
          <w:p w14:paraId="45E9F85C"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6.348.655</w:t>
            </w:r>
          </w:p>
        </w:tc>
        <w:tc>
          <w:tcPr>
            <w:tcW w:w="1190" w:type="dxa"/>
            <w:shd w:val="clear" w:color="auto" w:fill="FFFFFF"/>
            <w:tcMar>
              <w:top w:w="100" w:type="dxa"/>
              <w:left w:w="100" w:type="dxa"/>
              <w:bottom w:w="100" w:type="dxa"/>
              <w:right w:w="100" w:type="dxa"/>
            </w:tcMar>
          </w:tcPr>
          <w:p w14:paraId="3BE9C886"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6.197.408</w:t>
            </w:r>
          </w:p>
        </w:tc>
        <w:tc>
          <w:tcPr>
            <w:tcW w:w="1190" w:type="dxa"/>
            <w:shd w:val="clear" w:color="auto" w:fill="FFFFFF"/>
            <w:tcMar>
              <w:top w:w="100" w:type="dxa"/>
              <w:left w:w="100" w:type="dxa"/>
              <w:bottom w:w="100" w:type="dxa"/>
              <w:right w:w="100" w:type="dxa"/>
            </w:tcMar>
          </w:tcPr>
          <w:p w14:paraId="12BE9420"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7.940.143</w:t>
            </w:r>
          </w:p>
        </w:tc>
      </w:tr>
      <w:tr w:rsidR="00154C5C" w:rsidRPr="00D535CE" w14:paraId="6DD43CBD" w14:textId="77777777" w:rsidTr="00D46EB7">
        <w:trPr>
          <w:trHeight w:val="20"/>
        </w:trPr>
        <w:tc>
          <w:tcPr>
            <w:tcW w:w="3070" w:type="dxa"/>
            <w:shd w:val="clear" w:color="auto" w:fill="D9D9D9"/>
            <w:tcMar>
              <w:top w:w="100" w:type="dxa"/>
              <w:left w:w="100" w:type="dxa"/>
              <w:bottom w:w="100" w:type="dxa"/>
              <w:right w:w="100" w:type="dxa"/>
            </w:tcMar>
          </w:tcPr>
          <w:p w14:paraId="6006AFCC"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Articole fabricate din metal</w:t>
            </w:r>
          </w:p>
        </w:tc>
        <w:tc>
          <w:tcPr>
            <w:tcW w:w="1190" w:type="dxa"/>
            <w:shd w:val="clear" w:color="auto" w:fill="FFFFFF"/>
            <w:tcMar>
              <w:top w:w="100" w:type="dxa"/>
              <w:left w:w="100" w:type="dxa"/>
              <w:bottom w:w="100" w:type="dxa"/>
              <w:right w:w="100" w:type="dxa"/>
            </w:tcMar>
          </w:tcPr>
          <w:p w14:paraId="7B930DB5"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8.019</w:t>
            </w:r>
          </w:p>
        </w:tc>
        <w:tc>
          <w:tcPr>
            <w:tcW w:w="1190" w:type="dxa"/>
            <w:shd w:val="clear" w:color="auto" w:fill="FFFFFF"/>
            <w:tcMar>
              <w:top w:w="100" w:type="dxa"/>
              <w:left w:w="100" w:type="dxa"/>
              <w:bottom w:w="100" w:type="dxa"/>
              <w:right w:w="100" w:type="dxa"/>
            </w:tcMar>
          </w:tcPr>
          <w:p w14:paraId="5381C879"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10.900</w:t>
            </w:r>
          </w:p>
        </w:tc>
        <w:tc>
          <w:tcPr>
            <w:tcW w:w="1190" w:type="dxa"/>
            <w:shd w:val="clear" w:color="auto" w:fill="FFFFFF"/>
            <w:tcMar>
              <w:top w:w="100" w:type="dxa"/>
              <w:left w:w="100" w:type="dxa"/>
              <w:bottom w:w="100" w:type="dxa"/>
              <w:right w:w="100" w:type="dxa"/>
            </w:tcMar>
          </w:tcPr>
          <w:p w14:paraId="34F49D34"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1.898</w:t>
            </w:r>
          </w:p>
        </w:tc>
        <w:tc>
          <w:tcPr>
            <w:tcW w:w="1190" w:type="dxa"/>
            <w:shd w:val="clear" w:color="auto" w:fill="FFFFFF"/>
            <w:tcMar>
              <w:top w:w="100" w:type="dxa"/>
              <w:left w:w="100" w:type="dxa"/>
              <w:bottom w:w="100" w:type="dxa"/>
              <w:right w:w="100" w:type="dxa"/>
            </w:tcMar>
          </w:tcPr>
          <w:p w14:paraId="273FA62A"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8.916</w:t>
            </w:r>
          </w:p>
        </w:tc>
        <w:tc>
          <w:tcPr>
            <w:tcW w:w="1190" w:type="dxa"/>
            <w:shd w:val="clear" w:color="auto" w:fill="FFFFFF"/>
            <w:tcMar>
              <w:top w:w="100" w:type="dxa"/>
              <w:left w:w="100" w:type="dxa"/>
              <w:bottom w:w="100" w:type="dxa"/>
              <w:right w:w="100" w:type="dxa"/>
            </w:tcMar>
          </w:tcPr>
          <w:p w14:paraId="4FD65DAB"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7.624</w:t>
            </w:r>
          </w:p>
        </w:tc>
      </w:tr>
      <w:tr w:rsidR="00154C5C" w:rsidRPr="00D535CE" w14:paraId="24D8F647" w14:textId="77777777" w:rsidTr="00D46EB7">
        <w:trPr>
          <w:trHeight w:val="20"/>
        </w:trPr>
        <w:tc>
          <w:tcPr>
            <w:tcW w:w="3070" w:type="dxa"/>
            <w:shd w:val="clear" w:color="auto" w:fill="D9D9D9"/>
            <w:tcMar>
              <w:top w:w="100" w:type="dxa"/>
              <w:left w:w="100" w:type="dxa"/>
              <w:bottom w:w="100" w:type="dxa"/>
              <w:right w:w="100" w:type="dxa"/>
            </w:tcMar>
          </w:tcPr>
          <w:p w14:paraId="022B13C7"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Cartofi, legume și fructe proaspete sau congelate</w:t>
            </w:r>
          </w:p>
        </w:tc>
        <w:tc>
          <w:tcPr>
            <w:tcW w:w="1190" w:type="dxa"/>
            <w:shd w:val="clear" w:color="auto" w:fill="FFFFFF"/>
            <w:tcMar>
              <w:top w:w="100" w:type="dxa"/>
              <w:left w:w="100" w:type="dxa"/>
              <w:bottom w:w="100" w:type="dxa"/>
              <w:right w:w="100" w:type="dxa"/>
            </w:tcMar>
          </w:tcPr>
          <w:p w14:paraId="49A2692C"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7.289</w:t>
            </w:r>
          </w:p>
        </w:tc>
        <w:tc>
          <w:tcPr>
            <w:tcW w:w="1190" w:type="dxa"/>
            <w:shd w:val="clear" w:color="auto" w:fill="FFFFFF"/>
            <w:tcMar>
              <w:top w:w="100" w:type="dxa"/>
              <w:left w:w="100" w:type="dxa"/>
              <w:bottom w:w="100" w:type="dxa"/>
              <w:right w:w="100" w:type="dxa"/>
            </w:tcMar>
          </w:tcPr>
          <w:p w14:paraId="76A99972"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3.227</w:t>
            </w:r>
          </w:p>
        </w:tc>
        <w:tc>
          <w:tcPr>
            <w:tcW w:w="1190" w:type="dxa"/>
            <w:shd w:val="clear" w:color="auto" w:fill="FFFFFF"/>
            <w:tcMar>
              <w:top w:w="100" w:type="dxa"/>
              <w:left w:w="100" w:type="dxa"/>
              <w:bottom w:w="100" w:type="dxa"/>
              <w:right w:w="100" w:type="dxa"/>
            </w:tcMar>
          </w:tcPr>
          <w:p w14:paraId="6370A0CD"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0</w:t>
            </w:r>
          </w:p>
        </w:tc>
        <w:tc>
          <w:tcPr>
            <w:tcW w:w="1190" w:type="dxa"/>
            <w:shd w:val="clear" w:color="auto" w:fill="FFFFFF"/>
            <w:tcMar>
              <w:top w:w="100" w:type="dxa"/>
              <w:left w:w="100" w:type="dxa"/>
              <w:bottom w:w="100" w:type="dxa"/>
              <w:right w:w="100" w:type="dxa"/>
            </w:tcMar>
          </w:tcPr>
          <w:p w14:paraId="72D5B202"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0</w:t>
            </w:r>
          </w:p>
        </w:tc>
        <w:tc>
          <w:tcPr>
            <w:tcW w:w="1190" w:type="dxa"/>
            <w:shd w:val="clear" w:color="auto" w:fill="FFFFFF"/>
            <w:tcMar>
              <w:top w:w="100" w:type="dxa"/>
              <w:left w:w="100" w:type="dxa"/>
              <w:bottom w:w="100" w:type="dxa"/>
              <w:right w:w="100" w:type="dxa"/>
            </w:tcMar>
          </w:tcPr>
          <w:p w14:paraId="0B1AF941"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0</w:t>
            </w:r>
          </w:p>
        </w:tc>
      </w:tr>
      <w:tr w:rsidR="00154C5C" w:rsidRPr="00D535CE" w14:paraId="5E760DAE" w14:textId="77777777" w:rsidTr="00D46EB7">
        <w:trPr>
          <w:trHeight w:val="20"/>
        </w:trPr>
        <w:tc>
          <w:tcPr>
            <w:tcW w:w="3070" w:type="dxa"/>
            <w:shd w:val="clear" w:color="auto" w:fill="D9D9D9"/>
            <w:tcMar>
              <w:top w:w="100" w:type="dxa"/>
              <w:left w:w="100" w:type="dxa"/>
              <w:bottom w:w="100" w:type="dxa"/>
              <w:right w:w="100" w:type="dxa"/>
            </w:tcMar>
          </w:tcPr>
          <w:p w14:paraId="326CB618"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Celuloza și deșeuri de hârtie</w:t>
            </w:r>
          </w:p>
        </w:tc>
        <w:tc>
          <w:tcPr>
            <w:tcW w:w="1190" w:type="dxa"/>
            <w:shd w:val="clear" w:color="auto" w:fill="FFFFFF"/>
            <w:tcMar>
              <w:top w:w="100" w:type="dxa"/>
              <w:left w:w="100" w:type="dxa"/>
              <w:bottom w:w="100" w:type="dxa"/>
              <w:right w:w="100" w:type="dxa"/>
            </w:tcMar>
          </w:tcPr>
          <w:p w14:paraId="0F928852"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28.274</w:t>
            </w:r>
          </w:p>
        </w:tc>
        <w:tc>
          <w:tcPr>
            <w:tcW w:w="1190" w:type="dxa"/>
            <w:shd w:val="clear" w:color="auto" w:fill="FFFFFF"/>
            <w:tcMar>
              <w:top w:w="100" w:type="dxa"/>
              <w:left w:w="100" w:type="dxa"/>
              <w:bottom w:w="100" w:type="dxa"/>
              <w:right w:w="100" w:type="dxa"/>
            </w:tcMar>
          </w:tcPr>
          <w:p w14:paraId="03845DDA"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48.801</w:t>
            </w:r>
          </w:p>
        </w:tc>
        <w:tc>
          <w:tcPr>
            <w:tcW w:w="1190" w:type="dxa"/>
            <w:shd w:val="clear" w:color="auto" w:fill="FFFFFF"/>
            <w:tcMar>
              <w:top w:w="100" w:type="dxa"/>
              <w:left w:w="100" w:type="dxa"/>
              <w:bottom w:w="100" w:type="dxa"/>
              <w:right w:w="100" w:type="dxa"/>
            </w:tcMar>
          </w:tcPr>
          <w:p w14:paraId="0811202F"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73.340</w:t>
            </w:r>
          </w:p>
        </w:tc>
        <w:tc>
          <w:tcPr>
            <w:tcW w:w="1190" w:type="dxa"/>
            <w:shd w:val="clear" w:color="auto" w:fill="FFFFFF"/>
            <w:tcMar>
              <w:top w:w="100" w:type="dxa"/>
              <w:left w:w="100" w:type="dxa"/>
              <w:bottom w:w="100" w:type="dxa"/>
              <w:right w:w="100" w:type="dxa"/>
            </w:tcMar>
          </w:tcPr>
          <w:p w14:paraId="140C5018"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58.992</w:t>
            </w:r>
          </w:p>
        </w:tc>
        <w:tc>
          <w:tcPr>
            <w:tcW w:w="1190" w:type="dxa"/>
            <w:shd w:val="clear" w:color="auto" w:fill="FFFFFF"/>
            <w:tcMar>
              <w:top w:w="100" w:type="dxa"/>
              <w:left w:w="100" w:type="dxa"/>
              <w:bottom w:w="100" w:type="dxa"/>
              <w:right w:w="100" w:type="dxa"/>
            </w:tcMar>
          </w:tcPr>
          <w:p w14:paraId="376951DB"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30.490</w:t>
            </w:r>
          </w:p>
        </w:tc>
      </w:tr>
      <w:tr w:rsidR="00154C5C" w:rsidRPr="00D535CE" w14:paraId="10349271" w14:textId="77777777" w:rsidTr="00D46EB7">
        <w:trPr>
          <w:trHeight w:val="20"/>
        </w:trPr>
        <w:tc>
          <w:tcPr>
            <w:tcW w:w="3070" w:type="dxa"/>
            <w:shd w:val="clear" w:color="auto" w:fill="D9D9D9"/>
            <w:tcMar>
              <w:top w:w="100" w:type="dxa"/>
              <w:left w:w="100" w:type="dxa"/>
              <w:bottom w:w="100" w:type="dxa"/>
              <w:right w:w="100" w:type="dxa"/>
            </w:tcMar>
          </w:tcPr>
          <w:p w14:paraId="71F7C538"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Cereale</w:t>
            </w:r>
          </w:p>
        </w:tc>
        <w:tc>
          <w:tcPr>
            <w:tcW w:w="1190" w:type="dxa"/>
            <w:shd w:val="clear" w:color="auto" w:fill="FFFFFF"/>
            <w:tcMar>
              <w:top w:w="100" w:type="dxa"/>
              <w:left w:w="100" w:type="dxa"/>
              <w:bottom w:w="100" w:type="dxa"/>
              <w:right w:w="100" w:type="dxa"/>
            </w:tcMar>
          </w:tcPr>
          <w:p w14:paraId="4955DC98"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17.963.535</w:t>
            </w:r>
          </w:p>
        </w:tc>
        <w:tc>
          <w:tcPr>
            <w:tcW w:w="1190" w:type="dxa"/>
            <w:shd w:val="clear" w:color="auto" w:fill="FFFFFF"/>
            <w:tcMar>
              <w:top w:w="100" w:type="dxa"/>
              <w:left w:w="100" w:type="dxa"/>
              <w:bottom w:w="100" w:type="dxa"/>
              <w:right w:w="100" w:type="dxa"/>
            </w:tcMar>
          </w:tcPr>
          <w:p w14:paraId="7DFC98BE"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21.329.156</w:t>
            </w:r>
          </w:p>
        </w:tc>
        <w:tc>
          <w:tcPr>
            <w:tcW w:w="1190" w:type="dxa"/>
            <w:shd w:val="clear" w:color="auto" w:fill="FFFFFF"/>
            <w:tcMar>
              <w:top w:w="100" w:type="dxa"/>
              <w:left w:w="100" w:type="dxa"/>
              <w:bottom w:w="100" w:type="dxa"/>
              <w:right w:w="100" w:type="dxa"/>
            </w:tcMar>
          </w:tcPr>
          <w:p w14:paraId="5E7CB5F2"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21.893.550</w:t>
            </w:r>
          </w:p>
        </w:tc>
        <w:tc>
          <w:tcPr>
            <w:tcW w:w="1190" w:type="dxa"/>
            <w:shd w:val="clear" w:color="auto" w:fill="FFFFFF"/>
            <w:tcMar>
              <w:top w:w="100" w:type="dxa"/>
              <w:left w:w="100" w:type="dxa"/>
              <w:bottom w:w="100" w:type="dxa"/>
              <w:right w:w="100" w:type="dxa"/>
            </w:tcMar>
          </w:tcPr>
          <w:p w14:paraId="715CE7BE"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25.174.619</w:t>
            </w:r>
          </w:p>
        </w:tc>
        <w:tc>
          <w:tcPr>
            <w:tcW w:w="1190" w:type="dxa"/>
            <w:shd w:val="clear" w:color="auto" w:fill="FFFFFF"/>
            <w:tcMar>
              <w:top w:w="100" w:type="dxa"/>
              <w:left w:w="100" w:type="dxa"/>
              <w:bottom w:w="100" w:type="dxa"/>
              <w:right w:w="100" w:type="dxa"/>
            </w:tcMar>
          </w:tcPr>
          <w:p w14:paraId="14335445" w14:textId="77777777" w:rsidR="00154C5C" w:rsidRPr="00D535CE" w:rsidRDefault="00154C5C" w:rsidP="00154C5C">
            <w:pPr>
              <w:spacing w:after="0" w:line="240" w:lineRule="auto"/>
              <w:ind w:firstLine="0"/>
              <w:rPr>
                <w:rFonts w:eastAsia="Times New Roman" w:cs="Times New Roman"/>
                <w:sz w:val="22"/>
              </w:rPr>
            </w:pPr>
            <w:r w:rsidRPr="00D535CE">
              <w:rPr>
                <w:rFonts w:eastAsia="Times New Roman" w:cs="Times New Roman"/>
                <w:color w:val="212529"/>
                <w:sz w:val="22"/>
              </w:rPr>
              <w:t>24.010.975</w:t>
            </w:r>
          </w:p>
        </w:tc>
      </w:tr>
      <w:tr w:rsidR="00154C5C" w:rsidRPr="00D535CE" w14:paraId="2DF1A38D" w14:textId="77777777" w:rsidTr="00D46EB7">
        <w:trPr>
          <w:trHeight w:val="20"/>
        </w:trPr>
        <w:tc>
          <w:tcPr>
            <w:tcW w:w="3070" w:type="dxa"/>
            <w:shd w:val="clear" w:color="auto" w:fill="D9D9D9"/>
            <w:tcMar>
              <w:top w:w="100" w:type="dxa"/>
              <w:left w:w="100" w:type="dxa"/>
              <w:bottom w:w="100" w:type="dxa"/>
              <w:right w:w="100" w:type="dxa"/>
            </w:tcMar>
          </w:tcPr>
          <w:p w14:paraId="4BE2B571"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Ciment, var nestins, materiale prefabricate pentru construcții</w:t>
            </w:r>
          </w:p>
        </w:tc>
        <w:tc>
          <w:tcPr>
            <w:tcW w:w="1190" w:type="dxa"/>
            <w:shd w:val="clear" w:color="auto" w:fill="FFFFFF"/>
            <w:tcMar>
              <w:top w:w="100" w:type="dxa"/>
              <w:left w:w="100" w:type="dxa"/>
              <w:bottom w:w="100" w:type="dxa"/>
              <w:right w:w="100" w:type="dxa"/>
            </w:tcMar>
          </w:tcPr>
          <w:p w14:paraId="53579953"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205.712</w:t>
            </w:r>
          </w:p>
        </w:tc>
        <w:tc>
          <w:tcPr>
            <w:tcW w:w="1190" w:type="dxa"/>
            <w:shd w:val="clear" w:color="auto" w:fill="FFFFFF"/>
            <w:tcMar>
              <w:top w:w="100" w:type="dxa"/>
              <w:left w:w="100" w:type="dxa"/>
              <w:bottom w:w="100" w:type="dxa"/>
              <w:right w:w="100" w:type="dxa"/>
            </w:tcMar>
          </w:tcPr>
          <w:p w14:paraId="62A1E6DB"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363.850</w:t>
            </w:r>
          </w:p>
        </w:tc>
        <w:tc>
          <w:tcPr>
            <w:tcW w:w="1190" w:type="dxa"/>
            <w:shd w:val="clear" w:color="auto" w:fill="FFFFFF"/>
            <w:tcMar>
              <w:top w:w="100" w:type="dxa"/>
              <w:left w:w="100" w:type="dxa"/>
              <w:bottom w:w="100" w:type="dxa"/>
              <w:right w:w="100" w:type="dxa"/>
            </w:tcMar>
          </w:tcPr>
          <w:p w14:paraId="78225A5D"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703.119</w:t>
            </w:r>
          </w:p>
        </w:tc>
        <w:tc>
          <w:tcPr>
            <w:tcW w:w="1190" w:type="dxa"/>
            <w:shd w:val="clear" w:color="auto" w:fill="FFFFFF"/>
            <w:tcMar>
              <w:top w:w="100" w:type="dxa"/>
              <w:left w:w="100" w:type="dxa"/>
              <w:bottom w:w="100" w:type="dxa"/>
              <w:right w:w="100" w:type="dxa"/>
            </w:tcMar>
          </w:tcPr>
          <w:p w14:paraId="58F196D2"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814.793</w:t>
            </w:r>
          </w:p>
        </w:tc>
        <w:tc>
          <w:tcPr>
            <w:tcW w:w="1190" w:type="dxa"/>
            <w:shd w:val="clear" w:color="auto" w:fill="FFFFFF"/>
            <w:tcMar>
              <w:top w:w="100" w:type="dxa"/>
              <w:left w:w="100" w:type="dxa"/>
              <w:bottom w:w="100" w:type="dxa"/>
              <w:right w:w="100" w:type="dxa"/>
            </w:tcMar>
          </w:tcPr>
          <w:p w14:paraId="4733EC00"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620.894</w:t>
            </w:r>
          </w:p>
        </w:tc>
      </w:tr>
      <w:tr w:rsidR="00154C5C" w:rsidRPr="00D535CE" w14:paraId="2EB36DF9" w14:textId="77777777" w:rsidTr="00D46EB7">
        <w:trPr>
          <w:trHeight w:val="20"/>
        </w:trPr>
        <w:tc>
          <w:tcPr>
            <w:tcW w:w="3070" w:type="dxa"/>
            <w:shd w:val="clear" w:color="auto" w:fill="D9D9D9"/>
            <w:tcMar>
              <w:top w:w="100" w:type="dxa"/>
              <w:left w:w="100" w:type="dxa"/>
              <w:bottom w:w="100" w:type="dxa"/>
              <w:right w:w="100" w:type="dxa"/>
            </w:tcMar>
          </w:tcPr>
          <w:p w14:paraId="2A1C331D"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Combustibili minerali solizi</w:t>
            </w:r>
          </w:p>
        </w:tc>
        <w:tc>
          <w:tcPr>
            <w:tcW w:w="1190" w:type="dxa"/>
            <w:shd w:val="clear" w:color="auto" w:fill="FFFFFF"/>
            <w:tcMar>
              <w:top w:w="100" w:type="dxa"/>
              <w:left w:w="100" w:type="dxa"/>
              <w:bottom w:w="100" w:type="dxa"/>
              <w:right w:w="100" w:type="dxa"/>
            </w:tcMar>
          </w:tcPr>
          <w:p w14:paraId="16E19FAD"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3.770.447</w:t>
            </w:r>
          </w:p>
        </w:tc>
        <w:tc>
          <w:tcPr>
            <w:tcW w:w="1190" w:type="dxa"/>
            <w:shd w:val="clear" w:color="auto" w:fill="FFFFFF"/>
            <w:tcMar>
              <w:top w:w="100" w:type="dxa"/>
              <w:left w:w="100" w:type="dxa"/>
              <w:bottom w:w="100" w:type="dxa"/>
              <w:right w:w="100" w:type="dxa"/>
            </w:tcMar>
          </w:tcPr>
          <w:p w14:paraId="68B775E7"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3.834.946</w:t>
            </w:r>
          </w:p>
        </w:tc>
        <w:tc>
          <w:tcPr>
            <w:tcW w:w="1190" w:type="dxa"/>
            <w:shd w:val="clear" w:color="auto" w:fill="FFFFFF"/>
            <w:tcMar>
              <w:top w:w="100" w:type="dxa"/>
              <w:left w:w="100" w:type="dxa"/>
              <w:bottom w:w="100" w:type="dxa"/>
              <w:right w:w="100" w:type="dxa"/>
            </w:tcMar>
          </w:tcPr>
          <w:p w14:paraId="613318C0"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2.850.701</w:t>
            </w:r>
          </w:p>
        </w:tc>
        <w:tc>
          <w:tcPr>
            <w:tcW w:w="1190" w:type="dxa"/>
            <w:shd w:val="clear" w:color="auto" w:fill="FFFFFF"/>
            <w:tcMar>
              <w:top w:w="100" w:type="dxa"/>
              <w:left w:w="100" w:type="dxa"/>
              <w:bottom w:w="100" w:type="dxa"/>
              <w:right w:w="100" w:type="dxa"/>
            </w:tcMar>
          </w:tcPr>
          <w:p w14:paraId="004964EE"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3.438.621</w:t>
            </w:r>
          </w:p>
        </w:tc>
        <w:tc>
          <w:tcPr>
            <w:tcW w:w="1190" w:type="dxa"/>
            <w:shd w:val="clear" w:color="auto" w:fill="FFFFFF"/>
            <w:tcMar>
              <w:top w:w="100" w:type="dxa"/>
              <w:left w:w="100" w:type="dxa"/>
              <w:bottom w:w="100" w:type="dxa"/>
              <w:right w:w="100" w:type="dxa"/>
            </w:tcMar>
          </w:tcPr>
          <w:p w14:paraId="1AB1B683"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3.481.817</w:t>
            </w:r>
          </w:p>
        </w:tc>
      </w:tr>
      <w:tr w:rsidR="00154C5C" w:rsidRPr="00D535CE" w14:paraId="30110BB0" w14:textId="77777777" w:rsidTr="00D46EB7">
        <w:trPr>
          <w:trHeight w:val="20"/>
        </w:trPr>
        <w:tc>
          <w:tcPr>
            <w:tcW w:w="3070" w:type="dxa"/>
            <w:shd w:val="clear" w:color="auto" w:fill="D9D9D9"/>
            <w:tcMar>
              <w:top w:w="100" w:type="dxa"/>
              <w:left w:w="100" w:type="dxa"/>
              <w:bottom w:w="100" w:type="dxa"/>
              <w:right w:w="100" w:type="dxa"/>
            </w:tcMar>
          </w:tcPr>
          <w:p w14:paraId="348EBC07"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Echipamente, mașini</w:t>
            </w:r>
          </w:p>
        </w:tc>
        <w:tc>
          <w:tcPr>
            <w:tcW w:w="1190" w:type="dxa"/>
            <w:shd w:val="clear" w:color="auto" w:fill="FFFFFF"/>
            <w:tcMar>
              <w:top w:w="100" w:type="dxa"/>
              <w:left w:w="100" w:type="dxa"/>
              <w:bottom w:w="100" w:type="dxa"/>
              <w:right w:w="100" w:type="dxa"/>
            </w:tcMar>
          </w:tcPr>
          <w:p w14:paraId="62D038D3"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535.331</w:t>
            </w:r>
          </w:p>
        </w:tc>
        <w:tc>
          <w:tcPr>
            <w:tcW w:w="1190" w:type="dxa"/>
            <w:shd w:val="clear" w:color="auto" w:fill="FFFFFF"/>
            <w:tcMar>
              <w:top w:w="100" w:type="dxa"/>
              <w:left w:w="100" w:type="dxa"/>
              <w:bottom w:w="100" w:type="dxa"/>
              <w:right w:w="100" w:type="dxa"/>
            </w:tcMar>
          </w:tcPr>
          <w:p w14:paraId="6920E026"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376.115</w:t>
            </w:r>
          </w:p>
        </w:tc>
        <w:tc>
          <w:tcPr>
            <w:tcW w:w="1190" w:type="dxa"/>
            <w:shd w:val="clear" w:color="auto" w:fill="FFFFFF"/>
            <w:tcMar>
              <w:top w:w="100" w:type="dxa"/>
              <w:left w:w="100" w:type="dxa"/>
              <w:bottom w:w="100" w:type="dxa"/>
              <w:right w:w="100" w:type="dxa"/>
            </w:tcMar>
          </w:tcPr>
          <w:p w14:paraId="2D44086B"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441.600</w:t>
            </w:r>
          </w:p>
        </w:tc>
        <w:tc>
          <w:tcPr>
            <w:tcW w:w="1190" w:type="dxa"/>
            <w:shd w:val="clear" w:color="auto" w:fill="FFFFFF"/>
            <w:tcMar>
              <w:top w:w="100" w:type="dxa"/>
              <w:left w:w="100" w:type="dxa"/>
              <w:bottom w:w="100" w:type="dxa"/>
              <w:right w:w="100" w:type="dxa"/>
            </w:tcMar>
          </w:tcPr>
          <w:p w14:paraId="2603B8F4"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433.666</w:t>
            </w:r>
          </w:p>
        </w:tc>
        <w:tc>
          <w:tcPr>
            <w:tcW w:w="1190" w:type="dxa"/>
            <w:shd w:val="clear" w:color="auto" w:fill="FFFFFF"/>
            <w:tcMar>
              <w:top w:w="100" w:type="dxa"/>
              <w:left w:w="100" w:type="dxa"/>
              <w:bottom w:w="100" w:type="dxa"/>
              <w:right w:w="100" w:type="dxa"/>
            </w:tcMar>
          </w:tcPr>
          <w:p w14:paraId="77DB3870"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464.448</w:t>
            </w:r>
          </w:p>
        </w:tc>
      </w:tr>
      <w:tr w:rsidR="00154C5C" w:rsidRPr="00D535CE" w14:paraId="102A12E0" w14:textId="77777777" w:rsidTr="00D46EB7">
        <w:trPr>
          <w:trHeight w:val="20"/>
        </w:trPr>
        <w:tc>
          <w:tcPr>
            <w:tcW w:w="3070" w:type="dxa"/>
            <w:shd w:val="clear" w:color="auto" w:fill="D9D9D9"/>
            <w:tcMar>
              <w:top w:w="100" w:type="dxa"/>
              <w:left w:w="100" w:type="dxa"/>
              <w:bottom w:w="100" w:type="dxa"/>
              <w:right w:w="100" w:type="dxa"/>
            </w:tcMar>
          </w:tcPr>
          <w:p w14:paraId="18FA211A"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Îngrășăminte </w:t>
            </w:r>
          </w:p>
        </w:tc>
        <w:tc>
          <w:tcPr>
            <w:tcW w:w="1190" w:type="dxa"/>
            <w:shd w:val="clear" w:color="auto" w:fill="FFFFFF"/>
            <w:tcMar>
              <w:top w:w="100" w:type="dxa"/>
              <w:left w:w="100" w:type="dxa"/>
              <w:bottom w:w="100" w:type="dxa"/>
              <w:right w:w="100" w:type="dxa"/>
            </w:tcMar>
          </w:tcPr>
          <w:p w14:paraId="4ED4A4D5"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3.007.574</w:t>
            </w:r>
          </w:p>
        </w:tc>
        <w:tc>
          <w:tcPr>
            <w:tcW w:w="1190" w:type="dxa"/>
            <w:shd w:val="clear" w:color="auto" w:fill="FFFFFF"/>
            <w:tcMar>
              <w:top w:w="100" w:type="dxa"/>
              <w:left w:w="100" w:type="dxa"/>
              <w:bottom w:w="100" w:type="dxa"/>
              <w:right w:w="100" w:type="dxa"/>
            </w:tcMar>
          </w:tcPr>
          <w:p w14:paraId="4EC456AB"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4.024.682</w:t>
            </w:r>
          </w:p>
        </w:tc>
        <w:tc>
          <w:tcPr>
            <w:tcW w:w="1190" w:type="dxa"/>
            <w:shd w:val="clear" w:color="auto" w:fill="FFFFFF"/>
            <w:tcMar>
              <w:top w:w="100" w:type="dxa"/>
              <w:left w:w="100" w:type="dxa"/>
              <w:bottom w:w="100" w:type="dxa"/>
              <w:right w:w="100" w:type="dxa"/>
            </w:tcMar>
          </w:tcPr>
          <w:p w14:paraId="5D3DCF69"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4.420.218</w:t>
            </w:r>
          </w:p>
        </w:tc>
        <w:tc>
          <w:tcPr>
            <w:tcW w:w="1190" w:type="dxa"/>
            <w:shd w:val="clear" w:color="auto" w:fill="FFFFFF"/>
            <w:tcMar>
              <w:top w:w="100" w:type="dxa"/>
              <w:left w:w="100" w:type="dxa"/>
              <w:bottom w:w="100" w:type="dxa"/>
              <w:right w:w="100" w:type="dxa"/>
            </w:tcMar>
          </w:tcPr>
          <w:p w14:paraId="274AE190"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4.103.372</w:t>
            </w:r>
          </w:p>
        </w:tc>
        <w:tc>
          <w:tcPr>
            <w:tcW w:w="1190" w:type="dxa"/>
            <w:shd w:val="clear" w:color="auto" w:fill="FFFFFF"/>
            <w:tcMar>
              <w:top w:w="100" w:type="dxa"/>
              <w:left w:w="100" w:type="dxa"/>
              <w:bottom w:w="100" w:type="dxa"/>
              <w:right w:w="100" w:type="dxa"/>
            </w:tcMar>
          </w:tcPr>
          <w:p w14:paraId="7EBC12CC"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4.507.272</w:t>
            </w:r>
          </w:p>
        </w:tc>
      </w:tr>
      <w:tr w:rsidR="00154C5C" w:rsidRPr="00D535CE" w14:paraId="0A0BA799" w14:textId="77777777" w:rsidTr="00D46EB7">
        <w:trPr>
          <w:trHeight w:val="20"/>
        </w:trPr>
        <w:tc>
          <w:tcPr>
            <w:tcW w:w="3070" w:type="dxa"/>
            <w:shd w:val="clear" w:color="auto" w:fill="D9D9D9"/>
            <w:tcMar>
              <w:top w:w="100" w:type="dxa"/>
              <w:left w:w="100" w:type="dxa"/>
              <w:bottom w:w="100" w:type="dxa"/>
              <w:right w:w="100" w:type="dxa"/>
            </w:tcMar>
          </w:tcPr>
          <w:p w14:paraId="3922CB1B"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Lemn și plută</w:t>
            </w:r>
          </w:p>
        </w:tc>
        <w:tc>
          <w:tcPr>
            <w:tcW w:w="1190" w:type="dxa"/>
            <w:shd w:val="clear" w:color="auto" w:fill="FFFFFF"/>
            <w:tcMar>
              <w:top w:w="100" w:type="dxa"/>
              <w:left w:w="100" w:type="dxa"/>
              <w:bottom w:w="100" w:type="dxa"/>
              <w:right w:w="100" w:type="dxa"/>
            </w:tcMar>
          </w:tcPr>
          <w:p w14:paraId="06D69956"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314.695</w:t>
            </w:r>
          </w:p>
        </w:tc>
        <w:tc>
          <w:tcPr>
            <w:tcW w:w="1190" w:type="dxa"/>
            <w:shd w:val="clear" w:color="auto" w:fill="FFFFFF"/>
            <w:tcMar>
              <w:top w:w="100" w:type="dxa"/>
              <w:left w:w="100" w:type="dxa"/>
              <w:bottom w:w="100" w:type="dxa"/>
              <w:right w:w="100" w:type="dxa"/>
            </w:tcMar>
          </w:tcPr>
          <w:p w14:paraId="71C53981"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289.549</w:t>
            </w:r>
          </w:p>
        </w:tc>
        <w:tc>
          <w:tcPr>
            <w:tcW w:w="1190" w:type="dxa"/>
            <w:shd w:val="clear" w:color="auto" w:fill="FFFFFF"/>
            <w:tcMar>
              <w:top w:w="100" w:type="dxa"/>
              <w:left w:w="100" w:type="dxa"/>
              <w:bottom w:w="100" w:type="dxa"/>
              <w:right w:w="100" w:type="dxa"/>
            </w:tcMar>
          </w:tcPr>
          <w:p w14:paraId="363BEBB8"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227.098</w:t>
            </w:r>
          </w:p>
        </w:tc>
        <w:tc>
          <w:tcPr>
            <w:tcW w:w="1190" w:type="dxa"/>
            <w:shd w:val="clear" w:color="auto" w:fill="FFFFFF"/>
            <w:tcMar>
              <w:top w:w="100" w:type="dxa"/>
              <w:left w:w="100" w:type="dxa"/>
              <w:bottom w:w="100" w:type="dxa"/>
              <w:right w:w="100" w:type="dxa"/>
            </w:tcMar>
          </w:tcPr>
          <w:p w14:paraId="33CED460"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411.763</w:t>
            </w:r>
          </w:p>
        </w:tc>
        <w:tc>
          <w:tcPr>
            <w:tcW w:w="1190" w:type="dxa"/>
            <w:shd w:val="clear" w:color="auto" w:fill="FFFFFF"/>
            <w:tcMar>
              <w:top w:w="100" w:type="dxa"/>
              <w:left w:w="100" w:type="dxa"/>
              <w:bottom w:w="100" w:type="dxa"/>
              <w:right w:w="100" w:type="dxa"/>
            </w:tcMar>
          </w:tcPr>
          <w:p w14:paraId="20B63B3F" w14:textId="77777777" w:rsidR="00154C5C" w:rsidRPr="00D535CE" w:rsidRDefault="00154C5C" w:rsidP="00D46EB7">
            <w:pPr>
              <w:spacing w:after="0" w:line="240" w:lineRule="auto"/>
              <w:rPr>
                <w:rFonts w:eastAsia="Times New Roman" w:cs="Times New Roman"/>
                <w:sz w:val="22"/>
              </w:rPr>
            </w:pPr>
            <w:r w:rsidRPr="00D535CE">
              <w:rPr>
                <w:rFonts w:eastAsia="Times New Roman" w:cs="Times New Roman"/>
                <w:color w:val="212529"/>
                <w:sz w:val="22"/>
              </w:rPr>
              <w:t>386.329</w:t>
            </w:r>
          </w:p>
        </w:tc>
      </w:tr>
      <w:tr w:rsidR="00154C5C" w:rsidRPr="00D535CE" w14:paraId="04062FA5" w14:textId="77777777" w:rsidTr="00D46EB7">
        <w:trPr>
          <w:trHeight w:val="20"/>
        </w:trPr>
        <w:tc>
          <w:tcPr>
            <w:tcW w:w="3070" w:type="dxa"/>
            <w:shd w:val="clear" w:color="auto" w:fill="D9D9D9"/>
            <w:tcMar>
              <w:top w:w="100" w:type="dxa"/>
              <w:left w:w="100" w:type="dxa"/>
              <w:bottom w:w="100" w:type="dxa"/>
              <w:right w:w="100" w:type="dxa"/>
            </w:tcMar>
          </w:tcPr>
          <w:p w14:paraId="7C294589"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Minerale brute sau prelucrate</w:t>
            </w:r>
          </w:p>
        </w:tc>
        <w:tc>
          <w:tcPr>
            <w:tcW w:w="1190" w:type="dxa"/>
            <w:shd w:val="clear" w:color="auto" w:fill="FFFFFF"/>
            <w:tcMar>
              <w:top w:w="100" w:type="dxa"/>
              <w:left w:w="100" w:type="dxa"/>
              <w:bottom w:w="100" w:type="dxa"/>
              <w:right w:w="100" w:type="dxa"/>
            </w:tcMar>
          </w:tcPr>
          <w:p w14:paraId="565D985F"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448.322</w:t>
            </w:r>
          </w:p>
        </w:tc>
        <w:tc>
          <w:tcPr>
            <w:tcW w:w="1190" w:type="dxa"/>
            <w:shd w:val="clear" w:color="auto" w:fill="FFFFFF"/>
            <w:tcMar>
              <w:top w:w="100" w:type="dxa"/>
              <w:left w:w="100" w:type="dxa"/>
              <w:bottom w:w="100" w:type="dxa"/>
              <w:right w:w="100" w:type="dxa"/>
            </w:tcMar>
          </w:tcPr>
          <w:p w14:paraId="5FAB5B3D"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615.906</w:t>
            </w:r>
          </w:p>
        </w:tc>
        <w:tc>
          <w:tcPr>
            <w:tcW w:w="1190" w:type="dxa"/>
            <w:shd w:val="clear" w:color="auto" w:fill="FFFFFF"/>
            <w:tcMar>
              <w:top w:w="100" w:type="dxa"/>
              <w:left w:w="100" w:type="dxa"/>
              <w:bottom w:w="100" w:type="dxa"/>
              <w:right w:w="100" w:type="dxa"/>
            </w:tcMar>
          </w:tcPr>
          <w:p w14:paraId="4BD80E1F"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594.396</w:t>
            </w:r>
          </w:p>
        </w:tc>
        <w:tc>
          <w:tcPr>
            <w:tcW w:w="1190" w:type="dxa"/>
            <w:shd w:val="clear" w:color="auto" w:fill="FFFFFF"/>
            <w:tcMar>
              <w:top w:w="100" w:type="dxa"/>
              <w:left w:w="100" w:type="dxa"/>
              <w:bottom w:w="100" w:type="dxa"/>
              <w:right w:w="100" w:type="dxa"/>
            </w:tcMar>
          </w:tcPr>
          <w:p w14:paraId="3AA2A8BC"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892.854</w:t>
            </w:r>
          </w:p>
        </w:tc>
        <w:tc>
          <w:tcPr>
            <w:tcW w:w="1190" w:type="dxa"/>
            <w:shd w:val="clear" w:color="auto" w:fill="FFFFFF"/>
            <w:tcMar>
              <w:top w:w="100" w:type="dxa"/>
              <w:left w:w="100" w:type="dxa"/>
              <w:bottom w:w="100" w:type="dxa"/>
              <w:right w:w="100" w:type="dxa"/>
            </w:tcMar>
          </w:tcPr>
          <w:p w14:paraId="0D2FF63D"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1.223.515</w:t>
            </w:r>
          </w:p>
        </w:tc>
      </w:tr>
      <w:tr w:rsidR="00154C5C" w:rsidRPr="00D535CE" w14:paraId="173AAE4D" w14:textId="77777777" w:rsidTr="00D46EB7">
        <w:trPr>
          <w:trHeight w:val="20"/>
        </w:trPr>
        <w:tc>
          <w:tcPr>
            <w:tcW w:w="3070" w:type="dxa"/>
            <w:shd w:val="clear" w:color="auto" w:fill="D9D9D9"/>
            <w:tcMar>
              <w:top w:w="100" w:type="dxa"/>
              <w:left w:w="100" w:type="dxa"/>
              <w:bottom w:w="100" w:type="dxa"/>
              <w:right w:w="100" w:type="dxa"/>
            </w:tcMar>
          </w:tcPr>
          <w:p w14:paraId="7C5E8A3B"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Minereuri de fier, deșeuri de fier și oțel</w:t>
            </w:r>
          </w:p>
        </w:tc>
        <w:tc>
          <w:tcPr>
            <w:tcW w:w="1190" w:type="dxa"/>
            <w:shd w:val="clear" w:color="auto" w:fill="FFFFFF"/>
            <w:tcMar>
              <w:top w:w="100" w:type="dxa"/>
              <w:left w:w="100" w:type="dxa"/>
              <w:bottom w:w="100" w:type="dxa"/>
              <w:right w:w="100" w:type="dxa"/>
            </w:tcMar>
          </w:tcPr>
          <w:p w14:paraId="51E9E99A"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4.521.893</w:t>
            </w:r>
          </w:p>
        </w:tc>
        <w:tc>
          <w:tcPr>
            <w:tcW w:w="1190" w:type="dxa"/>
            <w:shd w:val="clear" w:color="auto" w:fill="FFFFFF"/>
            <w:tcMar>
              <w:top w:w="100" w:type="dxa"/>
              <w:left w:w="100" w:type="dxa"/>
              <w:bottom w:w="100" w:type="dxa"/>
              <w:right w:w="100" w:type="dxa"/>
            </w:tcMar>
          </w:tcPr>
          <w:p w14:paraId="15B38FA4"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5.189.807</w:t>
            </w:r>
          </w:p>
        </w:tc>
        <w:tc>
          <w:tcPr>
            <w:tcW w:w="1190" w:type="dxa"/>
            <w:shd w:val="clear" w:color="auto" w:fill="FFFFFF"/>
            <w:tcMar>
              <w:top w:w="100" w:type="dxa"/>
              <w:left w:w="100" w:type="dxa"/>
              <w:bottom w:w="100" w:type="dxa"/>
              <w:right w:w="100" w:type="dxa"/>
            </w:tcMar>
          </w:tcPr>
          <w:p w14:paraId="249A4020"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3.868.790</w:t>
            </w:r>
          </w:p>
        </w:tc>
        <w:tc>
          <w:tcPr>
            <w:tcW w:w="1190" w:type="dxa"/>
            <w:shd w:val="clear" w:color="auto" w:fill="FFFFFF"/>
            <w:tcMar>
              <w:top w:w="100" w:type="dxa"/>
              <w:left w:w="100" w:type="dxa"/>
              <w:bottom w:w="100" w:type="dxa"/>
              <w:right w:w="100" w:type="dxa"/>
            </w:tcMar>
          </w:tcPr>
          <w:p w14:paraId="4C9AD248"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4.766.262</w:t>
            </w:r>
          </w:p>
        </w:tc>
        <w:tc>
          <w:tcPr>
            <w:tcW w:w="1190" w:type="dxa"/>
            <w:shd w:val="clear" w:color="auto" w:fill="FFFFFF"/>
            <w:tcMar>
              <w:top w:w="100" w:type="dxa"/>
              <w:left w:w="100" w:type="dxa"/>
              <w:bottom w:w="100" w:type="dxa"/>
              <w:right w:w="100" w:type="dxa"/>
            </w:tcMar>
          </w:tcPr>
          <w:p w14:paraId="6A81F902"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7.002.094</w:t>
            </w:r>
          </w:p>
        </w:tc>
      </w:tr>
      <w:tr w:rsidR="00154C5C" w:rsidRPr="00D535CE" w14:paraId="2D2DEE39" w14:textId="77777777" w:rsidTr="00D46EB7">
        <w:trPr>
          <w:trHeight w:val="20"/>
        </w:trPr>
        <w:tc>
          <w:tcPr>
            <w:tcW w:w="3070" w:type="dxa"/>
            <w:shd w:val="clear" w:color="auto" w:fill="D9D9D9"/>
            <w:tcMar>
              <w:top w:w="100" w:type="dxa"/>
              <w:left w:w="100" w:type="dxa"/>
              <w:bottom w:w="100" w:type="dxa"/>
              <w:right w:w="100" w:type="dxa"/>
            </w:tcMar>
          </w:tcPr>
          <w:p w14:paraId="413D7B04"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Minereuri și deșeuri neferoase</w:t>
            </w:r>
          </w:p>
        </w:tc>
        <w:tc>
          <w:tcPr>
            <w:tcW w:w="1190" w:type="dxa"/>
            <w:shd w:val="clear" w:color="auto" w:fill="FFFFFF"/>
            <w:tcMar>
              <w:top w:w="100" w:type="dxa"/>
              <w:left w:w="100" w:type="dxa"/>
              <w:bottom w:w="100" w:type="dxa"/>
              <w:right w:w="100" w:type="dxa"/>
            </w:tcMar>
          </w:tcPr>
          <w:p w14:paraId="6EA52762"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3.976.068</w:t>
            </w:r>
          </w:p>
        </w:tc>
        <w:tc>
          <w:tcPr>
            <w:tcW w:w="1190" w:type="dxa"/>
            <w:shd w:val="clear" w:color="auto" w:fill="FFFFFF"/>
            <w:tcMar>
              <w:top w:w="100" w:type="dxa"/>
              <w:left w:w="100" w:type="dxa"/>
              <w:bottom w:w="100" w:type="dxa"/>
              <w:right w:w="100" w:type="dxa"/>
            </w:tcMar>
          </w:tcPr>
          <w:p w14:paraId="50E4E020"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3.861.530</w:t>
            </w:r>
          </w:p>
        </w:tc>
        <w:tc>
          <w:tcPr>
            <w:tcW w:w="1190" w:type="dxa"/>
            <w:shd w:val="clear" w:color="auto" w:fill="FFFFFF"/>
            <w:tcMar>
              <w:top w:w="100" w:type="dxa"/>
              <w:left w:w="100" w:type="dxa"/>
              <w:bottom w:w="100" w:type="dxa"/>
              <w:right w:w="100" w:type="dxa"/>
            </w:tcMar>
          </w:tcPr>
          <w:p w14:paraId="7776F979"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2.276.486</w:t>
            </w:r>
          </w:p>
        </w:tc>
        <w:tc>
          <w:tcPr>
            <w:tcW w:w="1190" w:type="dxa"/>
            <w:shd w:val="clear" w:color="auto" w:fill="FFFFFF"/>
            <w:tcMar>
              <w:top w:w="100" w:type="dxa"/>
              <w:left w:w="100" w:type="dxa"/>
              <w:bottom w:w="100" w:type="dxa"/>
              <w:right w:w="100" w:type="dxa"/>
            </w:tcMar>
          </w:tcPr>
          <w:p w14:paraId="2A4D8C99"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3.150.187</w:t>
            </w:r>
          </w:p>
        </w:tc>
        <w:tc>
          <w:tcPr>
            <w:tcW w:w="1190" w:type="dxa"/>
            <w:shd w:val="clear" w:color="auto" w:fill="FFFFFF"/>
            <w:tcMar>
              <w:top w:w="100" w:type="dxa"/>
              <w:left w:w="100" w:type="dxa"/>
              <w:bottom w:w="100" w:type="dxa"/>
              <w:right w:w="100" w:type="dxa"/>
            </w:tcMar>
          </w:tcPr>
          <w:p w14:paraId="7C1783F3"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953.943</w:t>
            </w:r>
          </w:p>
        </w:tc>
      </w:tr>
      <w:tr w:rsidR="00154C5C" w:rsidRPr="00D535CE" w14:paraId="4D182891" w14:textId="77777777" w:rsidTr="00D46EB7">
        <w:trPr>
          <w:trHeight w:val="20"/>
        </w:trPr>
        <w:tc>
          <w:tcPr>
            <w:tcW w:w="3070" w:type="dxa"/>
            <w:shd w:val="clear" w:color="auto" w:fill="D9D9D9"/>
            <w:tcMar>
              <w:top w:w="100" w:type="dxa"/>
              <w:left w:w="100" w:type="dxa"/>
              <w:bottom w:w="100" w:type="dxa"/>
              <w:right w:w="100" w:type="dxa"/>
            </w:tcMar>
          </w:tcPr>
          <w:p w14:paraId="5618DEBE"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Petrol brut</w:t>
            </w:r>
          </w:p>
        </w:tc>
        <w:tc>
          <w:tcPr>
            <w:tcW w:w="1190" w:type="dxa"/>
            <w:shd w:val="clear" w:color="auto" w:fill="FFFFFF"/>
            <w:tcMar>
              <w:top w:w="100" w:type="dxa"/>
              <w:left w:w="100" w:type="dxa"/>
              <w:bottom w:w="100" w:type="dxa"/>
              <w:right w:w="100" w:type="dxa"/>
            </w:tcMar>
          </w:tcPr>
          <w:p w14:paraId="1325F74B"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7.475.408</w:t>
            </w:r>
          </w:p>
        </w:tc>
        <w:tc>
          <w:tcPr>
            <w:tcW w:w="1190" w:type="dxa"/>
            <w:shd w:val="clear" w:color="auto" w:fill="FFFFFF"/>
            <w:tcMar>
              <w:top w:w="100" w:type="dxa"/>
              <w:left w:w="100" w:type="dxa"/>
              <w:bottom w:w="100" w:type="dxa"/>
              <w:right w:w="100" w:type="dxa"/>
            </w:tcMar>
          </w:tcPr>
          <w:p w14:paraId="328CAAAD"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8.027.409</w:t>
            </w:r>
          </w:p>
        </w:tc>
        <w:tc>
          <w:tcPr>
            <w:tcW w:w="1190" w:type="dxa"/>
            <w:shd w:val="clear" w:color="auto" w:fill="FFFFFF"/>
            <w:tcMar>
              <w:top w:w="100" w:type="dxa"/>
              <w:left w:w="100" w:type="dxa"/>
              <w:bottom w:w="100" w:type="dxa"/>
              <w:right w:w="100" w:type="dxa"/>
            </w:tcMar>
          </w:tcPr>
          <w:p w14:paraId="597C6BB0"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6.638.429</w:t>
            </w:r>
          </w:p>
        </w:tc>
        <w:tc>
          <w:tcPr>
            <w:tcW w:w="1190" w:type="dxa"/>
            <w:shd w:val="clear" w:color="auto" w:fill="FFFFFF"/>
            <w:tcMar>
              <w:top w:w="100" w:type="dxa"/>
              <w:left w:w="100" w:type="dxa"/>
              <w:bottom w:w="100" w:type="dxa"/>
              <w:right w:w="100" w:type="dxa"/>
            </w:tcMar>
          </w:tcPr>
          <w:p w14:paraId="153C2BA9"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6.715.111</w:t>
            </w:r>
          </w:p>
        </w:tc>
        <w:tc>
          <w:tcPr>
            <w:tcW w:w="1190" w:type="dxa"/>
            <w:shd w:val="clear" w:color="auto" w:fill="FFFFFF"/>
            <w:tcMar>
              <w:top w:w="100" w:type="dxa"/>
              <w:left w:w="100" w:type="dxa"/>
              <w:bottom w:w="100" w:type="dxa"/>
              <w:right w:w="100" w:type="dxa"/>
            </w:tcMar>
          </w:tcPr>
          <w:p w14:paraId="4063BB60"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9.512.520</w:t>
            </w:r>
          </w:p>
        </w:tc>
      </w:tr>
      <w:tr w:rsidR="00154C5C" w:rsidRPr="00D535CE" w14:paraId="7C56DDA5" w14:textId="77777777" w:rsidTr="00D46EB7">
        <w:trPr>
          <w:trHeight w:val="20"/>
        </w:trPr>
        <w:tc>
          <w:tcPr>
            <w:tcW w:w="3070" w:type="dxa"/>
            <w:shd w:val="clear" w:color="auto" w:fill="D9D9D9"/>
            <w:tcMar>
              <w:top w:w="100" w:type="dxa"/>
              <w:left w:w="100" w:type="dxa"/>
              <w:bottom w:w="100" w:type="dxa"/>
              <w:right w:w="100" w:type="dxa"/>
            </w:tcMar>
          </w:tcPr>
          <w:p w14:paraId="32D92296"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Piele, textile și confecții</w:t>
            </w:r>
          </w:p>
        </w:tc>
        <w:tc>
          <w:tcPr>
            <w:tcW w:w="1190" w:type="dxa"/>
            <w:shd w:val="clear" w:color="auto" w:fill="FFFFFF"/>
            <w:tcMar>
              <w:top w:w="100" w:type="dxa"/>
              <w:left w:w="100" w:type="dxa"/>
              <w:bottom w:w="100" w:type="dxa"/>
              <w:right w:w="100" w:type="dxa"/>
            </w:tcMar>
          </w:tcPr>
          <w:p w14:paraId="4F109B26"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3.344</w:t>
            </w:r>
          </w:p>
        </w:tc>
        <w:tc>
          <w:tcPr>
            <w:tcW w:w="1190" w:type="dxa"/>
            <w:shd w:val="clear" w:color="auto" w:fill="FFFFFF"/>
            <w:tcMar>
              <w:top w:w="100" w:type="dxa"/>
              <w:left w:w="100" w:type="dxa"/>
              <w:bottom w:w="100" w:type="dxa"/>
              <w:right w:w="100" w:type="dxa"/>
            </w:tcMar>
          </w:tcPr>
          <w:p w14:paraId="4B1CE5A8"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1.608</w:t>
            </w:r>
          </w:p>
        </w:tc>
        <w:tc>
          <w:tcPr>
            <w:tcW w:w="1190" w:type="dxa"/>
            <w:shd w:val="clear" w:color="auto" w:fill="FFFFFF"/>
            <w:tcMar>
              <w:top w:w="100" w:type="dxa"/>
              <w:left w:w="100" w:type="dxa"/>
              <w:bottom w:w="100" w:type="dxa"/>
              <w:right w:w="100" w:type="dxa"/>
            </w:tcMar>
          </w:tcPr>
          <w:p w14:paraId="2EA34A9B" w14:textId="77777777" w:rsidR="00154C5C" w:rsidRPr="00D535CE" w:rsidRDefault="00154C5C" w:rsidP="00D46EB7">
            <w:pPr>
              <w:spacing w:after="0" w:line="240" w:lineRule="auto"/>
              <w:rPr>
                <w:rFonts w:eastAsia="Times New Roman" w:cs="Times New Roman"/>
                <w:sz w:val="22"/>
              </w:rPr>
            </w:pPr>
            <w:r w:rsidRPr="00D535CE">
              <w:rPr>
                <w:rFonts w:eastAsia="Times New Roman" w:cs="Times New Roman"/>
                <w:color w:val="212529"/>
                <w:sz w:val="22"/>
              </w:rPr>
              <w:t>0</w:t>
            </w:r>
          </w:p>
        </w:tc>
        <w:tc>
          <w:tcPr>
            <w:tcW w:w="1190" w:type="dxa"/>
            <w:shd w:val="clear" w:color="auto" w:fill="FFFFFF"/>
            <w:tcMar>
              <w:top w:w="100" w:type="dxa"/>
              <w:left w:w="100" w:type="dxa"/>
              <w:bottom w:w="100" w:type="dxa"/>
              <w:right w:w="100" w:type="dxa"/>
            </w:tcMar>
          </w:tcPr>
          <w:p w14:paraId="4971D75A"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0</w:t>
            </w:r>
          </w:p>
        </w:tc>
        <w:tc>
          <w:tcPr>
            <w:tcW w:w="1190" w:type="dxa"/>
            <w:shd w:val="clear" w:color="auto" w:fill="FFFFFF"/>
            <w:tcMar>
              <w:top w:w="100" w:type="dxa"/>
              <w:left w:w="100" w:type="dxa"/>
              <w:bottom w:w="100" w:type="dxa"/>
              <w:right w:w="100" w:type="dxa"/>
            </w:tcMar>
          </w:tcPr>
          <w:p w14:paraId="2F5F76A1"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24.118</w:t>
            </w:r>
          </w:p>
        </w:tc>
      </w:tr>
      <w:tr w:rsidR="00154C5C" w:rsidRPr="00D535CE" w14:paraId="1196D07D" w14:textId="77777777" w:rsidTr="00D46EB7">
        <w:trPr>
          <w:trHeight w:val="20"/>
        </w:trPr>
        <w:tc>
          <w:tcPr>
            <w:tcW w:w="3070" w:type="dxa"/>
            <w:shd w:val="clear" w:color="auto" w:fill="D9D9D9"/>
            <w:tcMar>
              <w:top w:w="100" w:type="dxa"/>
              <w:left w:w="100" w:type="dxa"/>
              <w:bottom w:w="100" w:type="dxa"/>
              <w:right w:w="100" w:type="dxa"/>
            </w:tcMar>
          </w:tcPr>
          <w:p w14:paraId="2B81F702"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Produse alimentare, nutrețuri pentru animale</w:t>
            </w:r>
          </w:p>
        </w:tc>
        <w:tc>
          <w:tcPr>
            <w:tcW w:w="1190" w:type="dxa"/>
            <w:shd w:val="clear" w:color="auto" w:fill="FFFFFF"/>
            <w:tcMar>
              <w:top w:w="100" w:type="dxa"/>
              <w:left w:w="100" w:type="dxa"/>
              <w:bottom w:w="100" w:type="dxa"/>
              <w:right w:w="100" w:type="dxa"/>
            </w:tcMar>
          </w:tcPr>
          <w:p w14:paraId="33EDC924"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167.256</w:t>
            </w:r>
          </w:p>
        </w:tc>
        <w:tc>
          <w:tcPr>
            <w:tcW w:w="1190" w:type="dxa"/>
            <w:shd w:val="clear" w:color="auto" w:fill="FFFFFF"/>
            <w:tcMar>
              <w:top w:w="100" w:type="dxa"/>
              <w:left w:w="100" w:type="dxa"/>
              <w:bottom w:w="100" w:type="dxa"/>
              <w:right w:w="100" w:type="dxa"/>
            </w:tcMar>
          </w:tcPr>
          <w:p w14:paraId="444A3382"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349.544</w:t>
            </w:r>
          </w:p>
        </w:tc>
        <w:tc>
          <w:tcPr>
            <w:tcW w:w="1190" w:type="dxa"/>
            <w:shd w:val="clear" w:color="auto" w:fill="FFFFFF"/>
            <w:tcMar>
              <w:top w:w="100" w:type="dxa"/>
              <w:left w:w="100" w:type="dxa"/>
              <w:bottom w:w="100" w:type="dxa"/>
              <w:right w:w="100" w:type="dxa"/>
            </w:tcMar>
          </w:tcPr>
          <w:p w14:paraId="6DA6DC5D"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286.356</w:t>
            </w:r>
          </w:p>
        </w:tc>
        <w:tc>
          <w:tcPr>
            <w:tcW w:w="1190" w:type="dxa"/>
            <w:shd w:val="clear" w:color="auto" w:fill="FFFFFF"/>
            <w:tcMar>
              <w:top w:w="100" w:type="dxa"/>
              <w:left w:w="100" w:type="dxa"/>
              <w:bottom w:w="100" w:type="dxa"/>
              <w:right w:w="100" w:type="dxa"/>
            </w:tcMar>
          </w:tcPr>
          <w:p w14:paraId="3560C955"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321.015</w:t>
            </w:r>
          </w:p>
        </w:tc>
        <w:tc>
          <w:tcPr>
            <w:tcW w:w="1190" w:type="dxa"/>
            <w:shd w:val="clear" w:color="auto" w:fill="FFFFFF"/>
            <w:tcMar>
              <w:top w:w="100" w:type="dxa"/>
              <w:left w:w="100" w:type="dxa"/>
              <w:bottom w:w="100" w:type="dxa"/>
              <w:right w:w="100" w:type="dxa"/>
            </w:tcMar>
          </w:tcPr>
          <w:p w14:paraId="5D188AEF"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308.465</w:t>
            </w:r>
          </w:p>
        </w:tc>
      </w:tr>
      <w:tr w:rsidR="00154C5C" w:rsidRPr="00D535CE" w14:paraId="5AE330A2" w14:textId="77777777" w:rsidTr="00D46EB7">
        <w:trPr>
          <w:trHeight w:val="20"/>
        </w:trPr>
        <w:tc>
          <w:tcPr>
            <w:tcW w:w="3070" w:type="dxa"/>
            <w:shd w:val="clear" w:color="auto" w:fill="D9D9D9"/>
            <w:tcMar>
              <w:top w:w="100" w:type="dxa"/>
              <w:left w:w="100" w:type="dxa"/>
              <w:bottom w:w="100" w:type="dxa"/>
              <w:right w:w="100" w:type="dxa"/>
            </w:tcMar>
          </w:tcPr>
          <w:p w14:paraId="61C900D5"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Produse chimice altele</w:t>
            </w:r>
          </w:p>
        </w:tc>
        <w:tc>
          <w:tcPr>
            <w:tcW w:w="1190" w:type="dxa"/>
            <w:shd w:val="clear" w:color="auto" w:fill="FFFFFF"/>
            <w:tcMar>
              <w:top w:w="100" w:type="dxa"/>
              <w:left w:w="100" w:type="dxa"/>
              <w:bottom w:w="100" w:type="dxa"/>
              <w:right w:w="100" w:type="dxa"/>
            </w:tcMar>
          </w:tcPr>
          <w:p w14:paraId="7731D8C5"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590.365</w:t>
            </w:r>
          </w:p>
        </w:tc>
        <w:tc>
          <w:tcPr>
            <w:tcW w:w="1190" w:type="dxa"/>
            <w:shd w:val="clear" w:color="auto" w:fill="FFFFFF"/>
            <w:tcMar>
              <w:top w:w="100" w:type="dxa"/>
              <w:left w:w="100" w:type="dxa"/>
              <w:bottom w:w="100" w:type="dxa"/>
              <w:right w:w="100" w:type="dxa"/>
            </w:tcMar>
          </w:tcPr>
          <w:p w14:paraId="4E560543"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537.533</w:t>
            </w:r>
          </w:p>
        </w:tc>
        <w:tc>
          <w:tcPr>
            <w:tcW w:w="1190" w:type="dxa"/>
            <w:shd w:val="clear" w:color="auto" w:fill="FFFFFF"/>
            <w:tcMar>
              <w:top w:w="100" w:type="dxa"/>
              <w:left w:w="100" w:type="dxa"/>
              <w:bottom w:w="100" w:type="dxa"/>
              <w:right w:w="100" w:type="dxa"/>
            </w:tcMar>
          </w:tcPr>
          <w:p w14:paraId="5514B361"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713.346</w:t>
            </w:r>
          </w:p>
        </w:tc>
        <w:tc>
          <w:tcPr>
            <w:tcW w:w="1190" w:type="dxa"/>
            <w:shd w:val="clear" w:color="auto" w:fill="FFFFFF"/>
            <w:tcMar>
              <w:top w:w="100" w:type="dxa"/>
              <w:left w:w="100" w:type="dxa"/>
              <w:bottom w:w="100" w:type="dxa"/>
              <w:right w:w="100" w:type="dxa"/>
            </w:tcMar>
          </w:tcPr>
          <w:p w14:paraId="16327A7D"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642.977</w:t>
            </w:r>
          </w:p>
        </w:tc>
        <w:tc>
          <w:tcPr>
            <w:tcW w:w="1190" w:type="dxa"/>
            <w:shd w:val="clear" w:color="auto" w:fill="FFFFFF"/>
            <w:tcMar>
              <w:top w:w="100" w:type="dxa"/>
              <w:left w:w="100" w:type="dxa"/>
              <w:bottom w:w="100" w:type="dxa"/>
              <w:right w:w="100" w:type="dxa"/>
            </w:tcMar>
          </w:tcPr>
          <w:p w14:paraId="2991D69E"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676.993</w:t>
            </w:r>
          </w:p>
        </w:tc>
      </w:tr>
      <w:tr w:rsidR="00154C5C" w:rsidRPr="00D535CE" w14:paraId="329BEC8F" w14:textId="77777777" w:rsidTr="00D46EB7">
        <w:trPr>
          <w:trHeight w:val="20"/>
        </w:trPr>
        <w:tc>
          <w:tcPr>
            <w:tcW w:w="3070" w:type="dxa"/>
            <w:shd w:val="clear" w:color="auto" w:fill="D9D9D9"/>
            <w:tcMar>
              <w:top w:w="100" w:type="dxa"/>
              <w:left w:w="100" w:type="dxa"/>
              <w:bottom w:w="100" w:type="dxa"/>
              <w:right w:w="100" w:type="dxa"/>
            </w:tcMar>
          </w:tcPr>
          <w:p w14:paraId="58CD8A65"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Produse chimice derivate din cărbuni și gudron</w:t>
            </w:r>
          </w:p>
        </w:tc>
        <w:tc>
          <w:tcPr>
            <w:tcW w:w="1190" w:type="dxa"/>
            <w:shd w:val="clear" w:color="auto" w:fill="FFFFFF"/>
            <w:tcMar>
              <w:top w:w="100" w:type="dxa"/>
              <w:left w:w="100" w:type="dxa"/>
              <w:bottom w:w="100" w:type="dxa"/>
              <w:right w:w="100" w:type="dxa"/>
            </w:tcMar>
          </w:tcPr>
          <w:p w14:paraId="604332D6"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167.805</w:t>
            </w:r>
          </w:p>
        </w:tc>
        <w:tc>
          <w:tcPr>
            <w:tcW w:w="1190" w:type="dxa"/>
            <w:shd w:val="clear" w:color="auto" w:fill="FFFFFF"/>
            <w:tcMar>
              <w:top w:w="100" w:type="dxa"/>
              <w:left w:w="100" w:type="dxa"/>
              <w:bottom w:w="100" w:type="dxa"/>
              <w:right w:w="100" w:type="dxa"/>
            </w:tcMar>
          </w:tcPr>
          <w:p w14:paraId="0D021609"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102.722</w:t>
            </w:r>
          </w:p>
        </w:tc>
        <w:tc>
          <w:tcPr>
            <w:tcW w:w="1190" w:type="dxa"/>
            <w:shd w:val="clear" w:color="auto" w:fill="FFFFFF"/>
            <w:tcMar>
              <w:top w:w="100" w:type="dxa"/>
              <w:left w:w="100" w:type="dxa"/>
              <w:bottom w:w="100" w:type="dxa"/>
              <w:right w:w="100" w:type="dxa"/>
            </w:tcMar>
          </w:tcPr>
          <w:p w14:paraId="24140607"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110.015</w:t>
            </w:r>
          </w:p>
        </w:tc>
        <w:tc>
          <w:tcPr>
            <w:tcW w:w="1190" w:type="dxa"/>
            <w:shd w:val="clear" w:color="auto" w:fill="FFFFFF"/>
            <w:tcMar>
              <w:top w:w="100" w:type="dxa"/>
              <w:left w:w="100" w:type="dxa"/>
              <w:bottom w:w="100" w:type="dxa"/>
              <w:right w:w="100" w:type="dxa"/>
            </w:tcMar>
          </w:tcPr>
          <w:p w14:paraId="2F37FB35"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90.339</w:t>
            </w:r>
          </w:p>
        </w:tc>
        <w:tc>
          <w:tcPr>
            <w:tcW w:w="1190" w:type="dxa"/>
            <w:shd w:val="clear" w:color="auto" w:fill="FFFFFF"/>
            <w:tcMar>
              <w:top w:w="100" w:type="dxa"/>
              <w:left w:w="100" w:type="dxa"/>
              <w:bottom w:w="100" w:type="dxa"/>
              <w:right w:w="100" w:type="dxa"/>
            </w:tcMar>
          </w:tcPr>
          <w:p w14:paraId="11ACF0BB"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124.405</w:t>
            </w:r>
          </w:p>
        </w:tc>
      </w:tr>
      <w:tr w:rsidR="00154C5C" w:rsidRPr="00D535CE" w14:paraId="68B602F4" w14:textId="77777777" w:rsidTr="00D46EB7">
        <w:trPr>
          <w:trHeight w:val="20"/>
        </w:trPr>
        <w:tc>
          <w:tcPr>
            <w:tcW w:w="3070" w:type="dxa"/>
            <w:shd w:val="clear" w:color="auto" w:fill="D9D9D9"/>
            <w:tcMar>
              <w:top w:w="100" w:type="dxa"/>
              <w:left w:w="100" w:type="dxa"/>
              <w:bottom w:w="100" w:type="dxa"/>
              <w:right w:w="100" w:type="dxa"/>
            </w:tcMar>
          </w:tcPr>
          <w:p w14:paraId="22CEED63"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Produse metalice</w:t>
            </w:r>
          </w:p>
        </w:tc>
        <w:tc>
          <w:tcPr>
            <w:tcW w:w="1190" w:type="dxa"/>
            <w:shd w:val="clear" w:color="auto" w:fill="FFFFFF"/>
            <w:tcMar>
              <w:top w:w="100" w:type="dxa"/>
              <w:left w:w="100" w:type="dxa"/>
              <w:bottom w:w="100" w:type="dxa"/>
              <w:right w:w="100" w:type="dxa"/>
            </w:tcMar>
          </w:tcPr>
          <w:p w14:paraId="7775B4B8"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2.287.151</w:t>
            </w:r>
          </w:p>
        </w:tc>
        <w:tc>
          <w:tcPr>
            <w:tcW w:w="1190" w:type="dxa"/>
            <w:shd w:val="clear" w:color="auto" w:fill="FFFFFF"/>
            <w:tcMar>
              <w:top w:w="100" w:type="dxa"/>
              <w:left w:w="100" w:type="dxa"/>
              <w:bottom w:w="100" w:type="dxa"/>
              <w:right w:w="100" w:type="dxa"/>
            </w:tcMar>
          </w:tcPr>
          <w:p w14:paraId="79A2FB2A"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2.529.108</w:t>
            </w:r>
          </w:p>
        </w:tc>
        <w:tc>
          <w:tcPr>
            <w:tcW w:w="1190" w:type="dxa"/>
            <w:shd w:val="clear" w:color="auto" w:fill="FFFFFF"/>
            <w:tcMar>
              <w:top w:w="100" w:type="dxa"/>
              <w:left w:w="100" w:type="dxa"/>
              <w:bottom w:w="100" w:type="dxa"/>
              <w:right w:w="100" w:type="dxa"/>
            </w:tcMar>
          </w:tcPr>
          <w:p w14:paraId="7C8A7211"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1.953.551</w:t>
            </w:r>
          </w:p>
        </w:tc>
        <w:tc>
          <w:tcPr>
            <w:tcW w:w="1190" w:type="dxa"/>
            <w:shd w:val="clear" w:color="auto" w:fill="FFFFFF"/>
            <w:tcMar>
              <w:top w:w="100" w:type="dxa"/>
              <w:left w:w="100" w:type="dxa"/>
              <w:bottom w:w="100" w:type="dxa"/>
              <w:right w:w="100" w:type="dxa"/>
            </w:tcMar>
          </w:tcPr>
          <w:p w14:paraId="6646E119"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2.502.520</w:t>
            </w:r>
          </w:p>
        </w:tc>
        <w:tc>
          <w:tcPr>
            <w:tcW w:w="1190" w:type="dxa"/>
            <w:shd w:val="clear" w:color="auto" w:fill="FFFFFF"/>
            <w:tcMar>
              <w:top w:w="100" w:type="dxa"/>
              <w:left w:w="100" w:type="dxa"/>
              <w:bottom w:w="100" w:type="dxa"/>
              <w:right w:w="100" w:type="dxa"/>
            </w:tcMar>
          </w:tcPr>
          <w:p w14:paraId="48365DB7"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3.225.583</w:t>
            </w:r>
          </w:p>
        </w:tc>
      </w:tr>
      <w:tr w:rsidR="00154C5C" w:rsidRPr="00D535CE" w14:paraId="7B1202E9" w14:textId="77777777" w:rsidTr="00D46EB7">
        <w:trPr>
          <w:trHeight w:val="20"/>
        </w:trPr>
        <w:tc>
          <w:tcPr>
            <w:tcW w:w="3070" w:type="dxa"/>
            <w:shd w:val="clear" w:color="auto" w:fill="D9D9D9"/>
            <w:tcMar>
              <w:top w:w="100" w:type="dxa"/>
              <w:left w:w="100" w:type="dxa"/>
              <w:bottom w:w="100" w:type="dxa"/>
              <w:right w:w="100" w:type="dxa"/>
            </w:tcMar>
          </w:tcPr>
          <w:p w14:paraId="299C43CD"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lastRenderedPageBreak/>
              <w:t>Produse petroliere</w:t>
            </w:r>
          </w:p>
        </w:tc>
        <w:tc>
          <w:tcPr>
            <w:tcW w:w="1190" w:type="dxa"/>
            <w:shd w:val="clear" w:color="auto" w:fill="FFFFFF"/>
            <w:tcMar>
              <w:top w:w="100" w:type="dxa"/>
              <w:left w:w="100" w:type="dxa"/>
              <w:bottom w:w="100" w:type="dxa"/>
              <w:right w:w="100" w:type="dxa"/>
            </w:tcMar>
          </w:tcPr>
          <w:p w14:paraId="6AE1DE4C"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5.897.915</w:t>
            </w:r>
          </w:p>
        </w:tc>
        <w:tc>
          <w:tcPr>
            <w:tcW w:w="1190" w:type="dxa"/>
            <w:shd w:val="clear" w:color="auto" w:fill="FFFFFF"/>
            <w:tcMar>
              <w:top w:w="100" w:type="dxa"/>
              <w:left w:w="100" w:type="dxa"/>
              <w:bottom w:w="100" w:type="dxa"/>
              <w:right w:w="100" w:type="dxa"/>
            </w:tcMar>
          </w:tcPr>
          <w:p w14:paraId="7619E6BE"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6.296.060</w:t>
            </w:r>
          </w:p>
        </w:tc>
        <w:tc>
          <w:tcPr>
            <w:tcW w:w="1190" w:type="dxa"/>
            <w:shd w:val="clear" w:color="auto" w:fill="FFFFFF"/>
            <w:tcMar>
              <w:top w:w="100" w:type="dxa"/>
              <w:left w:w="100" w:type="dxa"/>
              <w:bottom w:w="100" w:type="dxa"/>
              <w:right w:w="100" w:type="dxa"/>
            </w:tcMar>
          </w:tcPr>
          <w:p w14:paraId="5AB5FED5"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5.042.322</w:t>
            </w:r>
          </w:p>
        </w:tc>
        <w:tc>
          <w:tcPr>
            <w:tcW w:w="1190" w:type="dxa"/>
            <w:shd w:val="clear" w:color="auto" w:fill="FFFFFF"/>
            <w:tcMar>
              <w:top w:w="100" w:type="dxa"/>
              <w:left w:w="100" w:type="dxa"/>
              <w:bottom w:w="100" w:type="dxa"/>
              <w:right w:w="100" w:type="dxa"/>
            </w:tcMar>
          </w:tcPr>
          <w:p w14:paraId="12FE1C4E"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5.438.743</w:t>
            </w:r>
          </w:p>
        </w:tc>
        <w:tc>
          <w:tcPr>
            <w:tcW w:w="1190" w:type="dxa"/>
            <w:shd w:val="clear" w:color="auto" w:fill="FFFFFF"/>
            <w:tcMar>
              <w:top w:w="100" w:type="dxa"/>
              <w:left w:w="100" w:type="dxa"/>
              <w:bottom w:w="100" w:type="dxa"/>
              <w:right w:w="100" w:type="dxa"/>
            </w:tcMar>
          </w:tcPr>
          <w:p w14:paraId="39909788"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7.202.140</w:t>
            </w:r>
          </w:p>
        </w:tc>
      </w:tr>
      <w:tr w:rsidR="00154C5C" w:rsidRPr="00D535CE" w14:paraId="5D0F1638" w14:textId="77777777" w:rsidTr="00D46EB7">
        <w:trPr>
          <w:trHeight w:val="20"/>
        </w:trPr>
        <w:tc>
          <w:tcPr>
            <w:tcW w:w="3070" w:type="dxa"/>
            <w:shd w:val="clear" w:color="auto" w:fill="D9D9D9"/>
            <w:tcMar>
              <w:top w:w="100" w:type="dxa"/>
              <w:left w:w="100" w:type="dxa"/>
              <w:bottom w:w="100" w:type="dxa"/>
              <w:right w:w="100" w:type="dxa"/>
            </w:tcMar>
          </w:tcPr>
          <w:p w14:paraId="7D06A1EC" w14:textId="77777777" w:rsidR="00154C5C" w:rsidRPr="00D535CE" w:rsidRDefault="00154C5C" w:rsidP="00D46EB7">
            <w:pPr>
              <w:spacing w:after="0" w:line="240" w:lineRule="auto"/>
              <w:rPr>
                <w:rFonts w:eastAsia="Times New Roman" w:cs="Times New Roman"/>
                <w:sz w:val="22"/>
              </w:rPr>
            </w:pPr>
            <w:r w:rsidRPr="00D535CE">
              <w:rPr>
                <w:rFonts w:eastAsia="Times New Roman" w:cs="Times New Roman"/>
                <w:color w:val="212529"/>
                <w:sz w:val="22"/>
              </w:rPr>
              <w:t>Seminte uleioase, fructe oleaginoase și grasimi</w:t>
            </w:r>
          </w:p>
        </w:tc>
        <w:tc>
          <w:tcPr>
            <w:tcW w:w="1190" w:type="dxa"/>
            <w:shd w:val="clear" w:color="auto" w:fill="FFFFFF"/>
            <w:tcMar>
              <w:top w:w="100" w:type="dxa"/>
              <w:left w:w="100" w:type="dxa"/>
              <w:bottom w:w="100" w:type="dxa"/>
              <w:right w:w="100" w:type="dxa"/>
            </w:tcMar>
          </w:tcPr>
          <w:p w14:paraId="027ECF8D"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3.262.034</w:t>
            </w:r>
          </w:p>
        </w:tc>
        <w:tc>
          <w:tcPr>
            <w:tcW w:w="1190" w:type="dxa"/>
            <w:shd w:val="clear" w:color="auto" w:fill="FFFFFF"/>
            <w:tcMar>
              <w:top w:w="100" w:type="dxa"/>
              <w:left w:w="100" w:type="dxa"/>
              <w:bottom w:w="100" w:type="dxa"/>
              <w:right w:w="100" w:type="dxa"/>
            </w:tcMar>
          </w:tcPr>
          <w:p w14:paraId="55ED0E97"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2.141.252</w:t>
            </w:r>
          </w:p>
        </w:tc>
        <w:tc>
          <w:tcPr>
            <w:tcW w:w="1190" w:type="dxa"/>
            <w:shd w:val="clear" w:color="auto" w:fill="FFFFFF"/>
            <w:tcMar>
              <w:top w:w="100" w:type="dxa"/>
              <w:left w:w="100" w:type="dxa"/>
              <w:bottom w:w="100" w:type="dxa"/>
              <w:right w:w="100" w:type="dxa"/>
            </w:tcMar>
          </w:tcPr>
          <w:p w14:paraId="0255A3CF"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1.826.407</w:t>
            </w:r>
          </w:p>
        </w:tc>
        <w:tc>
          <w:tcPr>
            <w:tcW w:w="1190" w:type="dxa"/>
            <w:shd w:val="clear" w:color="auto" w:fill="FFFFFF"/>
            <w:tcMar>
              <w:top w:w="100" w:type="dxa"/>
              <w:left w:w="100" w:type="dxa"/>
              <w:bottom w:w="100" w:type="dxa"/>
              <w:right w:w="100" w:type="dxa"/>
            </w:tcMar>
          </w:tcPr>
          <w:p w14:paraId="2A79E45D"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2.204.820</w:t>
            </w:r>
          </w:p>
        </w:tc>
        <w:tc>
          <w:tcPr>
            <w:tcW w:w="1190" w:type="dxa"/>
            <w:shd w:val="clear" w:color="auto" w:fill="FFFFFF"/>
            <w:tcMar>
              <w:top w:w="100" w:type="dxa"/>
              <w:left w:w="100" w:type="dxa"/>
              <w:bottom w:w="100" w:type="dxa"/>
              <w:right w:w="100" w:type="dxa"/>
            </w:tcMar>
          </w:tcPr>
          <w:p w14:paraId="213A850D"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3.740.834</w:t>
            </w:r>
          </w:p>
        </w:tc>
      </w:tr>
      <w:tr w:rsidR="00154C5C" w:rsidRPr="00D535CE" w14:paraId="424CD7C1" w14:textId="77777777" w:rsidTr="00D46EB7">
        <w:trPr>
          <w:trHeight w:val="20"/>
        </w:trPr>
        <w:tc>
          <w:tcPr>
            <w:tcW w:w="3070" w:type="dxa"/>
            <w:shd w:val="clear" w:color="auto" w:fill="D9D9D9"/>
            <w:tcMar>
              <w:top w:w="100" w:type="dxa"/>
              <w:left w:w="100" w:type="dxa"/>
              <w:bottom w:w="100" w:type="dxa"/>
              <w:right w:w="100" w:type="dxa"/>
            </w:tcMar>
          </w:tcPr>
          <w:p w14:paraId="26D43BA9"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Sticlă, sticlărie și produse ceramice</w:t>
            </w:r>
          </w:p>
        </w:tc>
        <w:tc>
          <w:tcPr>
            <w:tcW w:w="1190" w:type="dxa"/>
            <w:shd w:val="clear" w:color="auto" w:fill="FFFFFF"/>
            <w:tcMar>
              <w:top w:w="100" w:type="dxa"/>
              <w:left w:w="100" w:type="dxa"/>
              <w:bottom w:w="100" w:type="dxa"/>
              <w:right w:w="100" w:type="dxa"/>
            </w:tcMar>
          </w:tcPr>
          <w:p w14:paraId="370189A7"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27.056</w:t>
            </w:r>
          </w:p>
        </w:tc>
        <w:tc>
          <w:tcPr>
            <w:tcW w:w="1190" w:type="dxa"/>
            <w:shd w:val="clear" w:color="auto" w:fill="FFFFFF"/>
            <w:tcMar>
              <w:top w:w="100" w:type="dxa"/>
              <w:left w:w="100" w:type="dxa"/>
              <w:bottom w:w="100" w:type="dxa"/>
              <w:right w:w="100" w:type="dxa"/>
            </w:tcMar>
          </w:tcPr>
          <w:p w14:paraId="510A9B8A"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11.755</w:t>
            </w:r>
          </w:p>
        </w:tc>
        <w:tc>
          <w:tcPr>
            <w:tcW w:w="1190" w:type="dxa"/>
            <w:shd w:val="clear" w:color="auto" w:fill="FFFFFF"/>
            <w:tcMar>
              <w:top w:w="100" w:type="dxa"/>
              <w:left w:w="100" w:type="dxa"/>
              <w:bottom w:w="100" w:type="dxa"/>
              <w:right w:w="100" w:type="dxa"/>
            </w:tcMar>
          </w:tcPr>
          <w:p w14:paraId="1EFDEF1A"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5.089</w:t>
            </w:r>
          </w:p>
        </w:tc>
        <w:tc>
          <w:tcPr>
            <w:tcW w:w="1190" w:type="dxa"/>
            <w:shd w:val="clear" w:color="auto" w:fill="FFFFFF"/>
            <w:tcMar>
              <w:top w:w="100" w:type="dxa"/>
              <w:left w:w="100" w:type="dxa"/>
              <w:bottom w:w="100" w:type="dxa"/>
              <w:right w:w="100" w:type="dxa"/>
            </w:tcMar>
          </w:tcPr>
          <w:p w14:paraId="0ECA767D"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2.930</w:t>
            </w:r>
          </w:p>
        </w:tc>
        <w:tc>
          <w:tcPr>
            <w:tcW w:w="1190" w:type="dxa"/>
            <w:shd w:val="clear" w:color="auto" w:fill="FFFFFF"/>
            <w:tcMar>
              <w:top w:w="100" w:type="dxa"/>
              <w:left w:w="100" w:type="dxa"/>
              <w:bottom w:w="100" w:type="dxa"/>
              <w:right w:w="100" w:type="dxa"/>
            </w:tcMar>
          </w:tcPr>
          <w:p w14:paraId="08305C2D"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0</w:t>
            </w:r>
          </w:p>
        </w:tc>
      </w:tr>
      <w:tr w:rsidR="00154C5C" w:rsidRPr="00D535CE" w14:paraId="773CD171" w14:textId="77777777" w:rsidTr="00D46EB7">
        <w:trPr>
          <w:trHeight w:val="313"/>
        </w:trPr>
        <w:tc>
          <w:tcPr>
            <w:tcW w:w="3070" w:type="dxa"/>
            <w:shd w:val="clear" w:color="auto" w:fill="C9C9C9"/>
            <w:tcMar>
              <w:top w:w="100" w:type="dxa"/>
              <w:left w:w="100" w:type="dxa"/>
              <w:bottom w:w="100" w:type="dxa"/>
              <w:right w:w="100" w:type="dxa"/>
            </w:tcMar>
          </w:tcPr>
          <w:p w14:paraId="18FDE3CD" w14:textId="77777777" w:rsidR="00154C5C" w:rsidRPr="00D535CE" w:rsidRDefault="00154C5C" w:rsidP="00D535CE">
            <w:pPr>
              <w:spacing w:after="0" w:line="240" w:lineRule="auto"/>
              <w:rPr>
                <w:rFonts w:eastAsia="Times New Roman" w:cs="Times New Roman"/>
                <w:sz w:val="22"/>
              </w:rPr>
            </w:pPr>
            <w:r w:rsidRPr="00D535CE">
              <w:rPr>
                <w:rFonts w:eastAsia="Times New Roman" w:cs="Times New Roman"/>
                <w:color w:val="212529"/>
                <w:sz w:val="22"/>
              </w:rPr>
              <w:t>Total</w:t>
            </w:r>
          </w:p>
        </w:tc>
        <w:tc>
          <w:tcPr>
            <w:tcW w:w="1190" w:type="dxa"/>
            <w:shd w:val="clear" w:color="auto" w:fill="C9C9C9"/>
            <w:tcMar>
              <w:top w:w="100" w:type="dxa"/>
              <w:left w:w="100" w:type="dxa"/>
              <w:bottom w:w="100" w:type="dxa"/>
              <w:right w:w="100" w:type="dxa"/>
            </w:tcMar>
          </w:tcPr>
          <w:p w14:paraId="5F18FD66"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61.303.774</w:t>
            </w:r>
          </w:p>
        </w:tc>
        <w:tc>
          <w:tcPr>
            <w:tcW w:w="1190" w:type="dxa"/>
            <w:shd w:val="clear" w:color="auto" w:fill="C9C9C9"/>
            <w:tcMar>
              <w:top w:w="100" w:type="dxa"/>
              <w:left w:w="100" w:type="dxa"/>
              <w:bottom w:w="100" w:type="dxa"/>
              <w:right w:w="100" w:type="dxa"/>
            </w:tcMar>
          </w:tcPr>
          <w:p w14:paraId="5CBE084C"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66.603.292</w:t>
            </w:r>
          </w:p>
        </w:tc>
        <w:tc>
          <w:tcPr>
            <w:tcW w:w="1190" w:type="dxa"/>
            <w:shd w:val="clear" w:color="auto" w:fill="C9C9C9"/>
            <w:tcMar>
              <w:top w:w="100" w:type="dxa"/>
              <w:left w:w="100" w:type="dxa"/>
              <w:bottom w:w="100" w:type="dxa"/>
              <w:right w:w="100" w:type="dxa"/>
            </w:tcMar>
          </w:tcPr>
          <w:p w14:paraId="01512813"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60.375.799</w:t>
            </w:r>
          </w:p>
        </w:tc>
        <w:tc>
          <w:tcPr>
            <w:tcW w:w="1190" w:type="dxa"/>
            <w:shd w:val="clear" w:color="auto" w:fill="C9C9C9"/>
            <w:tcMar>
              <w:top w:w="100" w:type="dxa"/>
              <w:left w:w="100" w:type="dxa"/>
              <w:bottom w:w="100" w:type="dxa"/>
              <w:right w:w="100" w:type="dxa"/>
            </w:tcMar>
          </w:tcPr>
          <w:p w14:paraId="217B19ED"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67.483.435</w:t>
            </w:r>
          </w:p>
        </w:tc>
        <w:tc>
          <w:tcPr>
            <w:tcW w:w="1190" w:type="dxa"/>
            <w:shd w:val="clear" w:color="auto" w:fill="C9C9C9"/>
            <w:tcMar>
              <w:top w:w="100" w:type="dxa"/>
              <w:left w:w="100" w:type="dxa"/>
              <w:bottom w:w="100" w:type="dxa"/>
              <w:right w:w="100" w:type="dxa"/>
            </w:tcMar>
          </w:tcPr>
          <w:p w14:paraId="0A9E5558" w14:textId="77777777" w:rsidR="00154C5C" w:rsidRPr="00D535CE" w:rsidRDefault="00154C5C" w:rsidP="00D535CE">
            <w:pPr>
              <w:spacing w:after="0" w:line="240" w:lineRule="auto"/>
              <w:ind w:firstLine="0"/>
              <w:rPr>
                <w:rFonts w:eastAsia="Times New Roman" w:cs="Times New Roman"/>
                <w:sz w:val="22"/>
              </w:rPr>
            </w:pPr>
            <w:r w:rsidRPr="00D535CE">
              <w:rPr>
                <w:rFonts w:eastAsia="Times New Roman" w:cs="Times New Roman"/>
                <w:color w:val="212529"/>
                <w:sz w:val="22"/>
              </w:rPr>
              <w:t>75.537.687</w:t>
            </w:r>
          </w:p>
        </w:tc>
      </w:tr>
    </w:tbl>
    <w:p w14:paraId="5959B873" w14:textId="77777777" w:rsidR="00154C5C" w:rsidRDefault="00154C5C" w:rsidP="00154C5C">
      <w:pPr>
        <w:spacing w:before="0"/>
        <w:ind w:firstLine="0"/>
        <w:rPr>
          <w:rFonts w:eastAsia="Times New Roman" w:cs="Times New Roman"/>
          <w:i/>
        </w:rPr>
      </w:pPr>
    </w:p>
    <w:p w14:paraId="6205ED04" w14:textId="77777777" w:rsidR="00154C5C" w:rsidRDefault="00154C5C" w:rsidP="00D535CE">
      <w:pPr>
        <w:spacing w:before="0"/>
        <w:rPr>
          <w:rFonts w:eastAsia="Times New Roman" w:cs="Times New Roman"/>
        </w:rPr>
      </w:pPr>
      <w:r>
        <w:rPr>
          <w:rFonts w:eastAsia="Times New Roman" w:cs="Times New Roman"/>
          <w:i/>
        </w:rPr>
        <w:t>Portul Sulina</w:t>
      </w:r>
    </w:p>
    <w:p w14:paraId="1862991C" w14:textId="77777777" w:rsidR="00154C5C" w:rsidRDefault="00154C5C" w:rsidP="00D535CE">
      <w:pPr>
        <w:spacing w:before="0"/>
        <w:ind w:firstLine="567"/>
        <w:rPr>
          <w:rFonts w:eastAsia="Times New Roman" w:cs="Times New Roman"/>
        </w:rPr>
      </w:pPr>
      <w:r>
        <w:rPr>
          <w:rFonts w:eastAsia="Times New Roman" w:cs="Times New Roman"/>
        </w:rPr>
        <w:t>Portul Sulina, parte integrantă a rețelei TEN-T fluviale centrale, este amplasat pe malul drept al canalului Sulina, în zona orașului și dispune de următoarele construcții portuare: cheu vertical din beton în lungime de 3.340 m, trei estacade din beton armat, având fiecare un front de acostare de 80 m și o adâncime de acostare de 7,5 m, două estacade din beton armat cu un front de acostare de 100 m și respectiv 200 m, cu o adâncime de 3,50 m, două estacade din beton armat cu un front de acostare de 30 m fiecare, care asigură o adâncime de acostare de 2,50 m, cheu pereat în lungime de 2.600 m pentru apărarea malului, cu prelungirea cheiului vertical și spre amonte de uzina de apă (Consiliul Județean Tulcea, 2021). Aceste construcții portuare amenajate de-a lungul falezei orașului asigură condiții pentru acostarea navelor maritime care intră și ies de pe Canalul Sulina, precum și a navelor care deservesc traficul local de mărfuri și pasageri.</w:t>
      </w:r>
    </w:p>
    <w:p w14:paraId="199874CE" w14:textId="2281EFEA" w:rsidR="00154C5C" w:rsidRDefault="00154C5C" w:rsidP="00154C5C">
      <w:pPr>
        <w:pStyle w:val="Heading4"/>
      </w:pPr>
      <w:bookmarkStart w:id="100" w:name="_Toc169625144"/>
      <w:r>
        <w:t>2.4.8.7 Producerea de energie</w:t>
      </w:r>
      <w:bookmarkEnd w:id="100"/>
    </w:p>
    <w:p w14:paraId="08C5CE11" w14:textId="77777777" w:rsidR="00154C5C" w:rsidRDefault="00154C5C" w:rsidP="00154C5C">
      <w:pPr>
        <w:spacing w:before="0"/>
        <w:ind w:firstLine="567"/>
        <w:rPr>
          <w:rFonts w:eastAsia="Times New Roman" w:cs="Times New Roman"/>
        </w:rPr>
      </w:pPr>
      <w:r>
        <w:rPr>
          <w:rFonts w:eastAsia="Times New Roman" w:cs="Times New Roman"/>
        </w:rPr>
        <w:t>În prezent, la nivelul zonei costiere, generarea de energie din surse regenerabile este aproape inexistentă. Energia termică este produsă fie la nivel centralizat, folosind combustibili fosili (Constanța, Mangalia și Năvodari), fie individual, preponderent, folosind centrale individuale pe gaz. Toate acestea determină o creștere a emisiilor de gaze poluante în atmosferă. Referitor la energia electrică, aceasta este produsă doar la nivel individual (folosind energia solară), parcurile eoliene și centrala nucleară de la Cernavodă, principale producătoare de energie din Dobrogea, fiind situate în afara zonei costiere.</w:t>
      </w:r>
    </w:p>
    <w:p w14:paraId="277F23BD" w14:textId="77777777" w:rsidR="00154C5C" w:rsidRDefault="00154C5C" w:rsidP="00154C5C">
      <w:pPr>
        <w:spacing w:before="0"/>
        <w:ind w:firstLine="567"/>
        <w:rPr>
          <w:rFonts w:eastAsia="Times New Roman" w:cs="Times New Roman"/>
        </w:rPr>
      </w:pPr>
      <w:r>
        <w:rPr>
          <w:rFonts w:eastAsia="Times New Roman" w:cs="Times New Roman"/>
        </w:rPr>
        <w:t>Potențialul de producere a energiei alternative (eoliană, solară, valuri, etc.) este unul foarte ridicat în zona costieră, dar din păcate nu este utilizat. Prezenta strategie se aliniază celorlalte strategii și planuri în scopul promovării generării de energie alternativă folosind resursele regenerabile ale zonei costiere.</w:t>
      </w:r>
    </w:p>
    <w:p w14:paraId="21E3BB88" w14:textId="0D943869" w:rsidR="00D535CE" w:rsidRDefault="00D535CE" w:rsidP="00D535CE">
      <w:pPr>
        <w:pStyle w:val="Heading4"/>
      </w:pPr>
      <w:bookmarkStart w:id="101" w:name="_Toc169625145"/>
      <w:r>
        <w:t>2.4.8.8 Planificare spațială și Dezvoltare urbană</w:t>
      </w:r>
      <w:bookmarkEnd w:id="101"/>
    </w:p>
    <w:p w14:paraId="389E0AA0" w14:textId="77777777" w:rsidR="00D535CE" w:rsidRDefault="00D535CE" w:rsidP="00D535CE">
      <w:pPr>
        <w:rPr>
          <w:rFonts w:eastAsia="Times New Roman" w:cs="Times New Roman"/>
          <w:i/>
        </w:rPr>
      </w:pPr>
      <w:r>
        <w:rPr>
          <w:rFonts w:eastAsia="Times New Roman" w:cs="Times New Roman"/>
          <w:i/>
        </w:rPr>
        <w:t>Planificarea spațială</w:t>
      </w:r>
    </w:p>
    <w:p w14:paraId="220A7B23" w14:textId="77777777" w:rsidR="00D535CE" w:rsidRDefault="00D535CE" w:rsidP="00D535CE">
      <w:pPr>
        <w:ind w:firstLine="567"/>
        <w:rPr>
          <w:rFonts w:eastAsia="Times New Roman" w:cs="Times New Roman"/>
        </w:rPr>
      </w:pPr>
      <w:r>
        <w:rPr>
          <w:rFonts w:eastAsia="Times New Roman" w:cs="Times New Roman"/>
        </w:rPr>
        <w:t>Instrumentele de planificare spațială a teritoriului sunt de importanță majoră pentru managementul integrat al zonei costiere. Situația acestora este următoarea:</w:t>
      </w:r>
    </w:p>
    <w:p w14:paraId="0722AD7C" w14:textId="77777777" w:rsidR="00D535CE" w:rsidRDefault="00D535CE" w:rsidP="00D535CE">
      <w:pPr>
        <w:rPr>
          <w:rFonts w:eastAsia="Times New Roman" w:cs="Times New Roman"/>
        </w:rPr>
      </w:pPr>
      <w:r>
        <w:rPr>
          <w:rFonts w:eastAsia="Times New Roman" w:cs="Times New Roman"/>
          <w:u w:val="single"/>
        </w:rPr>
        <w:t>Planul de amenajare a teritoriului zonal</w:t>
      </w:r>
      <w:r>
        <w:rPr>
          <w:rFonts w:eastAsia="Times New Roman" w:cs="Times New Roman"/>
        </w:rPr>
        <w:t xml:space="preserve"> - PATZ Zona Costieră (litoral) - nu a fost încă aprobat (deși elaborat cu mult timp în urmă), deci nu produce efecte juridice.</w:t>
      </w:r>
    </w:p>
    <w:p w14:paraId="58661143" w14:textId="77777777" w:rsidR="00D535CE" w:rsidRDefault="00D535CE" w:rsidP="00D535CE">
      <w:pPr>
        <w:rPr>
          <w:rFonts w:eastAsia="Times New Roman" w:cs="Times New Roman"/>
        </w:rPr>
      </w:pPr>
      <w:r>
        <w:rPr>
          <w:rFonts w:eastAsia="Times New Roman" w:cs="Times New Roman"/>
          <w:u w:val="single"/>
        </w:rPr>
        <w:lastRenderedPageBreak/>
        <w:t>Planurile de amenajare a teritoriului județelor Constanța și Tulcea</w:t>
      </w:r>
      <w:r>
        <w:rPr>
          <w:rFonts w:eastAsia="Times New Roman" w:cs="Times New Roman"/>
        </w:rPr>
        <w:t xml:space="preserve"> au fost elaborate în perioada 1996 – 1998. Problema acestor documentații este aceea că au fost elaborate cu mult înainte de aprobarea strategiei și a planului de management integrat al zonei costiere, astfel încât sunt necesare actualizări/modificări în consecință, în secțiunile privitoare la zona costieră.</w:t>
      </w:r>
    </w:p>
    <w:p w14:paraId="5EB11F6A" w14:textId="77777777" w:rsidR="00D535CE" w:rsidRDefault="00D535CE" w:rsidP="00D535CE">
      <w:pPr>
        <w:rPr>
          <w:rFonts w:eastAsia="Times New Roman" w:cs="Times New Roman"/>
          <w:u w:val="single"/>
        </w:rPr>
      </w:pPr>
      <w:r>
        <w:rPr>
          <w:rFonts w:eastAsia="Times New Roman" w:cs="Times New Roman"/>
          <w:u w:val="single"/>
        </w:rPr>
        <w:t>Planuri urbanistice generale</w:t>
      </w:r>
    </w:p>
    <w:p w14:paraId="4C0F0ACF" w14:textId="0A44CF44" w:rsidR="00D535CE" w:rsidRDefault="00D535CE" w:rsidP="00D535CE">
      <w:pPr>
        <w:ind w:firstLine="567"/>
        <w:rPr>
          <w:rFonts w:eastAsia="Times New Roman" w:cs="Times New Roman"/>
        </w:rPr>
      </w:pPr>
      <w:r>
        <w:rPr>
          <w:rFonts w:eastAsia="Times New Roman" w:cs="Times New Roman"/>
        </w:rPr>
        <w:t>Așa cum se poate observa din Tabelul 2.4.8.1.1, doar municipiul Mangalia și comuna Tuzla beneficiază de un astfel de instrument de planificare actualizat. În marea majoritate, planurile urbanistice generale sunt vechi, aprobate în perioada 2000-2008, având termene de valabilitate care expiră în perioada imediat următoare (pentru UAT-urile Sfântu Gheorghe, Jurilovca, Istria, Năvodari și Eforie expiră chiar în 2023).</w:t>
      </w:r>
    </w:p>
    <w:p w14:paraId="781E9737" w14:textId="0CD0233F" w:rsidR="00D535CE" w:rsidRDefault="00D535CE" w:rsidP="00D535CE">
      <w:pPr>
        <w:ind w:firstLine="567"/>
        <w:rPr>
          <w:rFonts w:eastAsia="Times New Roman" w:cs="Times New Roman"/>
        </w:rPr>
      </w:pPr>
      <w:r>
        <w:rPr>
          <w:rFonts w:eastAsia="Times New Roman" w:cs="Times New Roman"/>
        </w:rPr>
        <w:t>Totuși, în prezent sunt 12 planuri urbanistice generale pentru care procedurile de actualizare sunt inițiate, acestea fiind în diverse etape de elaborare/aprobare (Tabel 2.4.8.1.1). Dacă pentru sectorul nordic al zonei de studiu, vechimea PUG-urilor poate că nu constituie o problemă foarte mare (eventual cu excepția orașului Sulina), pentru sectorul sudic, vechimea unor PUG-uri este o cauză care poate fi la originea unora dintre presiunile exercitate în această zonă, care prezinta cele mai intense procese de urbanizare a teritoriului.</w:t>
      </w:r>
    </w:p>
    <w:p w14:paraId="489C0806" w14:textId="77777777" w:rsidR="00D535CE" w:rsidRDefault="00D535CE" w:rsidP="00D535CE">
      <w:pPr>
        <w:ind w:firstLine="567"/>
        <w:rPr>
          <w:rFonts w:eastAsia="Times New Roman" w:cs="Times New Roman"/>
        </w:rPr>
      </w:pPr>
      <w:r>
        <w:rPr>
          <w:rFonts w:eastAsia="Times New Roman" w:cs="Times New Roman"/>
        </w:rPr>
        <w:t>De asemenea, din punct de vedere al managementului zonei costiere, principala problemă cu aceste PUG-uri vechi este aceea că ele au fost elaborate fără a avea un studiu de fundamentare prin care să se facă delimitarea fizică a zonei costiere, conform OUG 202/2002.</w:t>
      </w:r>
    </w:p>
    <w:p w14:paraId="24ECAF83" w14:textId="77777777" w:rsidR="00D535CE" w:rsidRDefault="00D535CE" w:rsidP="00D535CE">
      <w:pPr>
        <w:ind w:firstLine="567"/>
        <w:rPr>
          <w:rFonts w:eastAsia="Times New Roman" w:cs="Times New Roman"/>
        </w:rPr>
      </w:pPr>
      <w:r>
        <w:rPr>
          <w:rFonts w:eastAsia="Times New Roman" w:cs="Times New Roman"/>
        </w:rPr>
        <w:t xml:space="preserve">Având în vedere, pe de o parte, prevederea din OUG 202/2002 conform căreia, în documentațiile de urbanism întocmite conform prevederilor legale se va figura grafic fâșia de teren cu lățime variabilă de 50-150 m, iar pe de altă parte stadiul actualizării documentațiilor PUG, se poate considera că unele presiuni asupra resurselor zonei costiere au o sursă potențială chiar în întârzierea procedurilor de elaborare și aprobare a acestor noi PUG-uri. </w:t>
      </w:r>
    </w:p>
    <w:p w14:paraId="27160C8F" w14:textId="77777777" w:rsidR="00D535CE" w:rsidRDefault="00D535CE" w:rsidP="00D535CE">
      <w:pPr>
        <w:rPr>
          <w:rFonts w:eastAsia="Times New Roman" w:cs="Times New Roman"/>
        </w:rPr>
      </w:pPr>
    </w:p>
    <w:p w14:paraId="13EC86DE" w14:textId="27E4DC90" w:rsidR="00D535CE" w:rsidRDefault="00D535CE" w:rsidP="00D535CE">
      <w:pPr>
        <w:spacing w:after="0"/>
        <w:jc w:val="center"/>
        <w:rPr>
          <w:rFonts w:eastAsia="Times New Roman" w:cs="Times New Roman"/>
          <w:b/>
        </w:rPr>
      </w:pPr>
      <w:r>
        <w:rPr>
          <w:rFonts w:eastAsia="Times New Roman" w:cs="Times New Roman"/>
          <w:b/>
        </w:rPr>
        <w:t>Tabel 2.4.8.8.1 Situația actuală a PUG-urilor în zona costieră</w:t>
      </w:r>
    </w:p>
    <w:tbl>
      <w:tblPr>
        <w:tblW w:w="7503" w:type="dxa"/>
        <w:jc w:val="center"/>
        <w:tblLayout w:type="fixed"/>
        <w:tblLook w:val="0400" w:firstRow="0" w:lastRow="0" w:firstColumn="0" w:lastColumn="0" w:noHBand="0" w:noVBand="1"/>
      </w:tblPr>
      <w:tblGrid>
        <w:gridCol w:w="1350"/>
        <w:gridCol w:w="2223"/>
        <w:gridCol w:w="2654"/>
        <w:gridCol w:w="1276"/>
      </w:tblGrid>
      <w:tr w:rsidR="00D535CE" w14:paraId="60F7BB8E" w14:textId="77777777" w:rsidTr="00D46EB7">
        <w:trPr>
          <w:trHeight w:val="472"/>
          <w:jc w:val="center"/>
        </w:trPr>
        <w:tc>
          <w:tcPr>
            <w:tcW w:w="1350" w:type="dxa"/>
            <w:tcBorders>
              <w:top w:val="single" w:sz="8" w:space="0" w:color="000000"/>
              <w:left w:val="single" w:sz="8" w:space="0" w:color="000000"/>
              <w:bottom w:val="single" w:sz="8" w:space="0" w:color="000000"/>
              <w:right w:val="single" w:sz="8" w:space="0" w:color="000000"/>
            </w:tcBorders>
            <w:shd w:val="clear" w:color="auto" w:fill="C9C9C9"/>
            <w:tcMar>
              <w:top w:w="100" w:type="dxa"/>
              <w:left w:w="100" w:type="dxa"/>
              <w:bottom w:w="100" w:type="dxa"/>
              <w:right w:w="100" w:type="dxa"/>
            </w:tcMar>
          </w:tcPr>
          <w:p w14:paraId="73FEBFF9"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b/>
                <w:color w:val="000000"/>
                <w:sz w:val="20"/>
                <w:szCs w:val="20"/>
              </w:rPr>
              <w:t>UAT</w:t>
            </w:r>
          </w:p>
        </w:tc>
        <w:tc>
          <w:tcPr>
            <w:tcW w:w="2223" w:type="dxa"/>
            <w:tcBorders>
              <w:top w:val="single" w:sz="8" w:space="0" w:color="000000"/>
              <w:left w:val="single" w:sz="8" w:space="0" w:color="000000"/>
              <w:bottom w:val="single" w:sz="8" w:space="0" w:color="000000"/>
              <w:right w:val="single" w:sz="8" w:space="0" w:color="000000"/>
            </w:tcBorders>
            <w:shd w:val="clear" w:color="auto" w:fill="C9C9C9"/>
            <w:tcMar>
              <w:top w:w="100" w:type="dxa"/>
              <w:left w:w="100" w:type="dxa"/>
              <w:bottom w:w="100" w:type="dxa"/>
              <w:right w:w="100" w:type="dxa"/>
            </w:tcMar>
          </w:tcPr>
          <w:p w14:paraId="0F179EAF"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b/>
                <w:color w:val="000000"/>
                <w:sz w:val="20"/>
                <w:szCs w:val="20"/>
              </w:rPr>
              <w:t>Stadiu actualizare PUG</w:t>
            </w:r>
          </w:p>
        </w:tc>
        <w:tc>
          <w:tcPr>
            <w:tcW w:w="2654" w:type="dxa"/>
            <w:tcBorders>
              <w:top w:val="single" w:sz="8" w:space="0" w:color="000000"/>
              <w:left w:val="single" w:sz="8" w:space="0" w:color="000000"/>
              <w:bottom w:val="single" w:sz="8" w:space="0" w:color="000000"/>
              <w:right w:val="single" w:sz="8" w:space="0" w:color="000000"/>
            </w:tcBorders>
            <w:shd w:val="clear" w:color="auto" w:fill="C9C9C9"/>
            <w:tcMar>
              <w:top w:w="100" w:type="dxa"/>
              <w:left w:w="100" w:type="dxa"/>
              <w:bottom w:w="100" w:type="dxa"/>
              <w:right w:w="100" w:type="dxa"/>
            </w:tcMar>
          </w:tcPr>
          <w:p w14:paraId="182F505B"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b/>
                <w:color w:val="000000"/>
                <w:sz w:val="20"/>
                <w:szCs w:val="20"/>
              </w:rPr>
              <w:t>PUG neactualizat</w:t>
            </w:r>
          </w:p>
          <w:p w14:paraId="6A2A700C"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b/>
                <w:color w:val="000000"/>
                <w:sz w:val="20"/>
                <w:szCs w:val="20"/>
              </w:rPr>
              <w:t>Anul</w:t>
            </w:r>
          </w:p>
        </w:tc>
        <w:tc>
          <w:tcPr>
            <w:tcW w:w="1276" w:type="dxa"/>
            <w:tcBorders>
              <w:top w:val="single" w:sz="8" w:space="0" w:color="000000"/>
              <w:left w:val="single" w:sz="8" w:space="0" w:color="000000"/>
              <w:bottom w:val="single" w:sz="8" w:space="0" w:color="000000"/>
              <w:right w:val="single" w:sz="8" w:space="0" w:color="000000"/>
            </w:tcBorders>
            <w:shd w:val="clear" w:color="auto" w:fill="C9C9C9"/>
            <w:tcMar>
              <w:top w:w="100" w:type="dxa"/>
              <w:left w:w="100" w:type="dxa"/>
              <w:bottom w:w="100" w:type="dxa"/>
              <w:right w:w="100" w:type="dxa"/>
            </w:tcMar>
          </w:tcPr>
          <w:p w14:paraId="79197704"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b/>
                <w:color w:val="000000"/>
                <w:sz w:val="20"/>
                <w:szCs w:val="20"/>
              </w:rPr>
              <w:t>Disponibil</w:t>
            </w:r>
          </w:p>
        </w:tc>
      </w:tr>
      <w:tr w:rsidR="00D535CE" w14:paraId="4B640DD1" w14:textId="77777777" w:rsidTr="00D46EB7">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E30E08"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C.A. Rosetti</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9DFB69"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în execuție</w:t>
            </w:r>
          </w:p>
        </w:tc>
        <w:tc>
          <w:tcPr>
            <w:tcW w:w="26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EC2AEF5"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2002</w:t>
            </w:r>
          </w:p>
          <w:p w14:paraId="7DBEAF3D"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2018</w:t>
            </w:r>
          </w:p>
          <w:p w14:paraId="1755A6E2"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2023</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EFD8FC"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Da</w:t>
            </w:r>
          </w:p>
        </w:tc>
      </w:tr>
      <w:tr w:rsidR="00D535CE" w14:paraId="379FF5F2" w14:textId="77777777" w:rsidTr="00D46EB7">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72F5B3"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Sulina</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48A7A6"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în execuție</w:t>
            </w:r>
          </w:p>
        </w:tc>
        <w:tc>
          <w:tcPr>
            <w:tcW w:w="26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7545A0D"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2000</w:t>
            </w:r>
          </w:p>
          <w:p w14:paraId="7A0FA140"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2012</w:t>
            </w:r>
          </w:p>
          <w:p w14:paraId="44AA1042"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 </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3E7F21"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Da</w:t>
            </w:r>
          </w:p>
        </w:tc>
      </w:tr>
      <w:tr w:rsidR="00D535CE" w14:paraId="7D963C5C" w14:textId="77777777" w:rsidTr="00D46EB7">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AB2068"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Murighiol</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06E0F0"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în execuție</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F04900"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2002</w:t>
            </w:r>
          </w:p>
          <w:p w14:paraId="7D2D81D4"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2018</w:t>
            </w:r>
          </w:p>
          <w:p w14:paraId="55DA9362"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2023</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54E9B3"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Da</w:t>
            </w:r>
          </w:p>
        </w:tc>
      </w:tr>
      <w:tr w:rsidR="00D535CE" w14:paraId="295BCC98" w14:textId="77777777" w:rsidTr="00D46EB7">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968871"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Sf. Gheorghe</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FD03A2"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în execuție</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813A9C"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2000</w:t>
            </w:r>
          </w:p>
          <w:p w14:paraId="1DB26DEE"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2018</w:t>
            </w:r>
          </w:p>
          <w:p w14:paraId="61301595"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2023</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B8D1F8"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Da</w:t>
            </w:r>
          </w:p>
        </w:tc>
      </w:tr>
      <w:tr w:rsidR="00D535CE" w14:paraId="2B148EAE" w14:textId="77777777" w:rsidTr="00D46EB7">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C4B138"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Jurilovca</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CF8E8E"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în execuție</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9CB5EE"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2002</w:t>
            </w:r>
          </w:p>
          <w:p w14:paraId="50FC24DB"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lastRenderedPageBreak/>
              <w:t>Prelungire 2018</w:t>
            </w:r>
          </w:p>
          <w:p w14:paraId="741EC4A4" w14:textId="77777777" w:rsidR="00D535CE" w:rsidRDefault="00D535CE" w:rsidP="0080494A">
            <w:pPr>
              <w:spacing w:before="0" w:after="0" w:line="240" w:lineRule="auto"/>
              <w:ind w:left="87"/>
              <w:rPr>
                <w:rFonts w:eastAsia="Times New Roman" w:cs="Times New Roman"/>
                <w:sz w:val="20"/>
                <w:szCs w:val="20"/>
              </w:rPr>
            </w:pPr>
            <w:r>
              <w:rPr>
                <w:rFonts w:eastAsia="Times New Roman" w:cs="Times New Roman"/>
                <w:color w:val="000000"/>
                <w:sz w:val="20"/>
                <w:szCs w:val="20"/>
              </w:rPr>
              <w:t>Expirare 2023</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6ACBAD"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lastRenderedPageBreak/>
              <w:t>Da</w:t>
            </w:r>
          </w:p>
        </w:tc>
      </w:tr>
      <w:tr w:rsidR="00D535CE" w14:paraId="6F39839D" w14:textId="77777777" w:rsidTr="00D46EB7">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B27317"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Mihai Viteazu</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F616F1"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Neinițiat</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DAF05F"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2000</w:t>
            </w:r>
          </w:p>
          <w:p w14:paraId="374437AA"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 </w:t>
            </w:r>
          </w:p>
          <w:p w14:paraId="4F1855B7"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2010</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9D28F7"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Nu</w:t>
            </w:r>
          </w:p>
        </w:tc>
      </w:tr>
      <w:tr w:rsidR="00D535CE" w14:paraId="36F1BCF4" w14:textId="77777777" w:rsidTr="00D46EB7">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7B0FDB"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Istria</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1BF4BC"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în execuție</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88C8A2"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1997</w:t>
            </w:r>
          </w:p>
          <w:p w14:paraId="0185BDC1"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2018</w:t>
            </w:r>
          </w:p>
          <w:p w14:paraId="02CD52DC"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2023</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F068D0"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Nu</w:t>
            </w:r>
          </w:p>
        </w:tc>
      </w:tr>
      <w:tr w:rsidR="00D535CE" w14:paraId="5FE708F8" w14:textId="77777777" w:rsidTr="00D46EB7">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EAAF79"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Săcele</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5A9A69"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în avizare</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E285E3"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2001</w:t>
            </w:r>
          </w:p>
          <w:p w14:paraId="733723D6"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2011</w:t>
            </w:r>
          </w:p>
          <w:p w14:paraId="2566C8CC"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2021</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31FDEB"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Nu</w:t>
            </w:r>
          </w:p>
        </w:tc>
      </w:tr>
      <w:tr w:rsidR="00D535CE" w14:paraId="03296FB1" w14:textId="77777777" w:rsidTr="00D46EB7">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5001D0"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Corbu</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625BBC"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în execuție</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660699"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 nu e cazul</w:t>
            </w:r>
          </w:p>
          <w:p w14:paraId="66180A79"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 </w:t>
            </w:r>
          </w:p>
          <w:p w14:paraId="4356BD91"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 </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B335F2"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Nu</w:t>
            </w:r>
          </w:p>
        </w:tc>
      </w:tr>
      <w:tr w:rsidR="00D535CE" w14:paraId="5BE0314B" w14:textId="77777777" w:rsidTr="00D46EB7">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AE86A1"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Năvodari</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6FCA93"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în execuție</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BB2C17"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2004</w:t>
            </w:r>
          </w:p>
          <w:p w14:paraId="0B973B29"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2019</w:t>
            </w:r>
          </w:p>
          <w:p w14:paraId="43C54E57"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2023</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5B2D29"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Nu</w:t>
            </w:r>
          </w:p>
        </w:tc>
      </w:tr>
      <w:tr w:rsidR="00D535CE" w14:paraId="2E00DE47" w14:textId="77777777" w:rsidTr="00D46EB7">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CFFB50"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Constanța</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E90993"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în execuție</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211A40"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1999</w:t>
            </w:r>
          </w:p>
          <w:p w14:paraId="12F8FEE4"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2018</w:t>
            </w:r>
          </w:p>
          <w:p w14:paraId="75572B0B"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2023</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1B4A5F"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Da</w:t>
            </w:r>
          </w:p>
        </w:tc>
      </w:tr>
      <w:tr w:rsidR="00D535CE" w14:paraId="00FA18EC" w14:textId="77777777" w:rsidTr="00D46EB7">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5C135F"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Agigea</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600B96"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în avizare</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A95EDE"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 nu e cazul</w:t>
            </w:r>
          </w:p>
          <w:p w14:paraId="38A961A3"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 </w:t>
            </w:r>
          </w:p>
          <w:p w14:paraId="55136EC6"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 </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8D837C"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Nu</w:t>
            </w:r>
          </w:p>
        </w:tc>
      </w:tr>
      <w:tr w:rsidR="00D535CE" w14:paraId="05AEFDA2" w14:textId="77777777" w:rsidTr="00D46EB7">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9AC64A"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Eforie</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B5D355"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în execuție</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795009"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2002</w:t>
            </w:r>
          </w:p>
          <w:p w14:paraId="10005DF0"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2016</w:t>
            </w:r>
          </w:p>
          <w:p w14:paraId="79206C9E"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2023</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F3DE95"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Nu</w:t>
            </w:r>
          </w:p>
        </w:tc>
      </w:tr>
      <w:tr w:rsidR="00D535CE" w14:paraId="79D16A25" w14:textId="77777777" w:rsidTr="00D46EB7">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44DAF0"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Techirghiol</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8FEDAC"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în avizare</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9DBA12"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1999</w:t>
            </w:r>
          </w:p>
          <w:p w14:paraId="3EF83588"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2018</w:t>
            </w:r>
          </w:p>
          <w:p w14:paraId="532A78F3"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2023</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6ED440"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Nu</w:t>
            </w:r>
          </w:p>
        </w:tc>
      </w:tr>
      <w:tr w:rsidR="00D535CE" w14:paraId="6D7119E3" w14:textId="77777777" w:rsidTr="00D46EB7">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E217E8"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Tuzla</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BC12E6"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în execuție</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2DBF86"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2008</w:t>
            </w:r>
          </w:p>
          <w:p w14:paraId="69193378"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2018</w:t>
            </w:r>
          </w:p>
          <w:p w14:paraId="06D880DA"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2028</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D3E125"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Da</w:t>
            </w:r>
          </w:p>
        </w:tc>
      </w:tr>
      <w:tr w:rsidR="00D535CE" w14:paraId="23BD13BD" w14:textId="77777777" w:rsidTr="00D46EB7">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FB0451"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Costinești</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E14BCE" w14:textId="77777777" w:rsidR="00D535CE" w:rsidRDefault="00D535CE" w:rsidP="0080494A">
            <w:pPr>
              <w:spacing w:before="0" w:after="0" w:line="240" w:lineRule="auto"/>
              <w:rPr>
                <w:rFonts w:eastAsia="Times New Roman" w:cs="Times New Roman"/>
                <w:sz w:val="20"/>
                <w:szCs w:val="20"/>
              </w:rPr>
            </w:pPr>
            <w:r>
              <w:rPr>
                <w:rFonts w:eastAsia="Times New Roman" w:cs="Times New Roman"/>
                <w:color w:val="000000"/>
                <w:sz w:val="20"/>
                <w:szCs w:val="20"/>
              </w:rPr>
              <w:t>informație indisponibilă</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25D00B"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2010</w:t>
            </w:r>
          </w:p>
          <w:p w14:paraId="21AADDEF"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 </w:t>
            </w:r>
          </w:p>
          <w:p w14:paraId="3310EC8C"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2020</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4F7EB8"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Nu</w:t>
            </w:r>
          </w:p>
        </w:tc>
      </w:tr>
      <w:tr w:rsidR="00D535CE" w14:paraId="730729CE" w14:textId="77777777" w:rsidTr="00D46EB7">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AB0AA9"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23 August</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C4B66E"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informație indisponibilă</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421024"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2005</w:t>
            </w:r>
          </w:p>
          <w:p w14:paraId="5113A52C" w14:textId="47722FA9"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2015</w:t>
            </w:r>
          </w:p>
          <w:p w14:paraId="79B474A8"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2020</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EC3703" w14:textId="77777777" w:rsidR="00D535CE" w:rsidRDefault="00D535CE" w:rsidP="0080494A">
            <w:pPr>
              <w:spacing w:before="0" w:after="0" w:line="240" w:lineRule="auto"/>
              <w:rPr>
                <w:rFonts w:eastAsia="Times New Roman" w:cs="Times New Roman"/>
                <w:sz w:val="20"/>
                <w:szCs w:val="20"/>
              </w:rPr>
            </w:pPr>
            <w:r>
              <w:rPr>
                <w:rFonts w:eastAsia="Times New Roman" w:cs="Times New Roman"/>
                <w:color w:val="000000"/>
                <w:sz w:val="20"/>
                <w:szCs w:val="20"/>
              </w:rPr>
              <w:t>Nu</w:t>
            </w:r>
          </w:p>
        </w:tc>
      </w:tr>
      <w:tr w:rsidR="00D535CE" w14:paraId="45BED236" w14:textId="77777777" w:rsidTr="00D46EB7">
        <w:trPr>
          <w:trHeight w:val="740"/>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DBBB1E"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Mangalia</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A674B2"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informație indisponibilă</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D7A1D1"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2019</w:t>
            </w:r>
          </w:p>
          <w:p w14:paraId="53677789"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 </w:t>
            </w:r>
          </w:p>
          <w:p w14:paraId="4361ADD8" w14:textId="19ED849C"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2029</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57009A"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Da</w:t>
            </w:r>
          </w:p>
        </w:tc>
      </w:tr>
      <w:tr w:rsidR="00D535CE" w14:paraId="2CF22232" w14:textId="77777777" w:rsidTr="00D46EB7">
        <w:trPr>
          <w:jc w:val="center"/>
        </w:trPr>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933949"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Limanu</w:t>
            </w:r>
          </w:p>
        </w:tc>
        <w:tc>
          <w:tcPr>
            <w:tcW w:w="22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096CED"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în execuție</w:t>
            </w:r>
          </w:p>
        </w:tc>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A49DE9"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Aprobare 2006</w:t>
            </w:r>
          </w:p>
          <w:p w14:paraId="514AB701"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Prelungire 2016</w:t>
            </w:r>
          </w:p>
          <w:p w14:paraId="3A5B8684"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Expirare 2026</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445808" w14:textId="77777777" w:rsidR="00D535CE" w:rsidRDefault="00D535CE" w:rsidP="0080494A">
            <w:pPr>
              <w:spacing w:before="0" w:after="0" w:line="240" w:lineRule="auto"/>
              <w:rPr>
                <w:rFonts w:eastAsia="Times New Roman" w:cs="Times New Roman"/>
                <w:sz w:val="20"/>
                <w:szCs w:val="20"/>
              </w:rPr>
            </w:pPr>
            <w:r>
              <w:rPr>
                <w:rFonts w:eastAsia="Times New Roman" w:cs="Times New Roman"/>
                <w:color w:val="000000"/>
                <w:sz w:val="20"/>
                <w:szCs w:val="20"/>
              </w:rPr>
              <w:t>Nu</w:t>
            </w:r>
          </w:p>
        </w:tc>
      </w:tr>
    </w:tbl>
    <w:p w14:paraId="6016923B" w14:textId="77777777" w:rsidR="00D535CE" w:rsidRDefault="00D535CE" w:rsidP="0080494A">
      <w:pPr>
        <w:spacing w:before="0"/>
        <w:rPr>
          <w:rFonts w:eastAsia="Times New Roman" w:cs="Times New Roman"/>
        </w:rPr>
      </w:pPr>
    </w:p>
    <w:p w14:paraId="5CF4D8DE" w14:textId="77777777" w:rsidR="00D535CE" w:rsidRPr="0080494A" w:rsidRDefault="00D535CE" w:rsidP="00D535CE">
      <w:pPr>
        <w:pStyle w:val="Heading5"/>
        <w:rPr>
          <w:b w:val="0"/>
        </w:rPr>
      </w:pPr>
      <w:r w:rsidRPr="0080494A">
        <w:rPr>
          <w:b w:val="0"/>
        </w:rPr>
        <w:lastRenderedPageBreak/>
        <w:t>Modul de ocupare a teritoriului Unităților Administrativ-teritoriale</w:t>
      </w:r>
      <w:r w:rsidRPr="0080494A">
        <w:rPr>
          <w:b w:val="0"/>
          <w:sz w:val="32"/>
          <w:szCs w:val="32"/>
        </w:rPr>
        <w:t> </w:t>
      </w:r>
    </w:p>
    <w:p w14:paraId="3830AB05" w14:textId="17014998" w:rsidR="00D535CE" w:rsidRDefault="00D535CE" w:rsidP="00D535CE">
      <w:pPr>
        <w:ind w:firstLine="567"/>
        <w:rPr>
          <w:rFonts w:eastAsia="Times New Roman" w:cs="Times New Roman"/>
        </w:rPr>
      </w:pPr>
      <w:r>
        <w:rPr>
          <w:rFonts w:eastAsia="Times New Roman" w:cs="Times New Roman"/>
        </w:rPr>
        <w:t xml:space="preserve">Din perspectiva structurii generale a fondului funciar în cadrul teritoriului zonei costiere, terenurile agricole ocupă 97.465 hectare (27,42% din total), iar terenurile neagricole 257.982 hectare, reprezentând 72,58% din totalul suprafeței UAT-urilor. Suprafețele ocupate de terenurile agricole și neagricole pentru fiecare UAT sunt redate în Tabelul </w:t>
      </w:r>
      <w:r w:rsidR="0080494A">
        <w:rPr>
          <w:rFonts w:eastAsia="Times New Roman" w:cs="Times New Roman"/>
        </w:rPr>
        <w:t>2.</w:t>
      </w:r>
      <w:r>
        <w:rPr>
          <w:rFonts w:eastAsia="Times New Roman" w:cs="Times New Roman"/>
        </w:rPr>
        <w:t>4.8.8.2.</w:t>
      </w:r>
    </w:p>
    <w:p w14:paraId="18101239" w14:textId="77777777" w:rsidR="0080494A" w:rsidRDefault="0080494A" w:rsidP="00D535CE">
      <w:pPr>
        <w:spacing w:line="240" w:lineRule="auto"/>
        <w:jc w:val="center"/>
        <w:rPr>
          <w:rFonts w:eastAsia="Times New Roman" w:cs="Times New Roman"/>
          <w:b/>
        </w:rPr>
      </w:pPr>
    </w:p>
    <w:p w14:paraId="3E1DA7A6" w14:textId="024E7593" w:rsidR="00D535CE" w:rsidRDefault="00D535CE" w:rsidP="00D535CE">
      <w:pPr>
        <w:spacing w:line="240" w:lineRule="auto"/>
        <w:jc w:val="center"/>
        <w:rPr>
          <w:rFonts w:eastAsia="Times New Roman" w:cs="Times New Roman"/>
        </w:rPr>
      </w:pPr>
      <w:r>
        <w:rPr>
          <w:rFonts w:eastAsia="Times New Roman" w:cs="Times New Roman"/>
          <w:b/>
        </w:rPr>
        <w:t xml:space="preserve">Tabel </w:t>
      </w:r>
      <w:r w:rsidR="0080494A">
        <w:rPr>
          <w:rFonts w:eastAsia="Times New Roman" w:cs="Times New Roman"/>
          <w:b/>
        </w:rPr>
        <w:t>2.</w:t>
      </w:r>
      <w:r>
        <w:rPr>
          <w:rFonts w:eastAsia="Times New Roman" w:cs="Times New Roman"/>
          <w:b/>
        </w:rPr>
        <w:t>4.8.8.2 Structura ocupării terenurilor în UAT-urile din zona costieră</w:t>
      </w:r>
    </w:p>
    <w:tbl>
      <w:tblPr>
        <w:tblpPr w:leftFromText="180" w:rightFromText="180" w:vertAnchor="text" w:tblpX="887" w:tblpY="527"/>
        <w:tblW w:w="7251" w:type="dxa"/>
        <w:tblLayout w:type="fixed"/>
        <w:tblLook w:val="0400" w:firstRow="0" w:lastRow="0" w:firstColumn="0" w:lastColumn="0" w:noHBand="0" w:noVBand="1"/>
      </w:tblPr>
      <w:tblGrid>
        <w:gridCol w:w="1350"/>
        <w:gridCol w:w="1523"/>
        <w:gridCol w:w="2089"/>
        <w:gridCol w:w="2289"/>
      </w:tblGrid>
      <w:tr w:rsidR="00D535CE" w14:paraId="29FDF4C7" w14:textId="77777777" w:rsidTr="00D46EB7">
        <w:trPr>
          <w:trHeight w:val="20"/>
        </w:trPr>
        <w:tc>
          <w:tcPr>
            <w:tcW w:w="1350" w:type="dxa"/>
            <w:tcBorders>
              <w:top w:val="single" w:sz="4"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12B55410" w14:textId="77777777" w:rsidR="00D535CE" w:rsidRDefault="00D535CE" w:rsidP="0080494A">
            <w:pPr>
              <w:spacing w:before="0" w:after="0" w:line="240" w:lineRule="auto"/>
              <w:rPr>
                <w:rFonts w:eastAsia="Times New Roman" w:cs="Times New Roman"/>
                <w:sz w:val="20"/>
                <w:szCs w:val="20"/>
              </w:rPr>
            </w:pPr>
            <w:bookmarkStart w:id="102" w:name="_heading=h.2grqrue" w:colFirst="0" w:colLast="0"/>
            <w:bookmarkEnd w:id="102"/>
            <w:r>
              <w:rPr>
                <w:rFonts w:eastAsia="Times New Roman" w:cs="Times New Roman"/>
                <w:b/>
                <w:sz w:val="20"/>
                <w:szCs w:val="20"/>
              </w:rPr>
              <w:t>UAT</w:t>
            </w:r>
          </w:p>
        </w:tc>
        <w:tc>
          <w:tcPr>
            <w:tcW w:w="1523" w:type="dxa"/>
            <w:tcBorders>
              <w:top w:val="single" w:sz="4"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166AB99"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b/>
                <w:sz w:val="20"/>
                <w:szCs w:val="20"/>
              </w:rPr>
              <w:t>Total UAT (ha)</w:t>
            </w:r>
          </w:p>
        </w:tc>
        <w:tc>
          <w:tcPr>
            <w:tcW w:w="2089" w:type="dxa"/>
            <w:tcBorders>
              <w:top w:val="single" w:sz="4"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AD1F8DA"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b/>
                <w:sz w:val="20"/>
                <w:szCs w:val="20"/>
              </w:rPr>
              <w:t>Terenuri agricole (ha)</w:t>
            </w:r>
          </w:p>
        </w:tc>
        <w:tc>
          <w:tcPr>
            <w:tcW w:w="2289" w:type="dxa"/>
            <w:tcBorders>
              <w:top w:val="single" w:sz="4" w:space="0" w:color="000000"/>
              <w:left w:val="single" w:sz="8" w:space="0" w:color="000000"/>
              <w:bottom w:val="single" w:sz="8" w:space="0" w:color="000000"/>
              <w:right w:val="single" w:sz="4" w:space="0" w:color="000000"/>
            </w:tcBorders>
            <w:shd w:val="clear" w:color="auto" w:fill="FFFFFF"/>
            <w:tcMar>
              <w:top w:w="100" w:type="dxa"/>
              <w:left w:w="100" w:type="dxa"/>
              <w:bottom w:w="100" w:type="dxa"/>
              <w:right w:w="100" w:type="dxa"/>
            </w:tcMar>
          </w:tcPr>
          <w:p w14:paraId="1444AF18"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b/>
                <w:sz w:val="20"/>
                <w:szCs w:val="20"/>
              </w:rPr>
              <w:t>Terenuri neagricole (ha)</w:t>
            </w:r>
          </w:p>
        </w:tc>
      </w:tr>
      <w:tr w:rsidR="00D535CE" w14:paraId="0653935B" w14:textId="77777777" w:rsidTr="00D46EB7">
        <w:trPr>
          <w:trHeight w:val="20"/>
        </w:trPr>
        <w:tc>
          <w:tcPr>
            <w:tcW w:w="1350"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0EA42D98"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C. A. Rosetti</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75D5A4"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26638,00</w:t>
            </w:r>
          </w:p>
        </w:tc>
        <w:tc>
          <w:tcPr>
            <w:tcW w:w="20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91E1FA"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3298,00</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3196EECA"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23340,00</w:t>
            </w:r>
          </w:p>
        </w:tc>
      </w:tr>
      <w:tr w:rsidR="00D535CE" w14:paraId="60F6B465" w14:textId="77777777" w:rsidTr="00D46EB7">
        <w:trPr>
          <w:trHeight w:val="20"/>
        </w:trPr>
        <w:tc>
          <w:tcPr>
            <w:tcW w:w="1350"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4F48B79D"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Sulina</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B8ECA9"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32835,00</w:t>
            </w:r>
          </w:p>
        </w:tc>
        <w:tc>
          <w:tcPr>
            <w:tcW w:w="20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5BD514"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835,00</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560A3742"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32000,00</w:t>
            </w:r>
          </w:p>
        </w:tc>
      </w:tr>
      <w:tr w:rsidR="00D535CE" w14:paraId="2D87F2CC" w14:textId="77777777" w:rsidTr="00D46EB7">
        <w:trPr>
          <w:trHeight w:val="20"/>
        </w:trPr>
        <w:tc>
          <w:tcPr>
            <w:tcW w:w="1350"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7373633A"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Sf. Gheorghe</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B28E6D"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60576,00</w:t>
            </w:r>
          </w:p>
        </w:tc>
        <w:tc>
          <w:tcPr>
            <w:tcW w:w="20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0EA3DE"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3156,00</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21B1654D"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57420,00</w:t>
            </w:r>
          </w:p>
        </w:tc>
      </w:tr>
      <w:tr w:rsidR="00D535CE" w14:paraId="03A5520C" w14:textId="77777777" w:rsidTr="00D46EB7">
        <w:trPr>
          <w:trHeight w:val="20"/>
        </w:trPr>
        <w:tc>
          <w:tcPr>
            <w:tcW w:w="1350"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537A3BF3"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Murighiol</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5AA9D4"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80449,00</w:t>
            </w:r>
          </w:p>
        </w:tc>
        <w:tc>
          <w:tcPr>
            <w:tcW w:w="20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31E79C"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9474,00</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4D8F0AFC"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70975,00</w:t>
            </w:r>
          </w:p>
        </w:tc>
      </w:tr>
      <w:tr w:rsidR="00D535CE" w14:paraId="18323F25" w14:textId="77777777" w:rsidTr="00D46EB7">
        <w:trPr>
          <w:trHeight w:val="20"/>
        </w:trPr>
        <w:tc>
          <w:tcPr>
            <w:tcW w:w="1350"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78494A6E"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Jurilovca</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B96761"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29949,00</w:t>
            </w:r>
          </w:p>
        </w:tc>
        <w:tc>
          <w:tcPr>
            <w:tcW w:w="20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BFD32D"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8935,00</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6F151E24" w14:textId="77777777" w:rsidR="00D535CE" w:rsidRDefault="00D535CE" w:rsidP="0080494A">
            <w:pPr>
              <w:spacing w:before="0" w:after="0" w:line="240" w:lineRule="auto"/>
              <w:ind w:firstLine="36"/>
              <w:jc w:val="left"/>
              <w:rPr>
                <w:rFonts w:eastAsia="Times New Roman" w:cs="Times New Roman"/>
                <w:sz w:val="20"/>
                <w:szCs w:val="20"/>
              </w:rPr>
            </w:pPr>
            <w:r>
              <w:rPr>
                <w:rFonts w:eastAsia="Times New Roman" w:cs="Times New Roman"/>
                <w:sz w:val="20"/>
                <w:szCs w:val="20"/>
              </w:rPr>
              <w:t>21014,00</w:t>
            </w:r>
          </w:p>
        </w:tc>
      </w:tr>
      <w:tr w:rsidR="00D535CE" w14:paraId="5C0F072F" w14:textId="77777777" w:rsidTr="00D46EB7">
        <w:trPr>
          <w:trHeight w:val="20"/>
        </w:trPr>
        <w:tc>
          <w:tcPr>
            <w:tcW w:w="1350"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5AAD2FDA"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Mihai Viteazu</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11ADFD"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20607,00</w:t>
            </w:r>
          </w:p>
        </w:tc>
        <w:tc>
          <w:tcPr>
            <w:tcW w:w="20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4C9D0C"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9212,00</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3C31C2E8" w14:textId="77777777" w:rsidR="00D535CE" w:rsidRDefault="00D535CE" w:rsidP="0080494A">
            <w:pPr>
              <w:spacing w:before="0" w:after="0" w:line="240" w:lineRule="auto"/>
              <w:ind w:firstLine="36"/>
              <w:jc w:val="left"/>
              <w:rPr>
                <w:rFonts w:eastAsia="Times New Roman" w:cs="Times New Roman"/>
                <w:sz w:val="20"/>
                <w:szCs w:val="20"/>
              </w:rPr>
            </w:pPr>
            <w:r>
              <w:rPr>
                <w:rFonts w:eastAsia="Times New Roman" w:cs="Times New Roman"/>
                <w:sz w:val="20"/>
                <w:szCs w:val="20"/>
              </w:rPr>
              <w:t>11395,00</w:t>
            </w:r>
          </w:p>
        </w:tc>
      </w:tr>
      <w:tr w:rsidR="00D535CE" w14:paraId="06D713DB" w14:textId="77777777" w:rsidTr="00D46EB7">
        <w:trPr>
          <w:trHeight w:val="20"/>
        </w:trPr>
        <w:tc>
          <w:tcPr>
            <w:tcW w:w="1350"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47938C29"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Istria</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74E4EE"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18044,00</w:t>
            </w:r>
          </w:p>
        </w:tc>
        <w:tc>
          <w:tcPr>
            <w:tcW w:w="20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7F1E61" w14:textId="77777777" w:rsidR="00D535CE" w:rsidRDefault="00D535CE" w:rsidP="0080494A">
            <w:pPr>
              <w:spacing w:before="0" w:after="0" w:line="240" w:lineRule="auto"/>
              <w:ind w:hanging="1"/>
              <w:rPr>
                <w:rFonts w:eastAsia="Times New Roman" w:cs="Times New Roman"/>
                <w:sz w:val="20"/>
                <w:szCs w:val="20"/>
              </w:rPr>
            </w:pPr>
            <w:r>
              <w:rPr>
                <w:rFonts w:eastAsia="Times New Roman" w:cs="Times New Roman"/>
                <w:sz w:val="20"/>
                <w:szCs w:val="20"/>
              </w:rPr>
              <w:t>8332,00</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7CBD579D" w14:textId="77777777" w:rsidR="00D535CE" w:rsidRDefault="00D535CE" w:rsidP="0080494A">
            <w:pPr>
              <w:spacing w:before="0" w:after="0" w:line="240" w:lineRule="auto"/>
              <w:ind w:firstLine="36"/>
              <w:jc w:val="left"/>
              <w:rPr>
                <w:rFonts w:eastAsia="Times New Roman" w:cs="Times New Roman"/>
                <w:sz w:val="20"/>
                <w:szCs w:val="20"/>
              </w:rPr>
            </w:pPr>
            <w:r>
              <w:rPr>
                <w:rFonts w:eastAsia="Times New Roman" w:cs="Times New Roman"/>
                <w:sz w:val="20"/>
                <w:szCs w:val="20"/>
              </w:rPr>
              <w:t>9712,00</w:t>
            </w:r>
          </w:p>
        </w:tc>
      </w:tr>
      <w:tr w:rsidR="00D535CE" w14:paraId="2C101CD0" w14:textId="77777777" w:rsidTr="00D46EB7">
        <w:trPr>
          <w:trHeight w:val="20"/>
        </w:trPr>
        <w:tc>
          <w:tcPr>
            <w:tcW w:w="1350"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042168BE"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Săcele</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BBECA3"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11636,00</w:t>
            </w:r>
          </w:p>
        </w:tc>
        <w:tc>
          <w:tcPr>
            <w:tcW w:w="20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71D1C1" w14:textId="77777777" w:rsidR="00D535CE" w:rsidRDefault="00D535CE" w:rsidP="0080494A">
            <w:pPr>
              <w:spacing w:before="0" w:after="0" w:line="240" w:lineRule="auto"/>
              <w:ind w:hanging="1"/>
              <w:rPr>
                <w:rFonts w:eastAsia="Times New Roman" w:cs="Times New Roman"/>
                <w:sz w:val="20"/>
                <w:szCs w:val="20"/>
              </w:rPr>
            </w:pPr>
            <w:r>
              <w:rPr>
                <w:rFonts w:eastAsia="Times New Roman" w:cs="Times New Roman"/>
                <w:sz w:val="20"/>
                <w:szCs w:val="20"/>
              </w:rPr>
              <w:t>9413,00</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6D8896DA" w14:textId="77777777" w:rsidR="00D535CE" w:rsidRDefault="00D535CE" w:rsidP="0080494A">
            <w:pPr>
              <w:spacing w:before="0" w:after="0" w:line="240" w:lineRule="auto"/>
              <w:ind w:firstLine="36"/>
              <w:jc w:val="left"/>
              <w:rPr>
                <w:rFonts w:eastAsia="Times New Roman" w:cs="Times New Roman"/>
                <w:sz w:val="20"/>
                <w:szCs w:val="20"/>
              </w:rPr>
            </w:pPr>
            <w:r>
              <w:rPr>
                <w:rFonts w:eastAsia="Times New Roman" w:cs="Times New Roman"/>
                <w:sz w:val="20"/>
                <w:szCs w:val="20"/>
              </w:rPr>
              <w:t>2223,00</w:t>
            </w:r>
          </w:p>
        </w:tc>
      </w:tr>
      <w:tr w:rsidR="00D535CE" w14:paraId="1549EBD0" w14:textId="77777777" w:rsidTr="00D46EB7">
        <w:trPr>
          <w:trHeight w:val="20"/>
        </w:trPr>
        <w:tc>
          <w:tcPr>
            <w:tcW w:w="1350"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012E1588"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Corbu</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FCBE33"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11636,00</w:t>
            </w:r>
          </w:p>
        </w:tc>
        <w:tc>
          <w:tcPr>
            <w:tcW w:w="20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19826A" w14:textId="77777777" w:rsidR="00D535CE" w:rsidRDefault="00D535CE" w:rsidP="0080494A">
            <w:pPr>
              <w:spacing w:before="0" w:after="0" w:line="240" w:lineRule="auto"/>
              <w:ind w:hanging="1"/>
              <w:rPr>
                <w:rFonts w:eastAsia="Times New Roman" w:cs="Times New Roman"/>
                <w:sz w:val="20"/>
                <w:szCs w:val="20"/>
              </w:rPr>
            </w:pPr>
            <w:r>
              <w:rPr>
                <w:rFonts w:eastAsia="Times New Roman" w:cs="Times New Roman"/>
                <w:sz w:val="20"/>
                <w:szCs w:val="20"/>
              </w:rPr>
              <w:t>10663,00</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33AD2AA6" w14:textId="77777777" w:rsidR="00D535CE" w:rsidRDefault="00D535CE" w:rsidP="0080494A">
            <w:pPr>
              <w:spacing w:before="0" w:after="0" w:line="240" w:lineRule="auto"/>
              <w:ind w:firstLine="36"/>
              <w:jc w:val="left"/>
              <w:rPr>
                <w:rFonts w:eastAsia="Times New Roman" w:cs="Times New Roman"/>
                <w:sz w:val="20"/>
                <w:szCs w:val="20"/>
              </w:rPr>
            </w:pPr>
            <w:r>
              <w:rPr>
                <w:rFonts w:eastAsia="Times New Roman" w:cs="Times New Roman"/>
                <w:sz w:val="20"/>
                <w:szCs w:val="20"/>
              </w:rPr>
              <w:t>7508,00</w:t>
            </w:r>
          </w:p>
        </w:tc>
      </w:tr>
      <w:tr w:rsidR="00D535CE" w14:paraId="071695A9" w14:textId="77777777" w:rsidTr="00D46EB7">
        <w:trPr>
          <w:trHeight w:val="20"/>
        </w:trPr>
        <w:tc>
          <w:tcPr>
            <w:tcW w:w="1350"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4FE8454E"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Năvodari</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B7AAC3"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6771,00</w:t>
            </w:r>
          </w:p>
        </w:tc>
        <w:tc>
          <w:tcPr>
            <w:tcW w:w="208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D1EC41F" w14:textId="77777777" w:rsidR="00D535CE" w:rsidRDefault="00D535CE" w:rsidP="0080494A">
            <w:pPr>
              <w:spacing w:before="0" w:after="0" w:line="240" w:lineRule="auto"/>
              <w:ind w:hanging="1"/>
              <w:rPr>
                <w:rFonts w:eastAsia="Times New Roman" w:cs="Times New Roman"/>
                <w:sz w:val="20"/>
                <w:szCs w:val="20"/>
              </w:rPr>
            </w:pPr>
            <w:r>
              <w:rPr>
                <w:rFonts w:eastAsia="Times New Roman" w:cs="Times New Roman"/>
                <w:sz w:val="20"/>
                <w:szCs w:val="20"/>
              </w:rPr>
              <w:t>6448</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3056A577" w14:textId="77777777" w:rsidR="00D535CE" w:rsidRDefault="00D535CE" w:rsidP="0080494A">
            <w:pPr>
              <w:spacing w:before="0" w:after="0" w:line="240" w:lineRule="auto"/>
              <w:ind w:firstLine="36"/>
              <w:jc w:val="left"/>
              <w:rPr>
                <w:rFonts w:eastAsia="Times New Roman" w:cs="Times New Roman"/>
                <w:sz w:val="20"/>
                <w:szCs w:val="20"/>
              </w:rPr>
            </w:pPr>
            <w:r>
              <w:rPr>
                <w:rFonts w:eastAsia="Times New Roman" w:cs="Times New Roman"/>
                <w:sz w:val="20"/>
                <w:szCs w:val="20"/>
              </w:rPr>
              <w:t>4468,00</w:t>
            </w:r>
          </w:p>
        </w:tc>
      </w:tr>
      <w:tr w:rsidR="00D535CE" w14:paraId="199120AE" w14:textId="77777777" w:rsidTr="00D46EB7">
        <w:trPr>
          <w:trHeight w:val="20"/>
        </w:trPr>
        <w:tc>
          <w:tcPr>
            <w:tcW w:w="1350"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08781631"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Constanța</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F80635"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14571,53</w:t>
            </w:r>
          </w:p>
        </w:tc>
        <w:tc>
          <w:tcPr>
            <w:tcW w:w="208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312DFC5" w14:textId="77777777" w:rsidR="00D535CE" w:rsidRDefault="00D535CE" w:rsidP="0080494A">
            <w:pPr>
              <w:spacing w:before="0" w:after="0" w:line="240" w:lineRule="auto"/>
              <w:ind w:hanging="1"/>
              <w:rPr>
                <w:rFonts w:eastAsia="Times New Roman" w:cs="Times New Roman"/>
                <w:sz w:val="20"/>
                <w:szCs w:val="20"/>
              </w:rPr>
            </w:pPr>
            <w:r>
              <w:rPr>
                <w:rFonts w:eastAsia="Times New Roman" w:cs="Times New Roman"/>
                <w:sz w:val="20"/>
                <w:szCs w:val="20"/>
              </w:rPr>
              <w:t>12507</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261F4B1B" w14:textId="77777777" w:rsidR="00D535CE" w:rsidRDefault="00D535CE" w:rsidP="0080494A">
            <w:pPr>
              <w:spacing w:before="0" w:after="0" w:line="240" w:lineRule="auto"/>
              <w:ind w:firstLine="36"/>
              <w:jc w:val="left"/>
              <w:rPr>
                <w:rFonts w:eastAsia="Times New Roman" w:cs="Times New Roman"/>
                <w:sz w:val="20"/>
                <w:szCs w:val="20"/>
              </w:rPr>
            </w:pPr>
            <w:r>
              <w:rPr>
                <w:rFonts w:eastAsia="Times New Roman" w:cs="Times New Roman"/>
                <w:sz w:val="20"/>
                <w:szCs w:val="20"/>
              </w:rPr>
              <w:t>8090,00</w:t>
            </w:r>
          </w:p>
        </w:tc>
      </w:tr>
      <w:tr w:rsidR="00D535CE" w14:paraId="314CF0A5" w14:textId="77777777" w:rsidTr="00D46EB7">
        <w:trPr>
          <w:trHeight w:val="20"/>
        </w:trPr>
        <w:tc>
          <w:tcPr>
            <w:tcW w:w="1350"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6F9F6CD4"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Agigea</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1EF501"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4614,13</w:t>
            </w:r>
          </w:p>
        </w:tc>
        <w:tc>
          <w:tcPr>
            <w:tcW w:w="208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8AA0819" w14:textId="77777777" w:rsidR="00D535CE" w:rsidRDefault="00D535CE" w:rsidP="0080494A">
            <w:pPr>
              <w:spacing w:before="0" w:after="0" w:line="240" w:lineRule="auto"/>
              <w:ind w:hanging="1"/>
              <w:rPr>
                <w:rFonts w:eastAsia="Times New Roman" w:cs="Times New Roman"/>
                <w:sz w:val="20"/>
                <w:szCs w:val="20"/>
              </w:rPr>
            </w:pPr>
            <w:r>
              <w:rPr>
                <w:rFonts w:eastAsia="Times New Roman" w:cs="Times New Roman"/>
                <w:sz w:val="20"/>
                <w:szCs w:val="20"/>
              </w:rPr>
              <w:t>5245</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7E056DA9" w14:textId="77777777" w:rsidR="00D535CE" w:rsidRDefault="00D535CE" w:rsidP="0080494A">
            <w:pPr>
              <w:spacing w:before="0" w:after="0" w:line="240" w:lineRule="auto"/>
              <w:ind w:firstLine="36"/>
              <w:jc w:val="left"/>
              <w:rPr>
                <w:rFonts w:eastAsia="Times New Roman" w:cs="Times New Roman"/>
                <w:sz w:val="20"/>
                <w:szCs w:val="20"/>
              </w:rPr>
            </w:pPr>
            <w:r>
              <w:rPr>
                <w:rFonts w:eastAsia="Times New Roman" w:cs="Times New Roman"/>
                <w:sz w:val="20"/>
                <w:szCs w:val="20"/>
              </w:rPr>
              <w:t>8090,00</w:t>
            </w:r>
          </w:p>
        </w:tc>
      </w:tr>
      <w:tr w:rsidR="00D535CE" w14:paraId="74844EF7" w14:textId="77777777" w:rsidTr="00D46EB7">
        <w:trPr>
          <w:trHeight w:val="20"/>
        </w:trPr>
        <w:tc>
          <w:tcPr>
            <w:tcW w:w="1350"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6FB8B458"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Eforie</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EB7BF9"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716,17</w:t>
            </w:r>
          </w:p>
        </w:tc>
        <w:tc>
          <w:tcPr>
            <w:tcW w:w="208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3FFB76E" w14:textId="77777777" w:rsidR="00D535CE" w:rsidRDefault="00D535CE" w:rsidP="0080494A">
            <w:pPr>
              <w:spacing w:before="0" w:after="0" w:line="240" w:lineRule="auto"/>
              <w:ind w:hanging="1"/>
              <w:rPr>
                <w:rFonts w:eastAsia="Times New Roman" w:cs="Times New Roman"/>
                <w:sz w:val="20"/>
                <w:szCs w:val="20"/>
              </w:rPr>
            </w:pPr>
            <w:r>
              <w:rPr>
                <w:rFonts w:eastAsia="Times New Roman" w:cs="Times New Roman"/>
                <w:sz w:val="20"/>
                <w:szCs w:val="20"/>
              </w:rPr>
              <w:t>467</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742CC4BC" w14:textId="77777777" w:rsidR="00D535CE" w:rsidRDefault="00D535CE" w:rsidP="0080494A">
            <w:pPr>
              <w:spacing w:before="0" w:after="0" w:line="240" w:lineRule="auto"/>
              <w:ind w:firstLine="36"/>
              <w:jc w:val="left"/>
              <w:rPr>
                <w:rFonts w:eastAsia="Times New Roman" w:cs="Times New Roman"/>
                <w:sz w:val="20"/>
                <w:szCs w:val="20"/>
              </w:rPr>
            </w:pPr>
            <w:r>
              <w:rPr>
                <w:rFonts w:eastAsia="Times New Roman" w:cs="Times New Roman"/>
                <w:sz w:val="20"/>
                <w:szCs w:val="20"/>
              </w:rPr>
              <w:t>441,00</w:t>
            </w:r>
          </w:p>
        </w:tc>
      </w:tr>
      <w:tr w:rsidR="00D535CE" w14:paraId="663B4B0B" w14:textId="77777777" w:rsidTr="00D46EB7">
        <w:trPr>
          <w:trHeight w:val="275"/>
        </w:trPr>
        <w:tc>
          <w:tcPr>
            <w:tcW w:w="1350"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12D63E83"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Techirghiol</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28E6E8"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3838,00</w:t>
            </w:r>
          </w:p>
        </w:tc>
        <w:tc>
          <w:tcPr>
            <w:tcW w:w="208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C2F1869" w14:textId="77777777" w:rsidR="00D535CE" w:rsidRDefault="00D535CE" w:rsidP="0080494A">
            <w:pPr>
              <w:spacing w:before="0" w:after="0" w:line="240" w:lineRule="auto"/>
              <w:ind w:hanging="1"/>
              <w:rPr>
                <w:rFonts w:eastAsia="Times New Roman" w:cs="Times New Roman"/>
                <w:sz w:val="20"/>
                <w:szCs w:val="20"/>
              </w:rPr>
            </w:pPr>
            <w:r>
              <w:rPr>
                <w:rFonts w:eastAsia="Times New Roman" w:cs="Times New Roman"/>
                <w:sz w:val="20"/>
                <w:szCs w:val="20"/>
              </w:rPr>
              <w:t>3838</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35C874F2"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1777,00</w:t>
            </w:r>
          </w:p>
        </w:tc>
      </w:tr>
      <w:tr w:rsidR="00D535CE" w14:paraId="4A37F927" w14:textId="77777777" w:rsidTr="00D46EB7">
        <w:trPr>
          <w:trHeight w:val="20"/>
        </w:trPr>
        <w:tc>
          <w:tcPr>
            <w:tcW w:w="1350"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0BBACAC1"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Tuzla</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00F4DB"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5066,12</w:t>
            </w:r>
          </w:p>
        </w:tc>
        <w:tc>
          <w:tcPr>
            <w:tcW w:w="208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7BE2582" w14:textId="77777777" w:rsidR="00D535CE" w:rsidRDefault="00D535CE" w:rsidP="0080494A">
            <w:pPr>
              <w:spacing w:before="0" w:after="0" w:line="240" w:lineRule="auto"/>
              <w:ind w:hanging="1"/>
              <w:rPr>
                <w:rFonts w:eastAsia="Times New Roman" w:cs="Times New Roman"/>
                <w:sz w:val="20"/>
                <w:szCs w:val="20"/>
              </w:rPr>
            </w:pPr>
            <w:r>
              <w:rPr>
                <w:rFonts w:eastAsia="Times New Roman" w:cs="Times New Roman"/>
                <w:sz w:val="20"/>
                <w:szCs w:val="20"/>
              </w:rPr>
              <w:t>4895</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54B1F605"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753,00</w:t>
            </w:r>
          </w:p>
        </w:tc>
      </w:tr>
      <w:tr w:rsidR="00D535CE" w14:paraId="5138D5AA" w14:textId="77777777" w:rsidTr="00D46EB7">
        <w:trPr>
          <w:trHeight w:val="20"/>
        </w:trPr>
        <w:tc>
          <w:tcPr>
            <w:tcW w:w="1350"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605E371D"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23 August</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754D99"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777,34</w:t>
            </w:r>
          </w:p>
        </w:tc>
        <w:tc>
          <w:tcPr>
            <w:tcW w:w="208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42E95F0" w14:textId="77777777" w:rsidR="00D535CE" w:rsidRDefault="00D535CE" w:rsidP="0080494A">
            <w:pPr>
              <w:spacing w:before="0" w:after="0" w:line="240" w:lineRule="auto"/>
              <w:ind w:hanging="1"/>
              <w:rPr>
                <w:rFonts w:eastAsia="Times New Roman" w:cs="Times New Roman"/>
                <w:sz w:val="20"/>
                <w:szCs w:val="20"/>
              </w:rPr>
            </w:pPr>
            <w:r>
              <w:rPr>
                <w:rFonts w:eastAsia="Times New Roman" w:cs="Times New Roman"/>
                <w:sz w:val="20"/>
                <w:szCs w:val="20"/>
              </w:rPr>
              <w:t>18171</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4A3AEA3C"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752,00</w:t>
            </w:r>
          </w:p>
        </w:tc>
      </w:tr>
      <w:tr w:rsidR="00D535CE" w14:paraId="216F4ADE" w14:textId="77777777" w:rsidTr="00D46EB7">
        <w:trPr>
          <w:trHeight w:val="20"/>
        </w:trPr>
        <w:tc>
          <w:tcPr>
            <w:tcW w:w="1350"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0C69BABF"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Costinești</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2DD8A6"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1923,04</w:t>
            </w:r>
          </w:p>
        </w:tc>
        <w:tc>
          <w:tcPr>
            <w:tcW w:w="208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CDD390A" w14:textId="77777777" w:rsidR="00D535CE" w:rsidRDefault="00D535CE" w:rsidP="0080494A">
            <w:pPr>
              <w:spacing w:before="0" w:after="0" w:line="240" w:lineRule="auto"/>
              <w:ind w:hanging="1"/>
              <w:rPr>
                <w:rFonts w:eastAsia="Times New Roman" w:cs="Times New Roman"/>
                <w:sz w:val="20"/>
                <w:szCs w:val="20"/>
              </w:rPr>
            </w:pPr>
            <w:r>
              <w:rPr>
                <w:rFonts w:eastAsia="Times New Roman" w:cs="Times New Roman"/>
                <w:sz w:val="20"/>
                <w:szCs w:val="20"/>
              </w:rPr>
              <w:t>18044</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3DE1FB37"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385,00</w:t>
            </w:r>
          </w:p>
        </w:tc>
      </w:tr>
      <w:tr w:rsidR="00D535CE" w14:paraId="43B69A1C" w14:textId="77777777" w:rsidTr="00D46EB7">
        <w:trPr>
          <w:trHeight w:val="20"/>
        </w:trPr>
        <w:tc>
          <w:tcPr>
            <w:tcW w:w="1350"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4597F0FA"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Mangalia</w:t>
            </w:r>
          </w:p>
        </w:tc>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0487DA"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5259,70</w:t>
            </w:r>
          </w:p>
        </w:tc>
        <w:tc>
          <w:tcPr>
            <w:tcW w:w="208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5DC98A6" w14:textId="77777777" w:rsidR="00D535CE" w:rsidRDefault="00D535CE" w:rsidP="0080494A">
            <w:pPr>
              <w:spacing w:before="0" w:after="0" w:line="240" w:lineRule="auto"/>
              <w:ind w:hanging="1"/>
              <w:rPr>
                <w:rFonts w:eastAsia="Times New Roman" w:cs="Times New Roman"/>
                <w:sz w:val="20"/>
                <w:szCs w:val="20"/>
              </w:rPr>
            </w:pPr>
            <w:r>
              <w:rPr>
                <w:rFonts w:eastAsia="Times New Roman" w:cs="Times New Roman"/>
                <w:sz w:val="20"/>
                <w:szCs w:val="20"/>
              </w:rPr>
              <w:t>7313</w:t>
            </w:r>
          </w:p>
        </w:tc>
        <w:tc>
          <w:tcPr>
            <w:tcW w:w="2289"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0AD90C39"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2740,00</w:t>
            </w:r>
          </w:p>
        </w:tc>
      </w:tr>
      <w:tr w:rsidR="00D535CE" w14:paraId="192EF39D" w14:textId="77777777" w:rsidTr="00D46EB7">
        <w:trPr>
          <w:trHeight w:val="20"/>
        </w:trPr>
        <w:tc>
          <w:tcPr>
            <w:tcW w:w="1350" w:type="dxa"/>
            <w:tcBorders>
              <w:top w:val="single" w:sz="8" w:space="0" w:color="000000"/>
              <w:left w:val="single" w:sz="4" w:space="0" w:color="000000"/>
              <w:bottom w:val="single" w:sz="4" w:space="0" w:color="000000"/>
              <w:right w:val="single" w:sz="8" w:space="0" w:color="000000"/>
            </w:tcBorders>
            <w:shd w:val="clear" w:color="auto" w:fill="FFFFFF"/>
            <w:tcMar>
              <w:top w:w="100" w:type="dxa"/>
              <w:left w:w="100" w:type="dxa"/>
              <w:bottom w:w="100" w:type="dxa"/>
              <w:right w:w="100" w:type="dxa"/>
            </w:tcMar>
          </w:tcPr>
          <w:p w14:paraId="4F42EEE0"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Limanu</w:t>
            </w:r>
          </w:p>
        </w:tc>
        <w:tc>
          <w:tcPr>
            <w:tcW w:w="1523"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55D2E4E2"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7217,06</w:t>
            </w:r>
          </w:p>
        </w:tc>
        <w:tc>
          <w:tcPr>
            <w:tcW w:w="2089" w:type="dxa"/>
            <w:tcBorders>
              <w:top w:val="single" w:sz="8" w:space="0" w:color="000000"/>
              <w:left w:val="single" w:sz="8" w:space="0" w:color="000000"/>
              <w:bottom w:val="single" w:sz="4" w:space="0" w:color="000000"/>
              <w:right w:val="single" w:sz="8" w:space="0" w:color="000000"/>
            </w:tcBorders>
            <w:shd w:val="clear" w:color="auto" w:fill="FFFFFF"/>
            <w:tcMar>
              <w:top w:w="100" w:type="dxa"/>
              <w:left w:w="100" w:type="dxa"/>
              <w:bottom w:w="100" w:type="dxa"/>
              <w:right w:w="100" w:type="dxa"/>
            </w:tcMar>
          </w:tcPr>
          <w:p w14:paraId="16A3A651" w14:textId="77777777" w:rsidR="00D535CE" w:rsidRDefault="00D535CE" w:rsidP="0080494A">
            <w:pPr>
              <w:spacing w:before="0" w:after="0" w:line="240" w:lineRule="auto"/>
              <w:ind w:hanging="1"/>
              <w:rPr>
                <w:rFonts w:eastAsia="Times New Roman" w:cs="Times New Roman"/>
                <w:sz w:val="20"/>
                <w:szCs w:val="20"/>
              </w:rPr>
            </w:pPr>
            <w:r>
              <w:rPr>
                <w:rFonts w:eastAsia="Times New Roman" w:cs="Times New Roman"/>
                <w:sz w:val="20"/>
                <w:szCs w:val="20"/>
              </w:rPr>
              <w:t>20607</w:t>
            </w:r>
          </w:p>
        </w:tc>
        <w:tc>
          <w:tcPr>
            <w:tcW w:w="2289" w:type="dxa"/>
            <w:tcBorders>
              <w:top w:val="single" w:sz="8" w:space="0" w:color="000000"/>
              <w:left w:val="single" w:sz="8" w:space="0" w:color="000000"/>
              <w:bottom w:val="single" w:sz="4" w:space="0" w:color="000000"/>
              <w:right w:val="single" w:sz="4" w:space="0" w:color="000000"/>
            </w:tcBorders>
            <w:tcMar>
              <w:top w:w="100" w:type="dxa"/>
              <w:left w:w="100" w:type="dxa"/>
              <w:bottom w:w="100" w:type="dxa"/>
              <w:right w:w="100" w:type="dxa"/>
            </w:tcMar>
          </w:tcPr>
          <w:p w14:paraId="1F3040B4"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sz w:val="20"/>
                <w:szCs w:val="20"/>
              </w:rPr>
              <w:t>1191,00</w:t>
            </w:r>
          </w:p>
        </w:tc>
      </w:tr>
    </w:tbl>
    <w:p w14:paraId="394486AF" w14:textId="77777777" w:rsidR="00D535CE" w:rsidRDefault="00D535CE" w:rsidP="0080494A">
      <w:pPr>
        <w:spacing w:line="240" w:lineRule="auto"/>
        <w:ind w:firstLine="0"/>
        <w:rPr>
          <w:rFonts w:eastAsia="Times New Roman" w:cs="Times New Roman"/>
          <w:b/>
        </w:rPr>
      </w:pPr>
    </w:p>
    <w:p w14:paraId="14EFA757" w14:textId="77777777" w:rsidR="00D535CE" w:rsidRDefault="00D535CE" w:rsidP="00D535CE">
      <w:pPr>
        <w:spacing w:line="240" w:lineRule="auto"/>
        <w:jc w:val="center"/>
        <w:rPr>
          <w:rFonts w:eastAsia="Times New Roman" w:cs="Times New Roman"/>
          <w:b/>
        </w:rPr>
      </w:pPr>
    </w:p>
    <w:p w14:paraId="48F37E2F" w14:textId="77777777" w:rsidR="00D535CE" w:rsidRDefault="00D535CE" w:rsidP="00D535CE">
      <w:pPr>
        <w:spacing w:line="240" w:lineRule="auto"/>
        <w:jc w:val="center"/>
        <w:rPr>
          <w:rFonts w:eastAsia="Times New Roman" w:cs="Times New Roman"/>
          <w:b/>
        </w:rPr>
      </w:pPr>
    </w:p>
    <w:p w14:paraId="403CB926" w14:textId="77777777" w:rsidR="00D535CE" w:rsidRDefault="00D535CE" w:rsidP="00D535CE">
      <w:pPr>
        <w:spacing w:line="240" w:lineRule="auto"/>
        <w:jc w:val="center"/>
        <w:rPr>
          <w:rFonts w:eastAsia="Times New Roman" w:cs="Times New Roman"/>
          <w:b/>
        </w:rPr>
      </w:pPr>
    </w:p>
    <w:p w14:paraId="7497CC1B" w14:textId="77777777" w:rsidR="00D535CE" w:rsidRDefault="00D535CE" w:rsidP="00D535CE">
      <w:pPr>
        <w:spacing w:line="240" w:lineRule="auto"/>
        <w:jc w:val="center"/>
        <w:rPr>
          <w:rFonts w:eastAsia="Times New Roman" w:cs="Times New Roman"/>
          <w:b/>
        </w:rPr>
      </w:pPr>
    </w:p>
    <w:p w14:paraId="7E7E17D3" w14:textId="77777777" w:rsidR="00D535CE" w:rsidRDefault="00D535CE" w:rsidP="00D535CE">
      <w:pPr>
        <w:spacing w:line="240" w:lineRule="auto"/>
        <w:jc w:val="center"/>
        <w:rPr>
          <w:rFonts w:eastAsia="Times New Roman" w:cs="Times New Roman"/>
          <w:b/>
        </w:rPr>
      </w:pPr>
    </w:p>
    <w:p w14:paraId="4664E8C5" w14:textId="77777777" w:rsidR="00D535CE" w:rsidRDefault="00D535CE" w:rsidP="00D535CE">
      <w:pPr>
        <w:spacing w:line="240" w:lineRule="auto"/>
        <w:jc w:val="center"/>
        <w:rPr>
          <w:rFonts w:eastAsia="Times New Roman" w:cs="Times New Roman"/>
          <w:b/>
        </w:rPr>
      </w:pPr>
    </w:p>
    <w:p w14:paraId="2842B5CB" w14:textId="77777777" w:rsidR="00D535CE" w:rsidRDefault="00D535CE" w:rsidP="00D535CE"/>
    <w:p w14:paraId="2244F9A0" w14:textId="77777777" w:rsidR="00D535CE" w:rsidRDefault="00D535CE" w:rsidP="00D535CE">
      <w:pPr>
        <w:ind w:firstLine="567"/>
        <w:rPr>
          <w:rFonts w:eastAsia="Times New Roman" w:cs="Times New Roman"/>
        </w:rPr>
      </w:pPr>
    </w:p>
    <w:p w14:paraId="4B293089" w14:textId="77777777" w:rsidR="00D535CE" w:rsidRDefault="00D535CE" w:rsidP="00D535CE">
      <w:pPr>
        <w:ind w:firstLine="567"/>
        <w:rPr>
          <w:rFonts w:eastAsia="Times New Roman" w:cs="Times New Roman"/>
        </w:rPr>
      </w:pPr>
    </w:p>
    <w:p w14:paraId="0637E791" w14:textId="77777777" w:rsidR="00D535CE" w:rsidRDefault="00D535CE" w:rsidP="00D535CE">
      <w:pPr>
        <w:ind w:firstLine="567"/>
        <w:rPr>
          <w:rFonts w:eastAsia="Times New Roman" w:cs="Times New Roman"/>
        </w:rPr>
      </w:pPr>
    </w:p>
    <w:p w14:paraId="57AF7E44" w14:textId="77777777" w:rsidR="0080494A" w:rsidRDefault="0080494A" w:rsidP="00D535CE">
      <w:pPr>
        <w:ind w:firstLine="567"/>
        <w:rPr>
          <w:rFonts w:eastAsia="Times New Roman" w:cs="Times New Roman"/>
        </w:rPr>
      </w:pPr>
    </w:p>
    <w:p w14:paraId="028BC89B" w14:textId="77777777" w:rsidR="0080494A" w:rsidRDefault="0080494A" w:rsidP="00D535CE">
      <w:pPr>
        <w:ind w:firstLine="567"/>
        <w:rPr>
          <w:rFonts w:eastAsia="Times New Roman" w:cs="Times New Roman"/>
        </w:rPr>
      </w:pPr>
    </w:p>
    <w:p w14:paraId="29BB5974" w14:textId="77777777" w:rsidR="00D535CE" w:rsidRDefault="00D535CE" w:rsidP="0080494A">
      <w:pPr>
        <w:spacing w:before="0"/>
        <w:ind w:firstLine="567"/>
        <w:rPr>
          <w:rFonts w:eastAsia="Times New Roman" w:cs="Times New Roman"/>
        </w:rPr>
      </w:pPr>
      <w:r>
        <w:rPr>
          <w:rFonts w:eastAsia="Times New Roman" w:cs="Times New Roman"/>
        </w:rPr>
        <w:t>Comunele 23 August, Tuzla, Limanu, Costinești și Săcele, toate din județul Constanța, se disting din perspectiva unei ponderi de peste 80 % a terenurilor agricole din totalul suprafeței lor administrative, în timp ce orașele Sulina, Eforie și comunele Sfântu Gheorghe, Murighiol și C.A. Rosetti dețin ponderi semnificative, de peste 80 % a terenurilor neagricole.</w:t>
      </w:r>
    </w:p>
    <w:p w14:paraId="13637E53" w14:textId="277100BF" w:rsidR="00D535CE" w:rsidRDefault="00D535CE" w:rsidP="0080494A">
      <w:pPr>
        <w:spacing w:before="0"/>
        <w:ind w:firstLine="567"/>
        <w:rPr>
          <w:rFonts w:eastAsia="Times New Roman" w:cs="Times New Roman"/>
        </w:rPr>
      </w:pPr>
      <w:r>
        <w:rPr>
          <w:rFonts w:eastAsia="Times New Roman" w:cs="Times New Roman"/>
        </w:rPr>
        <w:lastRenderedPageBreak/>
        <w:t xml:space="preserve">Tabelul </w:t>
      </w:r>
      <w:r w:rsidR="0080494A">
        <w:rPr>
          <w:rFonts w:eastAsia="Times New Roman" w:cs="Times New Roman"/>
        </w:rPr>
        <w:t>2.</w:t>
      </w:r>
      <w:r>
        <w:rPr>
          <w:rFonts w:eastAsia="Times New Roman" w:cs="Times New Roman"/>
        </w:rPr>
        <w:t>4.8.8.3 redă structura terenurilor neagricole din teritoriul zonei costiere. Din perspectiva suprafețelor de teren ocupate efectiv cu construcții, atât ca și valori absolute, cât și ca pondere în totalul suprafețelor, UAT-urile din sectorul nordic se remarcă prin valori foarte scăzute, sugerând gradul scăzut de urbanizare. De asemenea, caracteristic întregului sector nordic este ponderea extrem de mică spre zero (C.A. Rosetti) a terenurilor ocupate de căi de comunicație, ceea ce arată și accesibilitatea redusă. Se remarcă, în UAT Sulina și C.A Rosetti, ponderea foarte ridicată a teritoriului ocupat de ape.</w:t>
      </w:r>
    </w:p>
    <w:p w14:paraId="6AF1FF0E" w14:textId="35367688" w:rsidR="00D535CE" w:rsidRDefault="00D535CE" w:rsidP="0080494A">
      <w:pPr>
        <w:spacing w:before="0"/>
        <w:ind w:firstLine="567"/>
        <w:rPr>
          <w:rFonts w:eastAsia="Times New Roman" w:cs="Times New Roman"/>
          <w:color w:val="FF0000"/>
        </w:rPr>
      </w:pPr>
      <w:r>
        <w:rPr>
          <w:rFonts w:eastAsia="Times New Roman" w:cs="Times New Roman"/>
        </w:rPr>
        <w:t xml:space="preserve">În schimb, în sectorul sudic al zonei de studiu, ponderea suprafețelor construite este ridicată și, de asemenea, ponderea terenurilor ocupate de căi de comunicație și căi ferate indică un grad mare de accesibilitate. Cea mai ridicată pondere a suprafeței construite raportată la suprafața totală neagricolă este deținută de UAT Eforie (66,81 %), urmată de municipiul Constanța (37,01 %) (Tabel </w:t>
      </w:r>
      <w:r w:rsidR="0080494A">
        <w:rPr>
          <w:rFonts w:eastAsia="Times New Roman" w:cs="Times New Roman"/>
        </w:rPr>
        <w:t>2.</w:t>
      </w:r>
      <w:r>
        <w:rPr>
          <w:rFonts w:eastAsia="Times New Roman" w:cs="Times New Roman"/>
        </w:rPr>
        <w:t>4.8.8.3). </w:t>
      </w:r>
    </w:p>
    <w:p w14:paraId="60D2B22C" w14:textId="77777777" w:rsidR="00D535CE" w:rsidRDefault="00D535CE" w:rsidP="0080494A">
      <w:pPr>
        <w:spacing w:before="0" w:line="240" w:lineRule="auto"/>
        <w:rPr>
          <w:b/>
          <w:color w:val="000000"/>
          <w:sz w:val="20"/>
          <w:szCs w:val="20"/>
        </w:rPr>
      </w:pPr>
    </w:p>
    <w:p w14:paraId="0E0A2604" w14:textId="056DFC67" w:rsidR="00D535CE" w:rsidRDefault="00D535CE" w:rsidP="00D535CE">
      <w:pPr>
        <w:spacing w:after="0" w:line="240" w:lineRule="auto"/>
        <w:ind w:left="697" w:hanging="697"/>
        <w:jc w:val="center"/>
        <w:rPr>
          <w:rFonts w:eastAsia="Times New Roman" w:cs="Times New Roman"/>
        </w:rPr>
      </w:pPr>
      <w:bookmarkStart w:id="103" w:name="_heading=h.vx1227" w:colFirst="0" w:colLast="0"/>
      <w:bookmarkEnd w:id="103"/>
      <w:r>
        <w:rPr>
          <w:rFonts w:eastAsia="Times New Roman" w:cs="Times New Roman"/>
          <w:b/>
          <w:color w:val="000000"/>
        </w:rPr>
        <w:t xml:space="preserve">Tabel </w:t>
      </w:r>
      <w:r w:rsidR="0080494A">
        <w:rPr>
          <w:rFonts w:eastAsia="Times New Roman" w:cs="Times New Roman"/>
          <w:b/>
          <w:color w:val="000000"/>
        </w:rPr>
        <w:t>2.</w:t>
      </w:r>
      <w:r>
        <w:rPr>
          <w:rFonts w:eastAsia="Times New Roman" w:cs="Times New Roman"/>
          <w:b/>
          <w:color w:val="000000"/>
        </w:rPr>
        <w:t>4.8.8.3</w:t>
      </w:r>
      <w:r>
        <w:rPr>
          <w:rFonts w:eastAsia="Times New Roman" w:cs="Times New Roman"/>
          <w:color w:val="000000"/>
        </w:rPr>
        <w:t xml:space="preserve"> </w:t>
      </w:r>
      <w:r>
        <w:rPr>
          <w:rFonts w:eastAsia="Times New Roman" w:cs="Times New Roman"/>
          <w:b/>
          <w:color w:val="000000"/>
        </w:rPr>
        <w:t>Structura terenurilor neagricole în teritoriul zonei costiere (</w:t>
      </w:r>
      <w:r>
        <w:rPr>
          <w:rFonts w:eastAsia="Times New Roman" w:cs="Times New Roman"/>
          <w:b/>
          <w:i/>
          <w:color w:val="000000"/>
        </w:rPr>
        <w:t>sursa: INSSE, 2023</w:t>
      </w:r>
      <w:r>
        <w:rPr>
          <w:rFonts w:eastAsia="Times New Roman" w:cs="Times New Roman"/>
          <w:b/>
          <w:color w:val="000000"/>
        </w:rPr>
        <w:t>)</w:t>
      </w:r>
    </w:p>
    <w:tbl>
      <w:tblPr>
        <w:tblW w:w="9016" w:type="dxa"/>
        <w:tblLayout w:type="fixed"/>
        <w:tblLook w:val="0400" w:firstRow="0" w:lastRow="0" w:firstColumn="0" w:lastColumn="0" w:noHBand="0" w:noVBand="1"/>
      </w:tblPr>
      <w:tblGrid>
        <w:gridCol w:w="1323"/>
        <w:gridCol w:w="727"/>
        <w:gridCol w:w="779"/>
        <w:gridCol w:w="818"/>
        <w:gridCol w:w="767"/>
        <w:gridCol w:w="732"/>
        <w:gridCol w:w="784"/>
        <w:gridCol w:w="751"/>
        <w:gridCol w:w="805"/>
        <w:gridCol w:w="739"/>
        <w:gridCol w:w="791"/>
      </w:tblGrid>
      <w:tr w:rsidR="00D535CE" w14:paraId="749560A0" w14:textId="77777777" w:rsidTr="00D46EB7">
        <w:trPr>
          <w:trHeight w:val="530"/>
        </w:trPr>
        <w:tc>
          <w:tcPr>
            <w:tcW w:w="1323" w:type="dxa"/>
            <w:vMerge w:val="restart"/>
            <w:tcBorders>
              <w:top w:val="single" w:sz="4"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36612DBD" w14:textId="77777777" w:rsidR="00D535CE" w:rsidRDefault="00D535CE" w:rsidP="0080494A">
            <w:pPr>
              <w:spacing w:before="0" w:after="0" w:line="240" w:lineRule="auto"/>
              <w:ind w:left="100" w:hanging="63"/>
              <w:rPr>
                <w:rFonts w:eastAsia="Times New Roman" w:cs="Times New Roman"/>
                <w:sz w:val="20"/>
                <w:szCs w:val="20"/>
              </w:rPr>
            </w:pPr>
            <w:r>
              <w:rPr>
                <w:rFonts w:eastAsia="Times New Roman" w:cs="Times New Roman"/>
                <w:b/>
                <w:color w:val="000000"/>
                <w:sz w:val="20"/>
                <w:szCs w:val="20"/>
              </w:rPr>
              <w:t>Structura terenurilor neagricole</w:t>
            </w:r>
          </w:p>
          <w:p w14:paraId="49246DAC" w14:textId="77777777" w:rsidR="00D535CE" w:rsidRDefault="00D535CE" w:rsidP="0080494A">
            <w:pPr>
              <w:spacing w:before="0" w:after="0" w:line="240" w:lineRule="auto"/>
              <w:ind w:left="100" w:hanging="63"/>
              <w:rPr>
                <w:rFonts w:eastAsia="Times New Roman" w:cs="Times New Roman"/>
                <w:sz w:val="20"/>
                <w:szCs w:val="20"/>
              </w:rPr>
            </w:pPr>
            <w:r>
              <w:rPr>
                <w:rFonts w:eastAsia="Times New Roman" w:cs="Times New Roman"/>
                <w:b/>
                <w:color w:val="000000"/>
                <w:sz w:val="20"/>
                <w:szCs w:val="20"/>
              </w:rPr>
              <w:t> (2014)</w:t>
            </w:r>
          </w:p>
        </w:tc>
        <w:tc>
          <w:tcPr>
            <w:tcW w:w="1506" w:type="dxa"/>
            <w:gridSpan w:val="2"/>
            <w:tcBorders>
              <w:top w:val="single" w:sz="4"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5903A4D"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b/>
                <w:color w:val="000000"/>
                <w:sz w:val="20"/>
                <w:szCs w:val="20"/>
              </w:rPr>
              <w:t>Păduri și vegetație forestieră</w:t>
            </w:r>
          </w:p>
        </w:tc>
        <w:tc>
          <w:tcPr>
            <w:tcW w:w="1585" w:type="dxa"/>
            <w:gridSpan w:val="2"/>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195524"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b/>
                <w:color w:val="000000"/>
                <w:sz w:val="20"/>
                <w:szCs w:val="20"/>
              </w:rPr>
              <w:t>Terenuri ocupate cu ape</w:t>
            </w:r>
          </w:p>
        </w:tc>
        <w:tc>
          <w:tcPr>
            <w:tcW w:w="1516" w:type="dxa"/>
            <w:gridSpan w:val="2"/>
            <w:tcBorders>
              <w:top w:val="single" w:sz="4"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3BE4369F"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b/>
                <w:color w:val="000000"/>
                <w:sz w:val="20"/>
                <w:szCs w:val="20"/>
              </w:rPr>
              <w:t>Terenuri ocupate cu construcții</w:t>
            </w:r>
          </w:p>
        </w:tc>
        <w:tc>
          <w:tcPr>
            <w:tcW w:w="1556" w:type="dxa"/>
            <w:gridSpan w:val="2"/>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1044DC"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b/>
                <w:color w:val="000000"/>
                <w:sz w:val="20"/>
                <w:szCs w:val="20"/>
              </w:rPr>
              <w:t>Terenuri cu căi de comunicații și căi ferate</w:t>
            </w:r>
          </w:p>
        </w:tc>
        <w:tc>
          <w:tcPr>
            <w:tcW w:w="1530" w:type="dxa"/>
            <w:gridSpan w:val="2"/>
            <w:tcBorders>
              <w:top w:val="single" w:sz="4"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342E7042"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b/>
                <w:color w:val="000000"/>
                <w:sz w:val="20"/>
                <w:szCs w:val="20"/>
              </w:rPr>
              <w:t>Terenuri degradate și neproductive</w:t>
            </w:r>
          </w:p>
        </w:tc>
      </w:tr>
      <w:tr w:rsidR="00D535CE" w14:paraId="7164AED5" w14:textId="77777777" w:rsidTr="00D46EB7">
        <w:trPr>
          <w:trHeight w:val="303"/>
        </w:trPr>
        <w:tc>
          <w:tcPr>
            <w:tcW w:w="1323" w:type="dxa"/>
            <w:vMerge/>
            <w:tcBorders>
              <w:top w:val="single" w:sz="4"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21A8D35C" w14:textId="77777777" w:rsidR="00D535CE" w:rsidRDefault="00D535CE" w:rsidP="0080494A">
            <w:pPr>
              <w:widowControl w:val="0"/>
              <w:pBdr>
                <w:top w:val="nil"/>
                <w:left w:val="nil"/>
                <w:bottom w:val="nil"/>
                <w:right w:val="nil"/>
                <w:between w:val="nil"/>
              </w:pBdr>
              <w:spacing w:before="0" w:after="0"/>
              <w:ind w:hanging="63"/>
              <w:rPr>
                <w:rFonts w:eastAsia="Times New Roman" w:cs="Times New Roman"/>
                <w:sz w:val="20"/>
                <w:szCs w:val="20"/>
              </w:rPr>
            </w:pP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C1465D"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b/>
                <w:color w:val="000000"/>
                <w:sz w:val="20"/>
                <w:szCs w:val="20"/>
              </w:rPr>
              <w:t>ha</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B544BC"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b/>
                <w:color w:val="000000"/>
                <w:sz w:val="20"/>
                <w:szCs w:val="20"/>
              </w:rPr>
              <w:t>%*</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1AD029"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b/>
                <w:color w:val="000000"/>
                <w:sz w:val="20"/>
                <w:szCs w:val="20"/>
              </w:rPr>
              <w:t>ha</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B0BC5D"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b/>
                <w:color w:val="000000"/>
                <w:sz w:val="20"/>
                <w:szCs w:val="20"/>
              </w:rPr>
              <w:t>%</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00372537"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b/>
                <w:color w:val="000000"/>
                <w:sz w:val="20"/>
                <w:szCs w:val="20"/>
              </w:rPr>
              <w:t>ha</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5E9B51F8"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b/>
                <w:color w:val="000000"/>
                <w:sz w:val="20"/>
                <w:szCs w:val="20"/>
              </w:rPr>
              <w:t>%</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A490A2"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b/>
                <w:color w:val="000000"/>
                <w:sz w:val="20"/>
                <w:szCs w:val="20"/>
              </w:rPr>
              <w:t>ha</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4D4A2D"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b/>
                <w:color w:val="000000"/>
                <w:sz w:val="20"/>
                <w:szCs w:val="20"/>
              </w:rPr>
              <w:t>%</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238A72"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b/>
                <w:color w:val="000000"/>
                <w:sz w:val="20"/>
                <w:szCs w:val="20"/>
              </w:rPr>
              <w:t>ha</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6583190B"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b/>
                <w:color w:val="000000"/>
                <w:sz w:val="20"/>
                <w:szCs w:val="20"/>
              </w:rPr>
              <w:t>%</w:t>
            </w:r>
          </w:p>
        </w:tc>
      </w:tr>
      <w:tr w:rsidR="00D535CE" w14:paraId="0CBA6A12" w14:textId="77777777" w:rsidTr="00D46EB7">
        <w:trPr>
          <w:trHeight w:val="197"/>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3E941A8A" w14:textId="77777777" w:rsidR="00D535CE" w:rsidRDefault="00D535CE" w:rsidP="0080494A">
            <w:pPr>
              <w:spacing w:before="0" w:after="0" w:line="240" w:lineRule="auto"/>
              <w:ind w:hanging="63"/>
              <w:rPr>
                <w:rFonts w:eastAsia="Times New Roman" w:cs="Times New Roman"/>
                <w:sz w:val="20"/>
                <w:szCs w:val="20"/>
              </w:rPr>
            </w:pPr>
            <w:r>
              <w:rPr>
                <w:rFonts w:eastAsia="Times New Roman" w:cs="Times New Roman"/>
                <w:color w:val="000000"/>
                <w:sz w:val="20"/>
                <w:szCs w:val="20"/>
              </w:rPr>
              <w:t>C.A. Rosetti</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CAEF08"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4355</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40EA03"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16,35</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5E4258"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17304</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23E7DC"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64,96</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2E82BE1C"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395</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68C4142F"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1,48</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472B03"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49E70F"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320389"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1286</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55BE9DD9"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4,83</w:t>
            </w:r>
          </w:p>
        </w:tc>
      </w:tr>
      <w:tr w:rsidR="00D535CE" w14:paraId="24C0AC55" w14:textId="77777777" w:rsidTr="00D46EB7">
        <w:trPr>
          <w:trHeight w:val="175"/>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6683FF04" w14:textId="77777777" w:rsidR="00D535CE" w:rsidRDefault="00D535CE" w:rsidP="0080494A">
            <w:pPr>
              <w:spacing w:before="0" w:after="0" w:line="240" w:lineRule="auto"/>
              <w:ind w:hanging="63"/>
              <w:rPr>
                <w:rFonts w:eastAsia="Times New Roman" w:cs="Times New Roman"/>
                <w:sz w:val="20"/>
                <w:szCs w:val="20"/>
              </w:rPr>
            </w:pPr>
            <w:r>
              <w:rPr>
                <w:rFonts w:eastAsia="Times New Roman" w:cs="Times New Roman"/>
                <w:color w:val="000000"/>
                <w:sz w:val="20"/>
                <w:szCs w:val="20"/>
              </w:rPr>
              <w:t>Sulina</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DB2B6B"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14</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1DA873"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0,04</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D411ED"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31212</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C09C3F"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95,06</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2D36ECFD"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698</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2F2E600E"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2,13</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27D121"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6</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8EA2E0"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0,02</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0B3494"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70</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3EECFD5D"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0,21</w:t>
            </w:r>
          </w:p>
        </w:tc>
      </w:tr>
      <w:tr w:rsidR="00D535CE" w14:paraId="642FE27B" w14:textId="77777777" w:rsidTr="00D46EB7">
        <w:trPr>
          <w:trHeight w:val="422"/>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0EA000AA" w14:textId="77777777" w:rsidR="00D535CE" w:rsidRDefault="00D535CE" w:rsidP="0080494A">
            <w:pPr>
              <w:spacing w:before="0" w:after="0" w:line="240" w:lineRule="auto"/>
              <w:ind w:hanging="63"/>
              <w:rPr>
                <w:rFonts w:eastAsia="Times New Roman" w:cs="Times New Roman"/>
                <w:sz w:val="20"/>
                <w:szCs w:val="20"/>
              </w:rPr>
            </w:pPr>
            <w:r>
              <w:rPr>
                <w:rFonts w:eastAsia="Times New Roman" w:cs="Times New Roman"/>
                <w:color w:val="000000"/>
                <w:sz w:val="20"/>
                <w:szCs w:val="20"/>
              </w:rPr>
              <w:t>Sfântu Gheorghe</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462DAF"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2445</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5367B1" w14:textId="77777777" w:rsidR="00D535CE" w:rsidRDefault="00D535CE" w:rsidP="0080494A">
            <w:pPr>
              <w:spacing w:before="0" w:after="0" w:line="240" w:lineRule="auto"/>
              <w:ind w:left="100" w:right="15" w:firstLine="0"/>
              <w:rPr>
                <w:rFonts w:eastAsia="Times New Roman" w:cs="Times New Roman"/>
                <w:sz w:val="20"/>
                <w:szCs w:val="20"/>
              </w:rPr>
            </w:pPr>
            <w:r>
              <w:rPr>
                <w:rFonts w:eastAsia="Times New Roman" w:cs="Times New Roman"/>
                <w:color w:val="000000"/>
                <w:sz w:val="20"/>
                <w:szCs w:val="20"/>
              </w:rPr>
              <w:t>4,04</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BDD854"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53459</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20DEFD"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88,25</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3E176CE6"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121</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23B976FE"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0,20</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16B409"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67</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0574DF"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0,11</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6139F1"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1328</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0BF8D5D4"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2,19</w:t>
            </w:r>
          </w:p>
        </w:tc>
      </w:tr>
      <w:tr w:rsidR="00D535CE" w14:paraId="17C4CA70" w14:textId="77777777" w:rsidTr="00D46EB7">
        <w:trPr>
          <w:trHeight w:val="319"/>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1C1078EE" w14:textId="77777777" w:rsidR="00D535CE" w:rsidRDefault="00D535CE" w:rsidP="0080494A">
            <w:pPr>
              <w:spacing w:before="0" w:after="0" w:line="240" w:lineRule="auto"/>
              <w:ind w:hanging="63"/>
              <w:rPr>
                <w:rFonts w:eastAsia="Times New Roman" w:cs="Times New Roman"/>
                <w:sz w:val="20"/>
                <w:szCs w:val="20"/>
              </w:rPr>
            </w:pPr>
            <w:r>
              <w:rPr>
                <w:rFonts w:eastAsia="Times New Roman" w:cs="Times New Roman"/>
                <w:color w:val="000000"/>
                <w:sz w:val="20"/>
                <w:szCs w:val="20"/>
              </w:rPr>
              <w:t>Murighiol</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FBF9AF"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2641</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A68364"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3,28</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0B84D9"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65641</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F4336E"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81,59</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6D65B815"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479</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7253F584"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0,60</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FEAB7D"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116</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05887D"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0,14</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521873"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2098</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6580C2F9"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2,61</w:t>
            </w:r>
          </w:p>
        </w:tc>
      </w:tr>
      <w:tr w:rsidR="00D535CE" w14:paraId="548DFC82" w14:textId="77777777" w:rsidTr="00D46EB7">
        <w:trPr>
          <w:trHeight w:val="213"/>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7396E774" w14:textId="77777777" w:rsidR="00D535CE" w:rsidRDefault="00D535CE" w:rsidP="0080494A">
            <w:pPr>
              <w:spacing w:before="0" w:after="0" w:line="240" w:lineRule="auto"/>
              <w:ind w:hanging="63"/>
              <w:rPr>
                <w:rFonts w:eastAsia="Times New Roman" w:cs="Times New Roman"/>
                <w:sz w:val="20"/>
                <w:szCs w:val="20"/>
              </w:rPr>
            </w:pPr>
            <w:r>
              <w:rPr>
                <w:rFonts w:eastAsia="Times New Roman" w:cs="Times New Roman"/>
                <w:color w:val="000000"/>
                <w:sz w:val="20"/>
                <w:szCs w:val="20"/>
              </w:rPr>
              <w:t>Jurilovca</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3A32E4"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595</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BF4871"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1,99</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4AFB62"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19805</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9A9A79"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66,13</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5C24CC74"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246</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0AC45656"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0,82</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30CCB4"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155</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29D65A"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0,52</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11270A"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213</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5D139D7F"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0,71</w:t>
            </w:r>
          </w:p>
        </w:tc>
      </w:tr>
      <w:tr w:rsidR="00D535CE" w14:paraId="19CBEDAE" w14:textId="77777777" w:rsidTr="00D46EB7">
        <w:trPr>
          <w:trHeight w:val="460"/>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661CEC3A" w14:textId="77777777" w:rsidR="00D535CE" w:rsidRDefault="00D535CE" w:rsidP="0080494A">
            <w:pPr>
              <w:spacing w:before="0" w:after="0" w:line="240" w:lineRule="auto"/>
              <w:ind w:hanging="63"/>
              <w:rPr>
                <w:rFonts w:eastAsia="Times New Roman" w:cs="Times New Roman"/>
                <w:sz w:val="20"/>
                <w:szCs w:val="20"/>
              </w:rPr>
            </w:pPr>
            <w:r>
              <w:rPr>
                <w:rFonts w:eastAsia="Times New Roman" w:cs="Times New Roman"/>
                <w:color w:val="000000"/>
                <w:sz w:val="20"/>
                <w:szCs w:val="20"/>
              </w:rPr>
              <w:t>Mihai Viteazu</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9F6793"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5571EE"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00974C"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10194</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B8FE4D"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49,47</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66009295"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262</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3F044A53"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1,27</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A43715"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344</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E1EDCF"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1,67</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6CD51F"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595</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5838E592"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2,89</w:t>
            </w:r>
          </w:p>
        </w:tc>
      </w:tr>
      <w:tr w:rsidR="00D535CE" w14:paraId="0FC07782" w14:textId="77777777" w:rsidTr="00D46EB7">
        <w:trPr>
          <w:trHeight w:val="215"/>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3F69E54F" w14:textId="77777777" w:rsidR="00D535CE" w:rsidRDefault="00D535CE" w:rsidP="0080494A">
            <w:pPr>
              <w:spacing w:before="0" w:after="0" w:line="240" w:lineRule="auto"/>
              <w:ind w:hanging="63"/>
              <w:rPr>
                <w:rFonts w:eastAsia="Times New Roman" w:cs="Times New Roman"/>
                <w:sz w:val="20"/>
                <w:szCs w:val="20"/>
              </w:rPr>
            </w:pPr>
            <w:r>
              <w:rPr>
                <w:rFonts w:eastAsia="Times New Roman" w:cs="Times New Roman"/>
                <w:color w:val="000000"/>
                <w:sz w:val="20"/>
                <w:szCs w:val="20"/>
              </w:rPr>
              <w:t>Istria</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8ECAE9"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0B23DC"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6B993E"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9431</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E2D623"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52,27</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423DC4CC"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198</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56B395E8"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1,10</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8AD047"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83</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651C51"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0,46</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FC382D"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7603EDA3"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r>
      <w:tr w:rsidR="00D535CE" w14:paraId="2B99066F" w14:textId="77777777" w:rsidTr="00D46EB7">
        <w:trPr>
          <w:trHeight w:val="178"/>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65B58247" w14:textId="77777777" w:rsidR="00D535CE" w:rsidRDefault="00D535CE" w:rsidP="0080494A">
            <w:pPr>
              <w:spacing w:before="0" w:after="0" w:line="240" w:lineRule="auto"/>
              <w:ind w:hanging="63"/>
              <w:rPr>
                <w:rFonts w:eastAsia="Times New Roman" w:cs="Times New Roman"/>
                <w:sz w:val="20"/>
                <w:szCs w:val="20"/>
              </w:rPr>
            </w:pPr>
            <w:r>
              <w:rPr>
                <w:rFonts w:eastAsia="Times New Roman" w:cs="Times New Roman"/>
                <w:color w:val="000000"/>
                <w:sz w:val="20"/>
                <w:szCs w:val="20"/>
              </w:rPr>
              <w:t>Săcele</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53C5A4"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4</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D21B57"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0,03</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6FAEB2"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945</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8DD78E"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8,12</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7D9323D8"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235</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10D31DB1"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2,02</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26CB79"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183</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588EF8"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1,57</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716170"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856</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41B3D902"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7,36</w:t>
            </w:r>
          </w:p>
        </w:tc>
      </w:tr>
      <w:tr w:rsidR="00D535CE" w14:paraId="495C8115" w14:textId="77777777" w:rsidTr="00D46EB7">
        <w:trPr>
          <w:trHeight w:val="171"/>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28988899" w14:textId="77777777" w:rsidR="00D535CE" w:rsidRDefault="00D535CE" w:rsidP="0080494A">
            <w:pPr>
              <w:spacing w:before="0" w:after="0" w:line="240" w:lineRule="auto"/>
              <w:ind w:hanging="63"/>
              <w:rPr>
                <w:rFonts w:eastAsia="Times New Roman" w:cs="Times New Roman"/>
                <w:sz w:val="20"/>
                <w:szCs w:val="20"/>
              </w:rPr>
            </w:pPr>
            <w:r>
              <w:rPr>
                <w:rFonts w:eastAsia="Times New Roman" w:cs="Times New Roman"/>
                <w:color w:val="000000"/>
                <w:sz w:val="20"/>
                <w:szCs w:val="20"/>
              </w:rPr>
              <w:t>Corbu</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BD18DD"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212</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6FDAD6"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1,17</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2B03A8"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174</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381B8C"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0,96</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1D85A9B2"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355</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2BCBD15B"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1,95</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2B52AB"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121</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0F5652"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0,67</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6F465B"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6646</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2CEADE3C"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36,57</w:t>
            </w:r>
          </w:p>
        </w:tc>
      </w:tr>
      <w:tr w:rsidR="00D535CE" w14:paraId="17833DC7" w14:textId="77777777" w:rsidTr="0080494A">
        <w:trPr>
          <w:trHeight w:val="305"/>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7CD0E1EF" w14:textId="77777777" w:rsidR="00D535CE" w:rsidRDefault="00D535CE" w:rsidP="0080494A">
            <w:pPr>
              <w:spacing w:before="0" w:after="0" w:line="240" w:lineRule="auto"/>
              <w:ind w:hanging="63"/>
              <w:rPr>
                <w:rFonts w:eastAsia="Times New Roman" w:cs="Times New Roman"/>
                <w:sz w:val="20"/>
                <w:szCs w:val="20"/>
              </w:rPr>
            </w:pPr>
            <w:r>
              <w:rPr>
                <w:rFonts w:eastAsia="Times New Roman" w:cs="Times New Roman"/>
                <w:color w:val="000000"/>
                <w:sz w:val="20"/>
                <w:szCs w:val="20"/>
              </w:rPr>
              <w:t>Năvodari</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788FD2"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81</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32712F"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1,26</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2D08B1"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2395</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B3485D"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37,14</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34EBFE5D"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1793</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5C8A02E3"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27,81</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9D94C8"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163</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61A015"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2,53</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474742"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36</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16856BBF"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0,56</w:t>
            </w:r>
          </w:p>
        </w:tc>
      </w:tr>
      <w:tr w:rsidR="00D535CE" w14:paraId="04B38768" w14:textId="77777777" w:rsidTr="00D46EB7">
        <w:trPr>
          <w:trHeight w:val="201"/>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20E5C865" w14:textId="77777777" w:rsidR="00D535CE" w:rsidRDefault="00D535CE" w:rsidP="0080494A">
            <w:pPr>
              <w:spacing w:before="0" w:after="0" w:line="240" w:lineRule="auto"/>
              <w:ind w:hanging="63"/>
              <w:rPr>
                <w:rFonts w:eastAsia="Times New Roman" w:cs="Times New Roman"/>
                <w:sz w:val="20"/>
                <w:szCs w:val="20"/>
              </w:rPr>
            </w:pPr>
            <w:r>
              <w:rPr>
                <w:rFonts w:eastAsia="Times New Roman" w:cs="Times New Roman"/>
                <w:color w:val="000000"/>
                <w:sz w:val="20"/>
                <w:szCs w:val="20"/>
              </w:rPr>
              <w:t>Constanța</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45A103"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26</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3EAD28"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0,21</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85B2CC"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1969</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28F8B9"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15,74</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05DACF64"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4629</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3652DE4F"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37,01</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275245"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1381</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8BE52E"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11,04</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E3CD74"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85</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564DE0BD"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0,68</w:t>
            </w:r>
          </w:p>
        </w:tc>
      </w:tr>
      <w:tr w:rsidR="00D535CE" w14:paraId="20E0E8DC" w14:textId="77777777" w:rsidTr="00D46EB7">
        <w:trPr>
          <w:trHeight w:val="219"/>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765E64F7" w14:textId="77777777" w:rsidR="00D535CE" w:rsidRDefault="00D535CE" w:rsidP="0080494A">
            <w:pPr>
              <w:spacing w:before="0" w:after="0" w:line="240" w:lineRule="auto"/>
              <w:ind w:hanging="63"/>
              <w:rPr>
                <w:rFonts w:eastAsia="Times New Roman" w:cs="Times New Roman"/>
                <w:sz w:val="20"/>
                <w:szCs w:val="20"/>
              </w:rPr>
            </w:pPr>
            <w:r>
              <w:rPr>
                <w:rFonts w:eastAsia="Times New Roman" w:cs="Times New Roman"/>
                <w:color w:val="000000"/>
                <w:sz w:val="20"/>
                <w:szCs w:val="20"/>
              </w:rPr>
              <w:t>Agigea</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543CD0"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ADAC64"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BB2DFA"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88</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DFABC2"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1,68</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53CD0672"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1483</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7B7D1C80"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28,27</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BB5995"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85</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685F00"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1,62</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1173D9"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142</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6695EE39"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2,71</w:t>
            </w:r>
          </w:p>
        </w:tc>
      </w:tr>
      <w:tr w:rsidR="00D535CE" w14:paraId="1E89E543" w14:textId="77777777" w:rsidTr="00D46EB7">
        <w:trPr>
          <w:trHeight w:val="211"/>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6F5205D4" w14:textId="77777777" w:rsidR="00D535CE" w:rsidRDefault="00D535CE" w:rsidP="0080494A">
            <w:pPr>
              <w:spacing w:before="0" w:after="0" w:line="240" w:lineRule="auto"/>
              <w:ind w:hanging="63"/>
              <w:rPr>
                <w:rFonts w:eastAsia="Times New Roman" w:cs="Times New Roman"/>
                <w:sz w:val="20"/>
                <w:szCs w:val="20"/>
              </w:rPr>
            </w:pPr>
            <w:r>
              <w:rPr>
                <w:rFonts w:eastAsia="Times New Roman" w:cs="Times New Roman"/>
                <w:color w:val="000000"/>
                <w:sz w:val="20"/>
                <w:szCs w:val="20"/>
              </w:rPr>
              <w:t>Eforie</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B681EA"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A2B710"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55BE7A"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6</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7903BF"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1,28</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02917D6C"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312</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22855334"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66,81</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D5C9DB"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123</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ADD0D7"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26,34</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31B2BA"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27A275B2"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r>
      <w:tr w:rsidR="00D535CE" w14:paraId="0FEF7C81" w14:textId="77777777" w:rsidTr="00D46EB7">
        <w:trPr>
          <w:trHeight w:val="175"/>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2B2D0CA3" w14:textId="77777777" w:rsidR="00D535CE" w:rsidRDefault="00D535CE" w:rsidP="0080494A">
            <w:pPr>
              <w:spacing w:before="0" w:after="0" w:line="240" w:lineRule="auto"/>
              <w:ind w:hanging="63"/>
              <w:rPr>
                <w:rFonts w:eastAsia="Times New Roman" w:cs="Times New Roman"/>
                <w:sz w:val="20"/>
                <w:szCs w:val="20"/>
              </w:rPr>
            </w:pPr>
            <w:r>
              <w:rPr>
                <w:rFonts w:eastAsia="Times New Roman" w:cs="Times New Roman"/>
                <w:color w:val="000000"/>
                <w:sz w:val="20"/>
                <w:szCs w:val="20"/>
              </w:rPr>
              <w:t>Techirghiol</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4AA61F"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D3FC75"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88DE76"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1260</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CB130F"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32,83</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35A6F726"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463</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61643855"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12,06</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D1F250"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43</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49D44E"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1,12</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62AE19"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11</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28BDAF01"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0,29</w:t>
            </w:r>
          </w:p>
        </w:tc>
      </w:tr>
      <w:tr w:rsidR="00D535CE" w14:paraId="27CFB944" w14:textId="77777777" w:rsidTr="00D46EB7">
        <w:trPr>
          <w:trHeight w:val="153"/>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71880ABF" w14:textId="77777777" w:rsidR="00D535CE" w:rsidRDefault="00D535CE" w:rsidP="0080494A">
            <w:pPr>
              <w:spacing w:before="0" w:after="0" w:line="240" w:lineRule="auto"/>
              <w:ind w:hanging="63"/>
              <w:rPr>
                <w:rFonts w:eastAsia="Times New Roman" w:cs="Times New Roman"/>
                <w:sz w:val="20"/>
                <w:szCs w:val="20"/>
              </w:rPr>
            </w:pPr>
            <w:r>
              <w:rPr>
                <w:rFonts w:eastAsia="Times New Roman" w:cs="Times New Roman"/>
                <w:color w:val="000000"/>
                <w:sz w:val="20"/>
                <w:szCs w:val="20"/>
              </w:rPr>
              <w:lastRenderedPageBreak/>
              <w:t>Tuzla</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112FD6"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3</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64CE54"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0,06</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4C3F17"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52</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1D0F46"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1,06</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24DFD9EE"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445</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3AB84FB6"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9,09</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D6C133"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119</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BE9154"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2,43</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DA0827"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134</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74778254"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2,74</w:t>
            </w:r>
          </w:p>
        </w:tc>
      </w:tr>
      <w:tr w:rsidR="00D535CE" w14:paraId="362D15B7" w14:textId="77777777" w:rsidTr="00D46EB7">
        <w:trPr>
          <w:trHeight w:val="131"/>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67033D24" w14:textId="77777777" w:rsidR="00D535CE" w:rsidRDefault="00D535CE" w:rsidP="0080494A">
            <w:pPr>
              <w:spacing w:before="0" w:after="0" w:line="240" w:lineRule="auto"/>
              <w:ind w:hanging="63"/>
              <w:rPr>
                <w:rFonts w:eastAsia="Times New Roman" w:cs="Times New Roman"/>
                <w:sz w:val="20"/>
                <w:szCs w:val="20"/>
              </w:rPr>
            </w:pPr>
            <w:r>
              <w:rPr>
                <w:rFonts w:eastAsia="Times New Roman" w:cs="Times New Roman"/>
                <w:color w:val="000000"/>
                <w:sz w:val="20"/>
                <w:szCs w:val="20"/>
              </w:rPr>
              <w:t>Costinești</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4D8D4F"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46</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32D382"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2,27</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E90AD4"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7</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514772"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0,35</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102ED7DA"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199</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701B8E59"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9,81</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30E976"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117</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793AE5"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5,77</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D533BD"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16</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622EBD9D"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0,79</w:t>
            </w:r>
          </w:p>
        </w:tc>
      </w:tr>
      <w:tr w:rsidR="00D535CE" w14:paraId="05EF7FE9" w14:textId="77777777" w:rsidTr="00D46EB7">
        <w:trPr>
          <w:trHeight w:val="251"/>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7AA6D39C" w14:textId="77777777" w:rsidR="00D535CE" w:rsidRDefault="00D535CE" w:rsidP="0080494A">
            <w:pPr>
              <w:spacing w:before="0" w:after="0" w:line="240" w:lineRule="auto"/>
              <w:ind w:hanging="63"/>
              <w:rPr>
                <w:rFonts w:eastAsia="Times New Roman" w:cs="Times New Roman"/>
                <w:sz w:val="20"/>
                <w:szCs w:val="20"/>
              </w:rPr>
            </w:pPr>
            <w:r>
              <w:rPr>
                <w:rFonts w:eastAsia="Times New Roman" w:cs="Times New Roman"/>
                <w:color w:val="000000"/>
                <w:sz w:val="20"/>
                <w:szCs w:val="20"/>
              </w:rPr>
              <w:t>23 August</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110879"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29</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7EED16"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0,40</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5A4AD2" w14:textId="77777777" w:rsidR="00D535CE" w:rsidRDefault="00D535CE" w:rsidP="0080494A">
            <w:pPr>
              <w:spacing w:before="0" w:after="0" w:line="240" w:lineRule="auto"/>
              <w:ind w:firstLine="0"/>
              <w:rPr>
                <w:rFonts w:eastAsia="Times New Roman" w:cs="Times New Roman"/>
                <w:sz w:val="20"/>
                <w:szCs w:val="20"/>
              </w:rPr>
            </w:pPr>
            <w:r>
              <w:rPr>
                <w:rFonts w:eastAsia="Times New Roman" w:cs="Times New Roman"/>
                <w:color w:val="000000"/>
                <w:sz w:val="20"/>
                <w:szCs w:val="20"/>
              </w:rPr>
              <w:t>3</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F52E5C"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0,04</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1800519F"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313</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5F47FE34"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4,28</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EFE8A1"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172</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BC5D39"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2,35</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5153C2"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235</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2D0723A7"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3,21</w:t>
            </w:r>
          </w:p>
        </w:tc>
      </w:tr>
      <w:tr w:rsidR="00D535CE" w14:paraId="04713809" w14:textId="77777777" w:rsidTr="00D46EB7">
        <w:trPr>
          <w:trHeight w:val="201"/>
        </w:trPr>
        <w:tc>
          <w:tcPr>
            <w:tcW w:w="1323"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500AB0A3" w14:textId="77777777" w:rsidR="00D535CE" w:rsidRDefault="00D535CE" w:rsidP="0080494A">
            <w:pPr>
              <w:spacing w:before="0" w:after="0" w:line="240" w:lineRule="auto"/>
              <w:ind w:hanging="63"/>
              <w:rPr>
                <w:rFonts w:eastAsia="Times New Roman" w:cs="Times New Roman"/>
                <w:sz w:val="20"/>
                <w:szCs w:val="20"/>
              </w:rPr>
            </w:pPr>
            <w:r>
              <w:rPr>
                <w:rFonts w:eastAsia="Times New Roman" w:cs="Times New Roman"/>
                <w:color w:val="000000"/>
                <w:sz w:val="20"/>
                <w:szCs w:val="20"/>
              </w:rPr>
              <w:t>Mangalia</w:t>
            </w:r>
          </w:p>
        </w:tc>
        <w:tc>
          <w:tcPr>
            <w:tcW w:w="7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273063"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594</w:t>
            </w:r>
          </w:p>
        </w:tc>
        <w:tc>
          <w:tcPr>
            <w:tcW w:w="7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781145"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9,53</w:t>
            </w:r>
          </w:p>
        </w:tc>
        <w:tc>
          <w:tcPr>
            <w:tcW w:w="8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3B4C9A"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455</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F65CD4"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7,30</w:t>
            </w:r>
          </w:p>
        </w:tc>
        <w:tc>
          <w:tcPr>
            <w:tcW w:w="732"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47540349"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1274</w:t>
            </w:r>
          </w:p>
        </w:tc>
        <w:tc>
          <w:tcPr>
            <w:tcW w:w="784"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7D0EF24A"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20,45</w:t>
            </w:r>
          </w:p>
        </w:tc>
        <w:tc>
          <w:tcPr>
            <w:tcW w:w="7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71FADE"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228</w:t>
            </w:r>
          </w:p>
        </w:tc>
        <w:tc>
          <w:tcPr>
            <w:tcW w:w="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B1E566"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3,66</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BA5038"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189</w:t>
            </w:r>
          </w:p>
        </w:tc>
        <w:tc>
          <w:tcPr>
            <w:tcW w:w="791"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09A47034"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3,03</w:t>
            </w:r>
          </w:p>
        </w:tc>
      </w:tr>
      <w:tr w:rsidR="00D535CE" w14:paraId="6791A071" w14:textId="77777777" w:rsidTr="00D46EB7">
        <w:trPr>
          <w:trHeight w:val="179"/>
        </w:trPr>
        <w:tc>
          <w:tcPr>
            <w:tcW w:w="1323" w:type="dxa"/>
            <w:tcBorders>
              <w:top w:val="single" w:sz="8" w:space="0" w:color="000000"/>
              <w:left w:val="single" w:sz="4" w:space="0" w:color="000000"/>
              <w:bottom w:val="single" w:sz="4" w:space="0" w:color="000000"/>
              <w:right w:val="single" w:sz="8" w:space="0" w:color="000000"/>
            </w:tcBorders>
            <w:tcMar>
              <w:top w:w="100" w:type="dxa"/>
              <w:left w:w="100" w:type="dxa"/>
              <w:bottom w:w="100" w:type="dxa"/>
              <w:right w:w="100" w:type="dxa"/>
            </w:tcMar>
          </w:tcPr>
          <w:p w14:paraId="067F6D24" w14:textId="77777777" w:rsidR="00D535CE" w:rsidRDefault="00D535CE" w:rsidP="0080494A">
            <w:pPr>
              <w:spacing w:before="0" w:after="0" w:line="240" w:lineRule="auto"/>
              <w:ind w:hanging="63"/>
              <w:rPr>
                <w:rFonts w:eastAsia="Times New Roman" w:cs="Times New Roman"/>
                <w:sz w:val="20"/>
                <w:szCs w:val="20"/>
              </w:rPr>
            </w:pPr>
            <w:r>
              <w:rPr>
                <w:rFonts w:eastAsia="Times New Roman" w:cs="Times New Roman"/>
                <w:color w:val="000000"/>
                <w:sz w:val="20"/>
                <w:szCs w:val="20"/>
              </w:rPr>
              <w:t>Limanu</w:t>
            </w:r>
          </w:p>
        </w:tc>
        <w:tc>
          <w:tcPr>
            <w:tcW w:w="727"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618AB693"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688</w:t>
            </w:r>
          </w:p>
        </w:tc>
        <w:tc>
          <w:tcPr>
            <w:tcW w:w="779"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218AFD98"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9,09</w:t>
            </w:r>
          </w:p>
        </w:tc>
        <w:tc>
          <w:tcPr>
            <w:tcW w:w="818"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6C2F820A"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135</w:t>
            </w:r>
          </w:p>
        </w:tc>
        <w:tc>
          <w:tcPr>
            <w:tcW w:w="767"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759CA0F5"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1,78</w:t>
            </w:r>
          </w:p>
        </w:tc>
        <w:tc>
          <w:tcPr>
            <w:tcW w:w="732" w:type="dxa"/>
            <w:tcBorders>
              <w:top w:val="single" w:sz="8" w:space="0" w:color="000000"/>
              <w:left w:val="single" w:sz="8" w:space="0" w:color="000000"/>
              <w:bottom w:val="single" w:sz="4" w:space="0" w:color="000000"/>
              <w:right w:val="single" w:sz="8" w:space="0" w:color="000000"/>
            </w:tcBorders>
            <w:shd w:val="clear" w:color="auto" w:fill="D9D9D9"/>
            <w:tcMar>
              <w:top w:w="100" w:type="dxa"/>
              <w:left w:w="100" w:type="dxa"/>
              <w:bottom w:w="100" w:type="dxa"/>
              <w:right w:w="100" w:type="dxa"/>
            </w:tcMar>
          </w:tcPr>
          <w:p w14:paraId="14D7C36E"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216</w:t>
            </w:r>
          </w:p>
        </w:tc>
        <w:tc>
          <w:tcPr>
            <w:tcW w:w="784" w:type="dxa"/>
            <w:tcBorders>
              <w:top w:val="single" w:sz="8" w:space="0" w:color="000000"/>
              <w:left w:val="single" w:sz="8" w:space="0" w:color="000000"/>
              <w:bottom w:val="single" w:sz="4" w:space="0" w:color="000000"/>
              <w:right w:val="single" w:sz="8" w:space="0" w:color="000000"/>
            </w:tcBorders>
            <w:shd w:val="clear" w:color="auto" w:fill="D9D9D9"/>
            <w:tcMar>
              <w:top w:w="100" w:type="dxa"/>
              <w:left w:w="100" w:type="dxa"/>
              <w:bottom w:w="100" w:type="dxa"/>
              <w:right w:w="100" w:type="dxa"/>
            </w:tcMar>
          </w:tcPr>
          <w:p w14:paraId="34710025"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2,85</w:t>
            </w:r>
          </w:p>
        </w:tc>
        <w:tc>
          <w:tcPr>
            <w:tcW w:w="751"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6E1F5338"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101</w:t>
            </w:r>
          </w:p>
        </w:tc>
        <w:tc>
          <w:tcPr>
            <w:tcW w:w="805"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42C88BFF"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1,33</w:t>
            </w:r>
          </w:p>
        </w:tc>
        <w:tc>
          <w:tcPr>
            <w:tcW w:w="739"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22AF8AD5"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51</w:t>
            </w:r>
          </w:p>
        </w:tc>
        <w:tc>
          <w:tcPr>
            <w:tcW w:w="791" w:type="dxa"/>
            <w:tcBorders>
              <w:top w:val="single" w:sz="8" w:space="0" w:color="000000"/>
              <w:left w:val="single" w:sz="8" w:space="0" w:color="000000"/>
              <w:bottom w:val="single" w:sz="4" w:space="0" w:color="000000"/>
              <w:right w:val="single" w:sz="4" w:space="0" w:color="000000"/>
            </w:tcBorders>
            <w:tcMar>
              <w:top w:w="100" w:type="dxa"/>
              <w:left w:w="100" w:type="dxa"/>
              <w:bottom w:w="100" w:type="dxa"/>
              <w:right w:w="100" w:type="dxa"/>
            </w:tcMar>
          </w:tcPr>
          <w:p w14:paraId="436DD503" w14:textId="77777777" w:rsidR="00D535CE" w:rsidRDefault="00D535CE" w:rsidP="0080494A">
            <w:pPr>
              <w:spacing w:before="0" w:after="0" w:line="240" w:lineRule="auto"/>
              <w:ind w:left="100" w:firstLine="0"/>
              <w:rPr>
                <w:rFonts w:eastAsia="Times New Roman" w:cs="Times New Roman"/>
                <w:sz w:val="20"/>
                <w:szCs w:val="20"/>
              </w:rPr>
            </w:pPr>
            <w:r>
              <w:rPr>
                <w:rFonts w:eastAsia="Times New Roman" w:cs="Times New Roman"/>
                <w:color w:val="000000"/>
                <w:sz w:val="20"/>
                <w:szCs w:val="20"/>
              </w:rPr>
              <w:t>0,67</w:t>
            </w:r>
          </w:p>
        </w:tc>
      </w:tr>
    </w:tbl>
    <w:p w14:paraId="58C4EC69" w14:textId="77777777" w:rsidR="00D535CE" w:rsidRDefault="00D535CE" w:rsidP="00D535CE">
      <w:pPr>
        <w:spacing w:after="0" w:line="240" w:lineRule="auto"/>
        <w:rPr>
          <w:rFonts w:eastAsia="Times New Roman" w:cs="Times New Roman"/>
          <w:sz w:val="20"/>
          <w:szCs w:val="20"/>
        </w:rPr>
      </w:pPr>
      <w:r>
        <w:rPr>
          <w:rFonts w:eastAsia="Times New Roman" w:cs="Times New Roman"/>
          <w:b/>
          <w:i/>
          <w:color w:val="000000"/>
          <w:sz w:val="20"/>
          <w:szCs w:val="20"/>
        </w:rPr>
        <w:t>* % din suprafața totală UAT</w:t>
      </w:r>
      <w:r>
        <w:rPr>
          <w:rFonts w:eastAsia="Times New Roman" w:cs="Times New Roman"/>
          <w:b/>
          <w:i/>
          <w:color w:val="000000"/>
          <w:sz w:val="20"/>
          <w:szCs w:val="20"/>
        </w:rPr>
        <w:tab/>
      </w:r>
    </w:p>
    <w:p w14:paraId="15AE5E6D" w14:textId="77777777" w:rsidR="00D535CE" w:rsidRDefault="00D535CE" w:rsidP="00D535CE">
      <w:pPr>
        <w:rPr>
          <w:rFonts w:eastAsia="Times New Roman" w:cs="Times New Roman"/>
          <w:i/>
          <w:color w:val="FF0000"/>
        </w:rPr>
      </w:pPr>
    </w:p>
    <w:p w14:paraId="5D692CC0" w14:textId="77777777" w:rsidR="00D535CE" w:rsidRDefault="00D535CE" w:rsidP="0080494A">
      <w:pPr>
        <w:spacing w:before="0"/>
        <w:rPr>
          <w:rFonts w:eastAsia="Times New Roman" w:cs="Times New Roman"/>
          <w:i/>
        </w:rPr>
      </w:pPr>
      <w:r>
        <w:rPr>
          <w:rFonts w:eastAsia="Times New Roman" w:cs="Times New Roman"/>
          <w:i/>
        </w:rPr>
        <w:t>Extinderea teritoriilor construite și destinate pentru construire</w:t>
      </w:r>
    </w:p>
    <w:p w14:paraId="26E6A196" w14:textId="7B70E4CC" w:rsidR="00D535CE" w:rsidRDefault="00D535CE" w:rsidP="0080494A">
      <w:pPr>
        <w:spacing w:before="0"/>
        <w:ind w:firstLine="567"/>
        <w:rPr>
          <w:rFonts w:eastAsia="Times New Roman" w:cs="Times New Roman"/>
        </w:rPr>
      </w:pPr>
      <w:r>
        <w:rPr>
          <w:rFonts w:eastAsia="Times New Roman" w:cs="Times New Roman"/>
        </w:rPr>
        <w:t xml:space="preserve">În timp ce numărul total al locuitorilor în zona costieră a înregistrat o scădere cu 15 % în ultimul deceniu, în perioad 2010 – 2022, suprafața totală a teritoriilor intravilane din teritoriul zonei costiere a crescut cu 32,51% (Tabel </w:t>
      </w:r>
      <w:r w:rsidR="0080494A">
        <w:rPr>
          <w:rFonts w:eastAsia="Times New Roman" w:cs="Times New Roman"/>
        </w:rPr>
        <w:t>2.</w:t>
      </w:r>
      <w:r>
        <w:rPr>
          <w:rFonts w:eastAsia="Times New Roman" w:cs="Times New Roman"/>
        </w:rPr>
        <w:t>4.8.8.4). Această creștere generală este dată de 12,42 % creștere în urban și 72,79 % creștere în rural. Situația teritoriilor construite și destinate construirii este prezentată în planșele anexă la pre</w:t>
      </w:r>
      <w:r w:rsidR="0080494A">
        <w:rPr>
          <w:rFonts w:eastAsia="Times New Roman" w:cs="Times New Roman"/>
        </w:rPr>
        <w:t>zentul studiu, respectiv Anexa 5</w:t>
      </w:r>
      <w:r>
        <w:rPr>
          <w:rFonts w:eastAsia="Times New Roman" w:cs="Times New Roman"/>
        </w:rPr>
        <w:t xml:space="preserve"> (Utilizarea terenurilor în UAT-urile li</w:t>
      </w:r>
      <w:r w:rsidR="0080494A">
        <w:rPr>
          <w:rFonts w:eastAsia="Times New Roman" w:cs="Times New Roman"/>
        </w:rPr>
        <w:t>mitrofe zonei costiere), Anexa 6</w:t>
      </w:r>
      <w:r>
        <w:rPr>
          <w:rFonts w:eastAsia="Times New Roman" w:cs="Times New Roman"/>
        </w:rPr>
        <w:t xml:space="preserve"> (Utilizarea terenurilor în UAT-urile limitrofe zonei costie</w:t>
      </w:r>
      <w:r w:rsidR="0080494A">
        <w:rPr>
          <w:rFonts w:eastAsia="Times New Roman" w:cs="Times New Roman"/>
        </w:rPr>
        <w:t>re din sectorul Nord) și Anexa 7</w:t>
      </w:r>
      <w:r>
        <w:rPr>
          <w:rFonts w:eastAsia="Times New Roman" w:cs="Times New Roman"/>
        </w:rPr>
        <w:t xml:space="preserve"> (Utilizarea terenurilor în UAT-urile limitrofe zonei costiere din sectorul Sud).</w:t>
      </w:r>
    </w:p>
    <w:p w14:paraId="78D1B72E" w14:textId="77777777" w:rsidR="00D535CE" w:rsidRDefault="00D535CE" w:rsidP="00D535CE">
      <w:pPr>
        <w:ind w:firstLine="567"/>
        <w:rPr>
          <w:rFonts w:eastAsia="Times New Roman" w:cs="Times New Roman"/>
        </w:rPr>
      </w:pPr>
    </w:p>
    <w:p w14:paraId="206D48B0" w14:textId="35065B73" w:rsidR="00D535CE" w:rsidRDefault="00D535CE" w:rsidP="0080494A">
      <w:pPr>
        <w:spacing w:before="0" w:after="0"/>
        <w:jc w:val="center"/>
        <w:rPr>
          <w:rFonts w:eastAsia="Times New Roman" w:cs="Times New Roman"/>
        </w:rPr>
      </w:pPr>
      <w:r>
        <w:rPr>
          <w:rFonts w:eastAsia="Times New Roman" w:cs="Times New Roman"/>
          <w:b/>
        </w:rPr>
        <w:t xml:space="preserve">Tabel </w:t>
      </w:r>
      <w:r w:rsidR="0080494A">
        <w:rPr>
          <w:rFonts w:eastAsia="Times New Roman" w:cs="Times New Roman"/>
          <w:b/>
        </w:rPr>
        <w:t>2.</w:t>
      </w:r>
      <w:r>
        <w:rPr>
          <w:rFonts w:eastAsia="Times New Roman" w:cs="Times New Roman"/>
          <w:b/>
        </w:rPr>
        <w:t>4.8.8.4 Extinderea intravilanelor per total pe teritoriul zonei costiere conform Planurilor Urbanistice Generale</w:t>
      </w:r>
    </w:p>
    <w:tbl>
      <w:tblPr>
        <w:tblW w:w="9006" w:type="dxa"/>
        <w:tblLayout w:type="fixed"/>
        <w:tblLook w:val="0400" w:firstRow="0" w:lastRow="0" w:firstColumn="0" w:lastColumn="0" w:noHBand="0" w:noVBand="1"/>
      </w:tblPr>
      <w:tblGrid>
        <w:gridCol w:w="1056"/>
        <w:gridCol w:w="1061"/>
        <w:gridCol w:w="1146"/>
        <w:gridCol w:w="731"/>
        <w:gridCol w:w="923"/>
        <w:gridCol w:w="907"/>
        <w:gridCol w:w="731"/>
        <w:gridCol w:w="813"/>
        <w:gridCol w:w="907"/>
        <w:gridCol w:w="731"/>
      </w:tblGrid>
      <w:tr w:rsidR="00D535CE" w14:paraId="3E471932" w14:textId="77777777" w:rsidTr="00D46EB7">
        <w:trPr>
          <w:trHeight w:val="873"/>
        </w:trPr>
        <w:tc>
          <w:tcPr>
            <w:tcW w:w="1056" w:type="dxa"/>
            <w:vMerge w:val="restart"/>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1B8A4DD9" w14:textId="77777777" w:rsidR="00D535CE" w:rsidRDefault="00D535CE" w:rsidP="0080494A">
            <w:pPr>
              <w:spacing w:after="0" w:line="240" w:lineRule="auto"/>
              <w:ind w:firstLine="0"/>
              <w:jc w:val="center"/>
              <w:rPr>
                <w:rFonts w:eastAsia="Times New Roman" w:cs="Times New Roman"/>
                <w:sz w:val="20"/>
                <w:szCs w:val="20"/>
              </w:rPr>
            </w:pPr>
            <w:r>
              <w:rPr>
                <w:rFonts w:eastAsia="Times New Roman" w:cs="Times New Roman"/>
                <w:color w:val="000000"/>
                <w:sz w:val="20"/>
                <w:szCs w:val="20"/>
              </w:rPr>
              <w:t xml:space="preserve">Modul de ocupare al terenurilor </w:t>
            </w:r>
          </w:p>
          <w:p w14:paraId="23D9435E" w14:textId="77777777" w:rsidR="00D535CE" w:rsidRDefault="00D535CE" w:rsidP="0080494A">
            <w:pPr>
              <w:spacing w:after="0" w:line="240" w:lineRule="auto"/>
              <w:ind w:firstLine="0"/>
              <w:jc w:val="center"/>
              <w:rPr>
                <w:rFonts w:eastAsia="Times New Roman" w:cs="Times New Roman"/>
                <w:sz w:val="20"/>
                <w:szCs w:val="20"/>
              </w:rPr>
            </w:pPr>
            <w:r>
              <w:rPr>
                <w:rFonts w:eastAsia="Times New Roman" w:cs="Times New Roman"/>
                <w:color w:val="000000"/>
                <w:sz w:val="20"/>
                <w:szCs w:val="20"/>
              </w:rPr>
              <w:t> </w:t>
            </w:r>
          </w:p>
        </w:tc>
        <w:tc>
          <w:tcPr>
            <w:tcW w:w="2938" w:type="dxa"/>
            <w:gridSpan w:val="3"/>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60FA3634" w14:textId="77777777" w:rsidR="00D535CE" w:rsidRDefault="00D535CE" w:rsidP="00D46EB7">
            <w:pPr>
              <w:spacing w:after="0" w:line="240" w:lineRule="auto"/>
              <w:jc w:val="center"/>
              <w:rPr>
                <w:rFonts w:eastAsia="Times New Roman" w:cs="Times New Roman"/>
                <w:sz w:val="20"/>
                <w:szCs w:val="20"/>
              </w:rPr>
            </w:pPr>
            <w:r>
              <w:rPr>
                <w:rFonts w:eastAsia="Times New Roman" w:cs="Times New Roman"/>
                <w:color w:val="000000"/>
                <w:sz w:val="20"/>
                <w:szCs w:val="20"/>
              </w:rPr>
              <w:t>TOTAL Zona Costieră</w:t>
            </w:r>
          </w:p>
        </w:tc>
        <w:tc>
          <w:tcPr>
            <w:tcW w:w="2561" w:type="dxa"/>
            <w:gridSpan w:val="3"/>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79FE468C" w14:textId="77777777" w:rsidR="00D535CE" w:rsidRDefault="00D535CE" w:rsidP="00D46EB7">
            <w:pPr>
              <w:spacing w:after="0" w:line="240" w:lineRule="auto"/>
              <w:jc w:val="center"/>
              <w:rPr>
                <w:rFonts w:eastAsia="Times New Roman" w:cs="Times New Roman"/>
                <w:sz w:val="20"/>
                <w:szCs w:val="20"/>
              </w:rPr>
            </w:pPr>
            <w:r>
              <w:rPr>
                <w:rFonts w:eastAsia="Times New Roman" w:cs="Times New Roman"/>
                <w:color w:val="000000"/>
                <w:sz w:val="20"/>
                <w:szCs w:val="20"/>
              </w:rPr>
              <w:t>ÎN LOCALITĂȚI URBANE</w:t>
            </w:r>
          </w:p>
        </w:tc>
        <w:tc>
          <w:tcPr>
            <w:tcW w:w="2451" w:type="dxa"/>
            <w:gridSpan w:val="3"/>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2AE56B03" w14:textId="77777777" w:rsidR="00D535CE" w:rsidRDefault="00D535CE" w:rsidP="00D46EB7">
            <w:pPr>
              <w:spacing w:after="0" w:line="240" w:lineRule="auto"/>
              <w:jc w:val="center"/>
              <w:rPr>
                <w:rFonts w:eastAsia="Times New Roman" w:cs="Times New Roman"/>
                <w:sz w:val="20"/>
                <w:szCs w:val="20"/>
              </w:rPr>
            </w:pPr>
            <w:r>
              <w:rPr>
                <w:rFonts w:eastAsia="Times New Roman" w:cs="Times New Roman"/>
                <w:color w:val="000000"/>
                <w:sz w:val="20"/>
                <w:szCs w:val="20"/>
              </w:rPr>
              <w:t>ÎN LOCALITĂȚI RURALE</w:t>
            </w:r>
          </w:p>
        </w:tc>
      </w:tr>
      <w:tr w:rsidR="00D535CE" w14:paraId="1E467CDA" w14:textId="77777777" w:rsidTr="00D46EB7">
        <w:trPr>
          <w:trHeight w:val="20"/>
        </w:trPr>
        <w:tc>
          <w:tcPr>
            <w:tcW w:w="1056" w:type="dxa"/>
            <w:vMerge/>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489E7B77" w14:textId="77777777" w:rsidR="00D535CE" w:rsidRDefault="00D535CE" w:rsidP="0080494A">
            <w:pPr>
              <w:widowControl w:val="0"/>
              <w:pBdr>
                <w:top w:val="nil"/>
                <w:left w:val="nil"/>
                <w:bottom w:val="nil"/>
                <w:right w:val="nil"/>
                <w:between w:val="nil"/>
              </w:pBdr>
              <w:spacing w:after="0"/>
              <w:ind w:firstLine="0"/>
              <w:rPr>
                <w:rFonts w:eastAsia="Times New Roman" w:cs="Times New Roman"/>
                <w:sz w:val="20"/>
                <w:szCs w:val="20"/>
              </w:rPr>
            </w:pPr>
          </w:p>
        </w:tc>
        <w:tc>
          <w:tcPr>
            <w:tcW w:w="1061"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02F35814" w14:textId="77777777" w:rsidR="00D535CE" w:rsidRDefault="00D535CE" w:rsidP="0080494A">
            <w:pPr>
              <w:spacing w:after="0" w:line="240" w:lineRule="auto"/>
              <w:ind w:firstLine="0"/>
              <w:jc w:val="center"/>
              <w:rPr>
                <w:rFonts w:eastAsia="Times New Roman" w:cs="Times New Roman"/>
                <w:sz w:val="20"/>
                <w:szCs w:val="20"/>
              </w:rPr>
            </w:pPr>
            <w:r>
              <w:rPr>
                <w:rFonts w:eastAsia="Times New Roman" w:cs="Times New Roman"/>
                <w:color w:val="000000"/>
                <w:sz w:val="20"/>
                <w:szCs w:val="20"/>
              </w:rPr>
              <w:t>2010</w:t>
            </w:r>
          </w:p>
        </w:tc>
        <w:tc>
          <w:tcPr>
            <w:tcW w:w="1146"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4C86B48E" w14:textId="77777777" w:rsidR="00D535CE" w:rsidRDefault="00D535CE" w:rsidP="0080494A">
            <w:pPr>
              <w:spacing w:after="0" w:line="240" w:lineRule="auto"/>
              <w:ind w:firstLine="0"/>
              <w:jc w:val="center"/>
              <w:rPr>
                <w:rFonts w:eastAsia="Times New Roman" w:cs="Times New Roman"/>
                <w:sz w:val="20"/>
                <w:szCs w:val="20"/>
              </w:rPr>
            </w:pPr>
            <w:r>
              <w:rPr>
                <w:rFonts w:eastAsia="Times New Roman" w:cs="Times New Roman"/>
                <w:color w:val="000000"/>
                <w:sz w:val="20"/>
                <w:szCs w:val="20"/>
              </w:rPr>
              <w:t>2022</w:t>
            </w:r>
          </w:p>
        </w:tc>
        <w:tc>
          <w:tcPr>
            <w:tcW w:w="731"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66C99BC1" w14:textId="77777777" w:rsidR="00D535CE" w:rsidRDefault="00D535CE" w:rsidP="00314C19">
            <w:pPr>
              <w:spacing w:after="0" w:line="240" w:lineRule="auto"/>
              <w:ind w:firstLine="0"/>
              <w:rPr>
                <w:rFonts w:eastAsia="Times New Roman" w:cs="Times New Roman"/>
                <w:sz w:val="20"/>
                <w:szCs w:val="20"/>
              </w:rPr>
            </w:pPr>
            <w:r>
              <w:rPr>
                <w:rFonts w:eastAsia="Times New Roman" w:cs="Times New Roman"/>
                <w:color w:val="000000"/>
                <w:sz w:val="20"/>
                <w:szCs w:val="20"/>
              </w:rPr>
              <w:t>%</w:t>
            </w:r>
          </w:p>
        </w:tc>
        <w:tc>
          <w:tcPr>
            <w:tcW w:w="923"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5F6928BB" w14:textId="77777777" w:rsidR="00D535CE" w:rsidRDefault="00D535CE" w:rsidP="0080494A">
            <w:pPr>
              <w:spacing w:after="0" w:line="240" w:lineRule="auto"/>
              <w:ind w:firstLine="7"/>
              <w:jc w:val="center"/>
              <w:rPr>
                <w:rFonts w:eastAsia="Times New Roman" w:cs="Times New Roman"/>
                <w:sz w:val="20"/>
                <w:szCs w:val="20"/>
              </w:rPr>
            </w:pPr>
            <w:r>
              <w:rPr>
                <w:rFonts w:eastAsia="Times New Roman" w:cs="Times New Roman"/>
                <w:color w:val="000000"/>
                <w:sz w:val="20"/>
                <w:szCs w:val="20"/>
              </w:rPr>
              <w:t>2010</w:t>
            </w:r>
          </w:p>
        </w:tc>
        <w:tc>
          <w:tcPr>
            <w:tcW w:w="907"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604C842B" w14:textId="77777777" w:rsidR="00D535CE" w:rsidRDefault="00D535CE" w:rsidP="00314C19">
            <w:pPr>
              <w:spacing w:after="0" w:line="240" w:lineRule="auto"/>
              <w:ind w:firstLine="0"/>
              <w:jc w:val="center"/>
              <w:rPr>
                <w:rFonts w:eastAsia="Times New Roman" w:cs="Times New Roman"/>
                <w:sz w:val="20"/>
                <w:szCs w:val="20"/>
              </w:rPr>
            </w:pPr>
            <w:r>
              <w:rPr>
                <w:rFonts w:eastAsia="Times New Roman" w:cs="Times New Roman"/>
                <w:color w:val="000000"/>
                <w:sz w:val="20"/>
                <w:szCs w:val="20"/>
              </w:rPr>
              <w:t>2022</w:t>
            </w:r>
          </w:p>
        </w:tc>
        <w:tc>
          <w:tcPr>
            <w:tcW w:w="731"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72775796" w14:textId="77777777" w:rsidR="00D535CE" w:rsidRDefault="00D535CE" w:rsidP="00314C19">
            <w:pPr>
              <w:spacing w:after="0" w:line="240" w:lineRule="auto"/>
              <w:ind w:firstLine="0"/>
              <w:rPr>
                <w:rFonts w:eastAsia="Times New Roman" w:cs="Times New Roman"/>
                <w:sz w:val="20"/>
                <w:szCs w:val="20"/>
              </w:rPr>
            </w:pPr>
            <w:r>
              <w:rPr>
                <w:rFonts w:eastAsia="Times New Roman" w:cs="Times New Roman"/>
                <w:color w:val="000000"/>
                <w:sz w:val="20"/>
                <w:szCs w:val="20"/>
              </w:rPr>
              <w:t>%</w:t>
            </w:r>
          </w:p>
        </w:tc>
        <w:tc>
          <w:tcPr>
            <w:tcW w:w="813"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6767F9E5" w14:textId="77777777" w:rsidR="00D535CE" w:rsidRDefault="00D535CE" w:rsidP="00314C19">
            <w:pPr>
              <w:spacing w:after="0" w:line="240" w:lineRule="auto"/>
              <w:ind w:hanging="2"/>
              <w:jc w:val="center"/>
              <w:rPr>
                <w:rFonts w:eastAsia="Times New Roman" w:cs="Times New Roman"/>
                <w:sz w:val="20"/>
                <w:szCs w:val="20"/>
              </w:rPr>
            </w:pPr>
            <w:r>
              <w:rPr>
                <w:rFonts w:eastAsia="Times New Roman" w:cs="Times New Roman"/>
                <w:color w:val="000000"/>
                <w:sz w:val="20"/>
                <w:szCs w:val="20"/>
              </w:rPr>
              <w:t>2010</w:t>
            </w:r>
          </w:p>
        </w:tc>
        <w:tc>
          <w:tcPr>
            <w:tcW w:w="907"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1AEAAF52" w14:textId="77777777" w:rsidR="00D535CE" w:rsidRDefault="00D535CE" w:rsidP="00314C19">
            <w:pPr>
              <w:spacing w:after="0" w:line="240" w:lineRule="auto"/>
              <w:ind w:firstLine="0"/>
              <w:jc w:val="center"/>
              <w:rPr>
                <w:rFonts w:eastAsia="Times New Roman" w:cs="Times New Roman"/>
                <w:sz w:val="20"/>
                <w:szCs w:val="20"/>
              </w:rPr>
            </w:pPr>
            <w:r>
              <w:rPr>
                <w:rFonts w:eastAsia="Times New Roman" w:cs="Times New Roman"/>
                <w:color w:val="000000"/>
                <w:sz w:val="20"/>
                <w:szCs w:val="20"/>
              </w:rPr>
              <w:t>2022</w:t>
            </w:r>
          </w:p>
        </w:tc>
        <w:tc>
          <w:tcPr>
            <w:tcW w:w="731"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38548A32" w14:textId="77777777" w:rsidR="00D535CE" w:rsidRDefault="00D535CE" w:rsidP="00314C19">
            <w:pPr>
              <w:spacing w:after="0" w:line="240" w:lineRule="auto"/>
              <w:ind w:firstLine="0"/>
              <w:rPr>
                <w:rFonts w:eastAsia="Times New Roman" w:cs="Times New Roman"/>
                <w:sz w:val="20"/>
                <w:szCs w:val="20"/>
              </w:rPr>
            </w:pPr>
            <w:r>
              <w:rPr>
                <w:rFonts w:eastAsia="Times New Roman" w:cs="Times New Roman"/>
                <w:color w:val="000000"/>
                <w:sz w:val="20"/>
                <w:szCs w:val="20"/>
              </w:rPr>
              <w:t xml:space="preserve"> %</w:t>
            </w:r>
          </w:p>
        </w:tc>
      </w:tr>
      <w:tr w:rsidR="00D535CE" w14:paraId="36AE0A8D" w14:textId="77777777" w:rsidTr="00D46EB7">
        <w:trPr>
          <w:trHeight w:val="20"/>
        </w:trPr>
        <w:tc>
          <w:tcPr>
            <w:tcW w:w="1056"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11308520" w14:textId="77777777" w:rsidR="00D535CE" w:rsidRDefault="00D535CE" w:rsidP="0080494A">
            <w:pPr>
              <w:spacing w:after="0" w:line="240" w:lineRule="auto"/>
              <w:ind w:firstLine="0"/>
              <w:rPr>
                <w:rFonts w:eastAsia="Times New Roman" w:cs="Times New Roman"/>
                <w:sz w:val="20"/>
                <w:szCs w:val="20"/>
              </w:rPr>
            </w:pPr>
            <w:r>
              <w:rPr>
                <w:rFonts w:eastAsia="Times New Roman" w:cs="Times New Roman"/>
                <w:color w:val="000000"/>
                <w:sz w:val="20"/>
                <w:szCs w:val="20"/>
              </w:rPr>
              <w:t>Populație</w:t>
            </w:r>
            <w:r>
              <w:rPr>
                <w:rFonts w:eastAsia="Times New Roman" w:cs="Times New Roman"/>
                <w:color w:val="000000"/>
                <w:sz w:val="20"/>
                <w:szCs w:val="20"/>
                <w:vertAlign w:val="superscript"/>
              </w:rPr>
              <w:t>[1]</w:t>
            </w:r>
          </w:p>
        </w:tc>
        <w:tc>
          <w:tcPr>
            <w:tcW w:w="10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6FCC82" w14:textId="77777777" w:rsidR="00D535CE" w:rsidRDefault="00D535CE" w:rsidP="0080494A">
            <w:pPr>
              <w:spacing w:after="0" w:line="240" w:lineRule="auto"/>
              <w:ind w:firstLine="0"/>
              <w:jc w:val="center"/>
              <w:rPr>
                <w:rFonts w:eastAsia="Times New Roman" w:cs="Times New Roman"/>
                <w:sz w:val="20"/>
                <w:szCs w:val="20"/>
              </w:rPr>
            </w:pPr>
            <w:r>
              <w:rPr>
                <w:rFonts w:eastAsia="Times New Roman" w:cs="Times New Roman"/>
                <w:color w:val="000000"/>
                <w:sz w:val="20"/>
                <w:szCs w:val="20"/>
              </w:rPr>
              <w:t>484536</w:t>
            </w:r>
          </w:p>
        </w:tc>
        <w:tc>
          <w:tcPr>
            <w:tcW w:w="11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054D54" w14:textId="77777777" w:rsidR="00D535CE" w:rsidRDefault="00D535CE" w:rsidP="0080494A">
            <w:pPr>
              <w:spacing w:after="0" w:line="240" w:lineRule="auto"/>
              <w:ind w:firstLine="0"/>
              <w:jc w:val="center"/>
              <w:rPr>
                <w:rFonts w:eastAsia="Times New Roman" w:cs="Times New Roman"/>
                <w:sz w:val="20"/>
                <w:szCs w:val="20"/>
              </w:rPr>
            </w:pPr>
            <w:r>
              <w:rPr>
                <w:rFonts w:eastAsia="Times New Roman" w:cs="Times New Roman"/>
                <w:color w:val="000000"/>
                <w:sz w:val="20"/>
                <w:szCs w:val="20"/>
              </w:rPr>
              <w:t>466624</w:t>
            </w:r>
          </w:p>
        </w:tc>
        <w:tc>
          <w:tcPr>
            <w:tcW w:w="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74488A" w14:textId="77777777" w:rsidR="00D535CE" w:rsidRDefault="00D535CE" w:rsidP="00314C19">
            <w:pPr>
              <w:spacing w:after="0" w:line="240" w:lineRule="auto"/>
              <w:ind w:firstLine="0"/>
              <w:rPr>
                <w:rFonts w:eastAsia="Times New Roman" w:cs="Times New Roman"/>
                <w:sz w:val="20"/>
                <w:szCs w:val="20"/>
              </w:rPr>
            </w:pPr>
            <w:r>
              <w:rPr>
                <w:rFonts w:eastAsia="Times New Roman" w:cs="Times New Roman"/>
                <w:color w:val="000000"/>
                <w:sz w:val="20"/>
                <w:szCs w:val="20"/>
              </w:rPr>
              <w:t>-3,70</w:t>
            </w:r>
          </w:p>
        </w:tc>
        <w:tc>
          <w:tcPr>
            <w:tcW w:w="9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0F9261" w14:textId="77777777" w:rsidR="00D535CE" w:rsidRDefault="00D535CE" w:rsidP="0080494A">
            <w:pPr>
              <w:spacing w:after="0" w:line="240" w:lineRule="auto"/>
              <w:ind w:firstLine="7"/>
              <w:jc w:val="center"/>
              <w:rPr>
                <w:rFonts w:eastAsia="Times New Roman" w:cs="Times New Roman"/>
                <w:sz w:val="20"/>
                <w:szCs w:val="20"/>
              </w:rPr>
            </w:pPr>
            <w:r>
              <w:rPr>
                <w:rFonts w:eastAsia="Times New Roman" w:cs="Times New Roman"/>
                <w:color w:val="000000"/>
                <w:sz w:val="20"/>
                <w:szCs w:val="20"/>
              </w:rPr>
              <w:t>431151</w:t>
            </w:r>
          </w:p>
        </w:tc>
        <w:tc>
          <w:tcPr>
            <w:tcW w:w="9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6F4836" w14:textId="77777777" w:rsidR="00D535CE" w:rsidRDefault="00D535CE" w:rsidP="00314C19">
            <w:pPr>
              <w:spacing w:after="0" w:line="240" w:lineRule="auto"/>
              <w:ind w:firstLine="0"/>
              <w:jc w:val="center"/>
              <w:rPr>
                <w:rFonts w:eastAsia="Times New Roman" w:cs="Times New Roman"/>
                <w:sz w:val="20"/>
                <w:szCs w:val="20"/>
              </w:rPr>
            </w:pPr>
            <w:r>
              <w:rPr>
                <w:rFonts w:eastAsia="Times New Roman" w:cs="Times New Roman"/>
                <w:color w:val="000000"/>
                <w:sz w:val="20"/>
                <w:szCs w:val="20"/>
              </w:rPr>
              <w:t>410227</w:t>
            </w:r>
          </w:p>
        </w:tc>
        <w:tc>
          <w:tcPr>
            <w:tcW w:w="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322990" w14:textId="77777777" w:rsidR="00D535CE" w:rsidRDefault="00D535CE" w:rsidP="00314C19">
            <w:pPr>
              <w:spacing w:after="0" w:line="240" w:lineRule="auto"/>
              <w:ind w:firstLine="0"/>
              <w:rPr>
                <w:rFonts w:eastAsia="Times New Roman" w:cs="Times New Roman"/>
                <w:sz w:val="20"/>
                <w:szCs w:val="20"/>
              </w:rPr>
            </w:pPr>
            <w:r>
              <w:rPr>
                <w:rFonts w:eastAsia="Times New Roman" w:cs="Times New Roman"/>
                <w:color w:val="000000"/>
                <w:sz w:val="20"/>
                <w:szCs w:val="20"/>
              </w:rPr>
              <w:t>-4,85</w:t>
            </w:r>
          </w:p>
        </w:tc>
        <w:tc>
          <w:tcPr>
            <w:tcW w:w="8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717360" w14:textId="77777777" w:rsidR="00D535CE" w:rsidRDefault="00D535CE" w:rsidP="00314C19">
            <w:pPr>
              <w:spacing w:after="0" w:line="240" w:lineRule="auto"/>
              <w:ind w:hanging="2"/>
              <w:jc w:val="center"/>
              <w:rPr>
                <w:rFonts w:eastAsia="Times New Roman" w:cs="Times New Roman"/>
                <w:sz w:val="20"/>
                <w:szCs w:val="20"/>
              </w:rPr>
            </w:pPr>
            <w:r>
              <w:rPr>
                <w:rFonts w:eastAsia="Times New Roman" w:cs="Times New Roman"/>
                <w:color w:val="000000"/>
                <w:sz w:val="20"/>
                <w:szCs w:val="20"/>
              </w:rPr>
              <w:t>53385</w:t>
            </w:r>
          </w:p>
        </w:tc>
        <w:tc>
          <w:tcPr>
            <w:tcW w:w="9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63D93B" w14:textId="77777777" w:rsidR="00D535CE" w:rsidRDefault="00D535CE" w:rsidP="00314C19">
            <w:pPr>
              <w:spacing w:after="0" w:line="240" w:lineRule="auto"/>
              <w:ind w:firstLine="0"/>
              <w:jc w:val="center"/>
              <w:rPr>
                <w:rFonts w:eastAsia="Times New Roman" w:cs="Times New Roman"/>
                <w:sz w:val="20"/>
                <w:szCs w:val="20"/>
              </w:rPr>
            </w:pPr>
            <w:r>
              <w:rPr>
                <w:rFonts w:eastAsia="Times New Roman" w:cs="Times New Roman"/>
                <w:color w:val="000000"/>
                <w:sz w:val="20"/>
                <w:szCs w:val="20"/>
              </w:rPr>
              <w:t>56397</w:t>
            </w:r>
          </w:p>
        </w:tc>
        <w:tc>
          <w:tcPr>
            <w:tcW w:w="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917E7B" w14:textId="77777777" w:rsidR="00D535CE" w:rsidRDefault="00D535CE" w:rsidP="00314C19">
            <w:pPr>
              <w:spacing w:after="0" w:line="240" w:lineRule="auto"/>
              <w:ind w:firstLine="0"/>
              <w:rPr>
                <w:rFonts w:eastAsia="Times New Roman" w:cs="Times New Roman"/>
                <w:sz w:val="20"/>
                <w:szCs w:val="20"/>
              </w:rPr>
            </w:pPr>
            <w:r>
              <w:rPr>
                <w:rFonts w:eastAsia="Times New Roman" w:cs="Times New Roman"/>
                <w:color w:val="000000"/>
                <w:sz w:val="20"/>
                <w:szCs w:val="20"/>
              </w:rPr>
              <w:t>+5,64</w:t>
            </w:r>
          </w:p>
        </w:tc>
      </w:tr>
      <w:tr w:rsidR="00D535CE" w14:paraId="6FB603D1" w14:textId="77777777" w:rsidTr="00D46EB7">
        <w:trPr>
          <w:trHeight w:val="20"/>
        </w:trPr>
        <w:tc>
          <w:tcPr>
            <w:tcW w:w="1056"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4DD7A335" w14:textId="77777777" w:rsidR="00D535CE" w:rsidRDefault="00D535CE" w:rsidP="0080494A">
            <w:pPr>
              <w:spacing w:after="0" w:line="240" w:lineRule="auto"/>
              <w:ind w:firstLine="0"/>
              <w:jc w:val="center"/>
              <w:rPr>
                <w:rFonts w:eastAsia="Times New Roman" w:cs="Times New Roman"/>
                <w:sz w:val="20"/>
                <w:szCs w:val="20"/>
              </w:rPr>
            </w:pPr>
            <w:r>
              <w:rPr>
                <w:rFonts w:eastAsia="Times New Roman" w:cs="Times New Roman"/>
                <w:color w:val="000000"/>
                <w:sz w:val="20"/>
                <w:szCs w:val="20"/>
              </w:rPr>
              <w:t>Suprafața U.A.T. (ha)</w:t>
            </w:r>
            <w:r>
              <w:rPr>
                <w:rFonts w:eastAsia="Times New Roman" w:cs="Times New Roman"/>
                <w:color w:val="000000"/>
                <w:sz w:val="20"/>
                <w:szCs w:val="20"/>
                <w:vertAlign w:val="superscript"/>
              </w:rPr>
              <w:t>[2]</w:t>
            </w:r>
          </w:p>
        </w:tc>
        <w:tc>
          <w:tcPr>
            <w:tcW w:w="220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9CF5E1" w14:textId="77777777" w:rsidR="00D535CE" w:rsidRDefault="00D535CE" w:rsidP="0080494A">
            <w:pPr>
              <w:spacing w:after="0" w:line="240" w:lineRule="auto"/>
              <w:ind w:firstLine="0"/>
              <w:jc w:val="center"/>
              <w:rPr>
                <w:rFonts w:eastAsia="Times New Roman" w:cs="Times New Roman"/>
                <w:sz w:val="20"/>
                <w:szCs w:val="20"/>
              </w:rPr>
            </w:pPr>
            <w:r>
              <w:rPr>
                <w:rFonts w:eastAsia="Times New Roman" w:cs="Times New Roman"/>
                <w:color w:val="000000"/>
                <w:sz w:val="20"/>
                <w:szCs w:val="20"/>
              </w:rPr>
              <w:t>357592,09</w:t>
            </w:r>
          </w:p>
        </w:tc>
        <w:tc>
          <w:tcPr>
            <w:tcW w:w="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919978" w14:textId="77777777" w:rsidR="00D535CE" w:rsidRDefault="00D535CE" w:rsidP="00314C19">
            <w:pPr>
              <w:spacing w:after="0" w:line="240" w:lineRule="auto"/>
              <w:ind w:firstLine="0"/>
              <w:rPr>
                <w:rFonts w:eastAsia="Times New Roman" w:cs="Times New Roman"/>
                <w:sz w:val="20"/>
                <w:szCs w:val="20"/>
              </w:rPr>
            </w:pPr>
            <w:r>
              <w:rPr>
                <w:rFonts w:eastAsia="Times New Roman" w:cs="Times New Roman"/>
                <w:color w:val="000000"/>
                <w:sz w:val="20"/>
                <w:szCs w:val="20"/>
              </w:rPr>
              <w:t>-</w:t>
            </w:r>
          </w:p>
        </w:tc>
        <w:tc>
          <w:tcPr>
            <w:tcW w:w="183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B97D8B" w14:textId="09BE2E83" w:rsidR="00D535CE" w:rsidRDefault="00D535CE" w:rsidP="00314C19">
            <w:pPr>
              <w:spacing w:after="0" w:line="240" w:lineRule="auto"/>
              <w:ind w:firstLine="0"/>
              <w:jc w:val="center"/>
              <w:rPr>
                <w:rFonts w:eastAsia="Times New Roman" w:cs="Times New Roman"/>
                <w:sz w:val="20"/>
                <w:szCs w:val="20"/>
              </w:rPr>
            </w:pPr>
            <w:r>
              <w:rPr>
                <w:rFonts w:eastAsia="Times New Roman" w:cs="Times New Roman"/>
                <w:color w:val="000000"/>
                <w:sz w:val="20"/>
                <w:szCs w:val="20"/>
              </w:rPr>
              <w:t>63990,14</w:t>
            </w:r>
          </w:p>
        </w:tc>
        <w:tc>
          <w:tcPr>
            <w:tcW w:w="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11F52B" w14:textId="77777777" w:rsidR="00D535CE" w:rsidRDefault="00D535CE" w:rsidP="00314C19">
            <w:pPr>
              <w:spacing w:after="0" w:line="240" w:lineRule="auto"/>
              <w:ind w:firstLine="0"/>
              <w:rPr>
                <w:rFonts w:eastAsia="Times New Roman" w:cs="Times New Roman"/>
                <w:sz w:val="20"/>
                <w:szCs w:val="20"/>
              </w:rPr>
            </w:pPr>
            <w:r>
              <w:rPr>
                <w:rFonts w:eastAsia="Times New Roman" w:cs="Times New Roman"/>
                <w:color w:val="000000"/>
                <w:sz w:val="20"/>
                <w:szCs w:val="20"/>
              </w:rPr>
              <w:t>-</w:t>
            </w:r>
          </w:p>
        </w:tc>
        <w:tc>
          <w:tcPr>
            <w:tcW w:w="172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F74AE3" w14:textId="77777777" w:rsidR="00D535CE" w:rsidRDefault="00D535CE" w:rsidP="00314C19">
            <w:pPr>
              <w:spacing w:after="0" w:line="240" w:lineRule="auto"/>
              <w:ind w:firstLine="0"/>
              <w:rPr>
                <w:rFonts w:eastAsia="Times New Roman" w:cs="Times New Roman"/>
                <w:sz w:val="20"/>
                <w:szCs w:val="20"/>
              </w:rPr>
            </w:pPr>
            <w:r>
              <w:rPr>
                <w:rFonts w:eastAsia="Times New Roman" w:cs="Times New Roman"/>
                <w:color w:val="000000"/>
                <w:sz w:val="20"/>
                <w:szCs w:val="20"/>
              </w:rPr>
              <w:t xml:space="preserve"> 293601,95</w:t>
            </w:r>
          </w:p>
        </w:tc>
        <w:tc>
          <w:tcPr>
            <w:tcW w:w="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00BF42" w14:textId="77777777" w:rsidR="00D535CE" w:rsidRDefault="00D535CE" w:rsidP="00314C19">
            <w:pPr>
              <w:spacing w:after="0" w:line="240" w:lineRule="auto"/>
              <w:ind w:firstLine="0"/>
              <w:rPr>
                <w:rFonts w:eastAsia="Times New Roman" w:cs="Times New Roman"/>
                <w:sz w:val="20"/>
                <w:szCs w:val="20"/>
              </w:rPr>
            </w:pPr>
            <w:r>
              <w:rPr>
                <w:rFonts w:eastAsia="Times New Roman" w:cs="Times New Roman"/>
                <w:color w:val="000000"/>
                <w:sz w:val="20"/>
                <w:szCs w:val="20"/>
              </w:rPr>
              <w:t>-</w:t>
            </w:r>
          </w:p>
        </w:tc>
      </w:tr>
      <w:tr w:rsidR="00D535CE" w14:paraId="236947C9" w14:textId="77777777" w:rsidTr="00D46EB7">
        <w:trPr>
          <w:trHeight w:val="20"/>
        </w:trPr>
        <w:tc>
          <w:tcPr>
            <w:tcW w:w="1056" w:type="dxa"/>
            <w:vMerge w:val="restart"/>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34BD55A6" w14:textId="77777777" w:rsidR="00D535CE" w:rsidRDefault="00D535CE" w:rsidP="0080494A">
            <w:pPr>
              <w:spacing w:after="0" w:line="240" w:lineRule="auto"/>
              <w:ind w:firstLine="0"/>
              <w:jc w:val="center"/>
              <w:rPr>
                <w:rFonts w:eastAsia="Times New Roman" w:cs="Times New Roman"/>
                <w:sz w:val="20"/>
                <w:szCs w:val="20"/>
              </w:rPr>
            </w:pPr>
            <w:r>
              <w:rPr>
                <w:rFonts w:eastAsia="Times New Roman" w:cs="Times New Roman"/>
                <w:color w:val="000000"/>
                <w:sz w:val="20"/>
                <w:szCs w:val="20"/>
              </w:rPr>
              <w:t>Suprafața teritoriului intravilan</w:t>
            </w:r>
          </w:p>
          <w:p w14:paraId="5E8B8A5C" w14:textId="77777777" w:rsidR="00D535CE" w:rsidRDefault="00D535CE" w:rsidP="0080494A">
            <w:pPr>
              <w:spacing w:after="0" w:line="240" w:lineRule="auto"/>
              <w:ind w:firstLine="0"/>
              <w:jc w:val="center"/>
              <w:rPr>
                <w:rFonts w:eastAsia="Times New Roman" w:cs="Times New Roman"/>
                <w:sz w:val="20"/>
                <w:szCs w:val="20"/>
              </w:rPr>
            </w:pPr>
            <w:r>
              <w:rPr>
                <w:rFonts w:eastAsia="Times New Roman" w:cs="Times New Roman"/>
                <w:color w:val="000000"/>
                <w:sz w:val="20"/>
                <w:szCs w:val="20"/>
              </w:rPr>
              <w:t>(ha)</w:t>
            </w:r>
          </w:p>
        </w:tc>
        <w:tc>
          <w:tcPr>
            <w:tcW w:w="10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47C915" w14:textId="77777777" w:rsidR="00D535CE" w:rsidRDefault="00D535CE" w:rsidP="0080494A">
            <w:pPr>
              <w:spacing w:after="0" w:line="240" w:lineRule="auto"/>
              <w:ind w:firstLine="0"/>
              <w:jc w:val="center"/>
              <w:rPr>
                <w:rFonts w:eastAsia="Times New Roman" w:cs="Times New Roman"/>
                <w:sz w:val="20"/>
                <w:szCs w:val="20"/>
              </w:rPr>
            </w:pPr>
            <w:r>
              <w:rPr>
                <w:rFonts w:eastAsia="Times New Roman" w:cs="Times New Roman"/>
                <w:color w:val="000000"/>
                <w:sz w:val="20"/>
                <w:szCs w:val="20"/>
              </w:rPr>
              <w:t>La data elaborării PUG</w:t>
            </w:r>
          </w:p>
        </w:tc>
        <w:tc>
          <w:tcPr>
            <w:tcW w:w="11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FA066B" w14:textId="77777777" w:rsidR="00D535CE" w:rsidRDefault="00D535CE" w:rsidP="0080494A">
            <w:pPr>
              <w:spacing w:after="0" w:line="240" w:lineRule="auto"/>
              <w:ind w:firstLine="0"/>
              <w:jc w:val="center"/>
              <w:rPr>
                <w:rFonts w:eastAsia="Times New Roman" w:cs="Times New Roman"/>
                <w:sz w:val="20"/>
                <w:szCs w:val="20"/>
              </w:rPr>
            </w:pPr>
            <w:r>
              <w:rPr>
                <w:rFonts w:eastAsia="Times New Roman" w:cs="Times New Roman"/>
                <w:color w:val="000000"/>
                <w:sz w:val="20"/>
                <w:szCs w:val="20"/>
              </w:rPr>
              <w:t>După aprobare PUG/ propusă pentru extindere</w:t>
            </w:r>
          </w:p>
        </w:tc>
        <w:tc>
          <w:tcPr>
            <w:tcW w:w="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D4FDE6" w14:textId="77777777" w:rsidR="00D535CE" w:rsidRDefault="00D535CE" w:rsidP="00314C19">
            <w:pPr>
              <w:spacing w:after="0" w:line="240" w:lineRule="auto"/>
              <w:ind w:firstLine="0"/>
              <w:rPr>
                <w:rFonts w:eastAsia="Times New Roman" w:cs="Times New Roman"/>
                <w:sz w:val="20"/>
                <w:szCs w:val="20"/>
              </w:rPr>
            </w:pPr>
            <w:r>
              <w:rPr>
                <w:rFonts w:eastAsia="Times New Roman" w:cs="Times New Roman"/>
                <w:color w:val="000000"/>
                <w:sz w:val="20"/>
                <w:szCs w:val="20"/>
              </w:rPr>
              <w:t>%</w:t>
            </w:r>
          </w:p>
        </w:tc>
        <w:tc>
          <w:tcPr>
            <w:tcW w:w="9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1D6841" w14:textId="77777777" w:rsidR="00D535CE" w:rsidRDefault="00D535CE" w:rsidP="0080494A">
            <w:pPr>
              <w:spacing w:after="0" w:line="240" w:lineRule="auto"/>
              <w:ind w:firstLine="7"/>
              <w:jc w:val="center"/>
              <w:rPr>
                <w:rFonts w:eastAsia="Times New Roman" w:cs="Times New Roman"/>
                <w:sz w:val="20"/>
                <w:szCs w:val="20"/>
              </w:rPr>
            </w:pPr>
            <w:r>
              <w:rPr>
                <w:rFonts w:eastAsia="Times New Roman" w:cs="Times New Roman"/>
                <w:color w:val="000000"/>
                <w:sz w:val="20"/>
                <w:szCs w:val="20"/>
              </w:rPr>
              <w:t>La data elaborării</w:t>
            </w:r>
          </w:p>
          <w:p w14:paraId="6935374A" w14:textId="77777777" w:rsidR="00D535CE" w:rsidRDefault="00D535CE" w:rsidP="0080494A">
            <w:pPr>
              <w:spacing w:after="0" w:line="240" w:lineRule="auto"/>
              <w:ind w:firstLine="7"/>
              <w:jc w:val="center"/>
              <w:rPr>
                <w:rFonts w:eastAsia="Times New Roman" w:cs="Times New Roman"/>
                <w:sz w:val="20"/>
                <w:szCs w:val="20"/>
              </w:rPr>
            </w:pPr>
            <w:r>
              <w:rPr>
                <w:rFonts w:eastAsia="Times New Roman" w:cs="Times New Roman"/>
                <w:color w:val="000000"/>
                <w:sz w:val="20"/>
                <w:szCs w:val="20"/>
              </w:rPr>
              <w:t>PUG</w:t>
            </w:r>
          </w:p>
        </w:tc>
        <w:tc>
          <w:tcPr>
            <w:tcW w:w="9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96FC22" w14:textId="77777777" w:rsidR="00D535CE" w:rsidRDefault="00D535CE" w:rsidP="00314C19">
            <w:pPr>
              <w:spacing w:after="0" w:line="240" w:lineRule="auto"/>
              <w:ind w:firstLine="0"/>
              <w:jc w:val="center"/>
              <w:rPr>
                <w:rFonts w:eastAsia="Times New Roman" w:cs="Times New Roman"/>
                <w:sz w:val="20"/>
                <w:szCs w:val="20"/>
              </w:rPr>
            </w:pPr>
            <w:r>
              <w:rPr>
                <w:rFonts w:eastAsia="Times New Roman" w:cs="Times New Roman"/>
                <w:color w:val="000000"/>
                <w:sz w:val="20"/>
                <w:szCs w:val="20"/>
              </w:rPr>
              <w:t>După aprobare PUG/ propusă pentru extindere</w:t>
            </w:r>
          </w:p>
        </w:tc>
        <w:tc>
          <w:tcPr>
            <w:tcW w:w="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536D8E" w14:textId="77777777" w:rsidR="00D535CE" w:rsidRDefault="00D535CE" w:rsidP="00314C19">
            <w:pPr>
              <w:spacing w:after="0" w:line="240" w:lineRule="auto"/>
              <w:ind w:firstLine="0"/>
              <w:rPr>
                <w:rFonts w:eastAsia="Times New Roman" w:cs="Times New Roman"/>
                <w:sz w:val="20"/>
                <w:szCs w:val="20"/>
              </w:rPr>
            </w:pPr>
            <w:r>
              <w:rPr>
                <w:rFonts w:eastAsia="Times New Roman" w:cs="Times New Roman"/>
                <w:color w:val="000000"/>
                <w:sz w:val="20"/>
                <w:szCs w:val="20"/>
              </w:rPr>
              <w:t xml:space="preserve"> %</w:t>
            </w:r>
          </w:p>
        </w:tc>
        <w:tc>
          <w:tcPr>
            <w:tcW w:w="8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9ECC2F" w14:textId="77777777" w:rsidR="00D535CE" w:rsidRDefault="00D535CE" w:rsidP="00314C19">
            <w:pPr>
              <w:spacing w:after="0" w:line="240" w:lineRule="auto"/>
              <w:ind w:hanging="2"/>
              <w:jc w:val="center"/>
              <w:rPr>
                <w:rFonts w:eastAsia="Times New Roman" w:cs="Times New Roman"/>
                <w:sz w:val="20"/>
                <w:szCs w:val="20"/>
              </w:rPr>
            </w:pPr>
            <w:r>
              <w:rPr>
                <w:rFonts w:eastAsia="Times New Roman" w:cs="Times New Roman"/>
                <w:color w:val="000000"/>
                <w:sz w:val="20"/>
                <w:szCs w:val="20"/>
              </w:rPr>
              <w:t>La data elab. PUG</w:t>
            </w:r>
          </w:p>
        </w:tc>
        <w:tc>
          <w:tcPr>
            <w:tcW w:w="9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0BFA9F" w14:textId="77777777" w:rsidR="00D535CE" w:rsidRDefault="00D535CE" w:rsidP="00314C19">
            <w:pPr>
              <w:spacing w:after="0" w:line="240" w:lineRule="auto"/>
              <w:ind w:firstLine="0"/>
              <w:jc w:val="center"/>
              <w:rPr>
                <w:rFonts w:eastAsia="Times New Roman" w:cs="Times New Roman"/>
                <w:sz w:val="20"/>
                <w:szCs w:val="20"/>
              </w:rPr>
            </w:pPr>
            <w:r>
              <w:rPr>
                <w:rFonts w:eastAsia="Times New Roman" w:cs="Times New Roman"/>
                <w:color w:val="000000"/>
                <w:sz w:val="20"/>
                <w:szCs w:val="20"/>
              </w:rPr>
              <w:t>După aprobare PUG/ propusă pentru extindere</w:t>
            </w:r>
          </w:p>
        </w:tc>
        <w:tc>
          <w:tcPr>
            <w:tcW w:w="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9A6D8B" w14:textId="77777777" w:rsidR="00D535CE" w:rsidRDefault="00D535CE" w:rsidP="00314C19">
            <w:pPr>
              <w:spacing w:after="0" w:line="240" w:lineRule="auto"/>
              <w:ind w:firstLine="0"/>
              <w:rPr>
                <w:rFonts w:eastAsia="Times New Roman" w:cs="Times New Roman"/>
                <w:sz w:val="20"/>
                <w:szCs w:val="20"/>
              </w:rPr>
            </w:pPr>
            <w:r>
              <w:rPr>
                <w:rFonts w:eastAsia="Times New Roman" w:cs="Times New Roman"/>
                <w:color w:val="000000"/>
                <w:sz w:val="20"/>
                <w:szCs w:val="20"/>
              </w:rPr>
              <w:t>%</w:t>
            </w:r>
          </w:p>
        </w:tc>
      </w:tr>
      <w:tr w:rsidR="00D535CE" w14:paraId="47B337FC" w14:textId="77777777" w:rsidTr="00D46EB7">
        <w:trPr>
          <w:trHeight w:val="20"/>
        </w:trPr>
        <w:tc>
          <w:tcPr>
            <w:tcW w:w="1056" w:type="dxa"/>
            <w:vMerge/>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18F3BF24" w14:textId="77777777" w:rsidR="00D535CE" w:rsidRDefault="00D535CE" w:rsidP="00D46EB7">
            <w:pPr>
              <w:widowControl w:val="0"/>
              <w:pBdr>
                <w:top w:val="nil"/>
                <w:left w:val="nil"/>
                <w:bottom w:val="nil"/>
                <w:right w:val="nil"/>
                <w:between w:val="nil"/>
              </w:pBdr>
              <w:spacing w:after="0"/>
              <w:rPr>
                <w:rFonts w:eastAsia="Times New Roman" w:cs="Times New Roman"/>
                <w:sz w:val="20"/>
                <w:szCs w:val="20"/>
              </w:rPr>
            </w:pPr>
          </w:p>
        </w:tc>
        <w:tc>
          <w:tcPr>
            <w:tcW w:w="10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F888BD" w14:textId="77777777" w:rsidR="00D535CE" w:rsidRDefault="00D535CE" w:rsidP="0080494A">
            <w:pPr>
              <w:spacing w:after="0" w:line="240" w:lineRule="auto"/>
              <w:ind w:firstLine="0"/>
              <w:jc w:val="center"/>
              <w:rPr>
                <w:rFonts w:eastAsia="Times New Roman" w:cs="Times New Roman"/>
                <w:sz w:val="20"/>
                <w:szCs w:val="20"/>
              </w:rPr>
            </w:pPr>
            <w:r>
              <w:rPr>
                <w:rFonts w:eastAsia="Times New Roman" w:cs="Times New Roman"/>
                <w:color w:val="000000"/>
                <w:sz w:val="20"/>
                <w:szCs w:val="20"/>
              </w:rPr>
              <w:t>19204,39</w:t>
            </w:r>
          </w:p>
        </w:tc>
        <w:tc>
          <w:tcPr>
            <w:tcW w:w="11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A2B17F" w14:textId="77777777" w:rsidR="00D535CE" w:rsidRDefault="00D535CE" w:rsidP="0080494A">
            <w:pPr>
              <w:spacing w:after="0" w:line="240" w:lineRule="auto"/>
              <w:ind w:firstLine="0"/>
              <w:jc w:val="center"/>
              <w:rPr>
                <w:rFonts w:eastAsia="Times New Roman" w:cs="Times New Roman"/>
                <w:sz w:val="20"/>
                <w:szCs w:val="20"/>
              </w:rPr>
            </w:pPr>
            <w:r>
              <w:rPr>
                <w:rFonts w:eastAsia="Times New Roman" w:cs="Times New Roman"/>
                <w:color w:val="000000"/>
                <w:sz w:val="20"/>
                <w:szCs w:val="20"/>
              </w:rPr>
              <w:t>25447,49</w:t>
            </w:r>
          </w:p>
        </w:tc>
        <w:tc>
          <w:tcPr>
            <w:tcW w:w="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803220" w14:textId="02621459" w:rsidR="00D535CE" w:rsidRDefault="00314C19" w:rsidP="00314C19">
            <w:pPr>
              <w:spacing w:after="0" w:line="240" w:lineRule="auto"/>
              <w:ind w:firstLine="0"/>
              <w:rPr>
                <w:rFonts w:eastAsia="Times New Roman" w:cs="Times New Roman"/>
                <w:sz w:val="20"/>
                <w:szCs w:val="20"/>
              </w:rPr>
            </w:pPr>
            <w:r>
              <w:rPr>
                <w:rFonts w:eastAsia="Times New Roman" w:cs="Times New Roman"/>
                <w:color w:val="000000"/>
                <w:sz w:val="20"/>
                <w:szCs w:val="20"/>
              </w:rPr>
              <w:t>+32,5</w:t>
            </w:r>
          </w:p>
        </w:tc>
        <w:tc>
          <w:tcPr>
            <w:tcW w:w="9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0FB90F" w14:textId="06D94E8F" w:rsidR="00D535CE" w:rsidRDefault="00314C19" w:rsidP="0080494A">
            <w:pPr>
              <w:spacing w:after="0" w:line="240" w:lineRule="auto"/>
              <w:ind w:firstLine="7"/>
              <w:jc w:val="center"/>
              <w:rPr>
                <w:rFonts w:eastAsia="Times New Roman" w:cs="Times New Roman"/>
                <w:sz w:val="20"/>
                <w:szCs w:val="20"/>
              </w:rPr>
            </w:pPr>
            <w:r>
              <w:rPr>
                <w:rFonts w:eastAsia="Times New Roman" w:cs="Times New Roman"/>
                <w:color w:val="000000"/>
                <w:sz w:val="20"/>
                <w:szCs w:val="20"/>
              </w:rPr>
              <w:t>12813,3</w:t>
            </w:r>
          </w:p>
        </w:tc>
        <w:tc>
          <w:tcPr>
            <w:tcW w:w="9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3B6093" w14:textId="0AAC2293" w:rsidR="00D535CE" w:rsidRDefault="00314C19" w:rsidP="00314C19">
            <w:pPr>
              <w:spacing w:after="0" w:line="240" w:lineRule="auto"/>
              <w:ind w:firstLine="0"/>
              <w:jc w:val="center"/>
              <w:rPr>
                <w:rFonts w:eastAsia="Times New Roman" w:cs="Times New Roman"/>
                <w:sz w:val="20"/>
                <w:szCs w:val="20"/>
              </w:rPr>
            </w:pPr>
            <w:r>
              <w:rPr>
                <w:rFonts w:eastAsia="Times New Roman" w:cs="Times New Roman"/>
                <w:color w:val="000000"/>
                <w:sz w:val="20"/>
                <w:szCs w:val="20"/>
              </w:rPr>
              <w:t>14404,3</w:t>
            </w:r>
          </w:p>
        </w:tc>
        <w:tc>
          <w:tcPr>
            <w:tcW w:w="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F49F12" w14:textId="72F669EA" w:rsidR="00D535CE" w:rsidRDefault="00314C19" w:rsidP="00314C19">
            <w:pPr>
              <w:spacing w:after="0" w:line="240" w:lineRule="auto"/>
              <w:ind w:firstLine="0"/>
              <w:rPr>
                <w:rFonts w:eastAsia="Times New Roman" w:cs="Times New Roman"/>
                <w:sz w:val="20"/>
                <w:szCs w:val="20"/>
              </w:rPr>
            </w:pPr>
            <w:r>
              <w:rPr>
                <w:rFonts w:eastAsia="Times New Roman" w:cs="Times New Roman"/>
                <w:color w:val="000000"/>
                <w:sz w:val="20"/>
                <w:szCs w:val="20"/>
              </w:rPr>
              <w:t>+12,4</w:t>
            </w:r>
          </w:p>
        </w:tc>
        <w:tc>
          <w:tcPr>
            <w:tcW w:w="8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87742B" w14:textId="248FE179" w:rsidR="00D535CE" w:rsidRDefault="00314C19" w:rsidP="00314C19">
            <w:pPr>
              <w:spacing w:after="0" w:line="240" w:lineRule="auto"/>
              <w:ind w:hanging="2"/>
              <w:jc w:val="center"/>
              <w:rPr>
                <w:rFonts w:eastAsia="Times New Roman" w:cs="Times New Roman"/>
                <w:sz w:val="20"/>
                <w:szCs w:val="20"/>
              </w:rPr>
            </w:pPr>
            <w:r>
              <w:rPr>
                <w:rFonts w:eastAsia="Times New Roman" w:cs="Times New Roman"/>
                <w:color w:val="000000"/>
                <w:sz w:val="20"/>
                <w:szCs w:val="20"/>
              </w:rPr>
              <w:t>6391,1</w:t>
            </w:r>
          </w:p>
        </w:tc>
        <w:tc>
          <w:tcPr>
            <w:tcW w:w="9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806E8F" w14:textId="56E973A6" w:rsidR="00D535CE" w:rsidRDefault="00D535CE" w:rsidP="00314C19">
            <w:pPr>
              <w:spacing w:after="0" w:line="240" w:lineRule="auto"/>
              <w:ind w:firstLine="0"/>
              <w:jc w:val="center"/>
              <w:rPr>
                <w:rFonts w:eastAsia="Times New Roman" w:cs="Times New Roman"/>
                <w:sz w:val="20"/>
                <w:szCs w:val="20"/>
              </w:rPr>
            </w:pPr>
            <w:r>
              <w:rPr>
                <w:rFonts w:eastAsia="Times New Roman" w:cs="Times New Roman"/>
                <w:color w:val="000000"/>
                <w:sz w:val="20"/>
                <w:szCs w:val="20"/>
              </w:rPr>
              <w:t>110</w:t>
            </w:r>
            <w:r w:rsidR="00314C19">
              <w:rPr>
                <w:rFonts w:eastAsia="Times New Roman" w:cs="Times New Roman"/>
                <w:color w:val="000000"/>
                <w:sz w:val="20"/>
                <w:szCs w:val="20"/>
              </w:rPr>
              <w:t>43,2</w:t>
            </w:r>
          </w:p>
        </w:tc>
        <w:tc>
          <w:tcPr>
            <w:tcW w:w="7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1E5518" w14:textId="77D9DFFD" w:rsidR="00D535CE" w:rsidRDefault="00314C19" w:rsidP="00314C19">
            <w:pPr>
              <w:spacing w:after="0" w:line="240" w:lineRule="auto"/>
              <w:ind w:firstLine="0"/>
              <w:rPr>
                <w:rFonts w:eastAsia="Times New Roman" w:cs="Times New Roman"/>
                <w:sz w:val="20"/>
                <w:szCs w:val="20"/>
              </w:rPr>
            </w:pPr>
            <w:r>
              <w:rPr>
                <w:rFonts w:eastAsia="Times New Roman" w:cs="Times New Roman"/>
                <w:color w:val="000000"/>
                <w:sz w:val="20"/>
                <w:szCs w:val="20"/>
              </w:rPr>
              <w:t>+72,7</w:t>
            </w:r>
          </w:p>
        </w:tc>
      </w:tr>
    </w:tbl>
    <w:p w14:paraId="41779637" w14:textId="77777777" w:rsidR="00D535CE" w:rsidRDefault="00D535CE" w:rsidP="00D535CE">
      <w:pPr>
        <w:spacing w:after="0"/>
        <w:rPr>
          <w:rFonts w:eastAsia="Times New Roman" w:cs="Times New Roman"/>
          <w:sz w:val="20"/>
          <w:szCs w:val="20"/>
        </w:rPr>
      </w:pPr>
      <w:r>
        <w:rPr>
          <w:rFonts w:eastAsia="Times New Roman" w:cs="Times New Roman"/>
          <w:b/>
          <w:color w:val="000000"/>
          <w:sz w:val="20"/>
          <w:szCs w:val="20"/>
        </w:rPr>
        <w:lastRenderedPageBreak/>
        <w:t xml:space="preserve"> [1] </w:t>
      </w:r>
      <w:r>
        <w:rPr>
          <w:rFonts w:eastAsia="Times New Roman" w:cs="Times New Roman"/>
          <w:b/>
          <w:i/>
          <w:color w:val="000000"/>
          <w:sz w:val="20"/>
          <w:szCs w:val="20"/>
        </w:rPr>
        <w:t>Date preluate din baza de date TEMPO ONLINE -INSSE, Populatia după domiciliu în anul 2010 și la 1 ianuarie 2022</w:t>
      </w:r>
    </w:p>
    <w:p w14:paraId="23CA8364" w14:textId="77777777" w:rsidR="00D535CE" w:rsidRDefault="00D535CE" w:rsidP="00D535CE">
      <w:pPr>
        <w:spacing w:line="257" w:lineRule="auto"/>
        <w:rPr>
          <w:rFonts w:eastAsia="Times New Roman" w:cs="Times New Roman"/>
          <w:b/>
          <w:i/>
          <w:color w:val="1155CC"/>
          <w:sz w:val="20"/>
          <w:szCs w:val="20"/>
          <w:u w:val="single"/>
        </w:rPr>
      </w:pPr>
      <w:r>
        <w:rPr>
          <w:rFonts w:eastAsia="Times New Roman" w:cs="Times New Roman"/>
          <w:b/>
          <w:color w:val="000000"/>
          <w:sz w:val="20"/>
          <w:szCs w:val="20"/>
        </w:rPr>
        <w:t xml:space="preserve">[2] </w:t>
      </w:r>
      <w:r>
        <w:rPr>
          <w:rFonts w:eastAsia="Times New Roman" w:cs="Times New Roman"/>
          <w:b/>
          <w:i/>
          <w:color w:val="000000"/>
          <w:sz w:val="20"/>
          <w:szCs w:val="20"/>
        </w:rPr>
        <w:t>Suprafața UAT conform măsurătorilor limitelor UAT (2023) disponibile la</w:t>
      </w:r>
      <w:hyperlink r:id="rId60">
        <w:r>
          <w:rPr>
            <w:rFonts w:eastAsia="Times New Roman" w:cs="Times New Roman"/>
            <w:b/>
            <w:i/>
            <w:color w:val="000000"/>
            <w:sz w:val="20"/>
            <w:szCs w:val="20"/>
            <w:u w:val="single"/>
          </w:rPr>
          <w:t xml:space="preserve"> </w:t>
        </w:r>
      </w:hyperlink>
      <w:hyperlink r:id="rId61">
        <w:r>
          <w:rPr>
            <w:rFonts w:eastAsia="Times New Roman" w:cs="Times New Roman"/>
            <w:b/>
            <w:i/>
            <w:color w:val="1155CC"/>
            <w:sz w:val="20"/>
            <w:szCs w:val="20"/>
            <w:u w:val="single"/>
          </w:rPr>
          <w:t>https://geoportal.ancpi.ro/portal/apps/webappviewer/index.html?id=faeba2d173374445b1f13512bd477bb2</w:t>
        </w:r>
      </w:hyperlink>
    </w:p>
    <w:p w14:paraId="2B1F4AC7" w14:textId="77777777" w:rsidR="00D535CE" w:rsidRDefault="00D535CE" w:rsidP="00D535CE">
      <w:pPr>
        <w:ind w:firstLine="567"/>
        <w:rPr>
          <w:rFonts w:eastAsia="Times New Roman" w:cs="Times New Roman"/>
        </w:rPr>
      </w:pPr>
    </w:p>
    <w:p w14:paraId="6A8477A7" w14:textId="77777777" w:rsidR="00D535CE" w:rsidRDefault="00D535CE" w:rsidP="00314C19">
      <w:pPr>
        <w:spacing w:before="0"/>
        <w:ind w:firstLine="567"/>
        <w:rPr>
          <w:rFonts w:eastAsia="Times New Roman" w:cs="Times New Roman"/>
        </w:rPr>
      </w:pPr>
      <w:r>
        <w:rPr>
          <w:rFonts w:eastAsia="Times New Roman" w:cs="Times New Roman"/>
        </w:rPr>
        <w:t>Analiza documentațiilor PUG disponibile indică extinderea suprafețelor intravilane (construibile) în toate UAT-urile, astfel:</w:t>
      </w:r>
    </w:p>
    <w:p w14:paraId="76EF26D1" w14:textId="77777777" w:rsidR="00D535CE" w:rsidRDefault="00D535CE" w:rsidP="00314C19">
      <w:pPr>
        <w:spacing w:before="0"/>
        <w:ind w:firstLine="567"/>
        <w:rPr>
          <w:rFonts w:eastAsia="Times New Roman" w:cs="Times New Roman"/>
        </w:rPr>
      </w:pPr>
      <w:r>
        <w:rPr>
          <w:rFonts w:eastAsia="Times New Roman" w:cs="Times New Roman"/>
        </w:rPr>
        <w:t>- în sectorul nordic, cea mai mare creștere este prevăzută în Sfântu Gheorghe (62,31%), urmat de C.A.Rosetti (18,89%) și Murighiol (16,51%). Pentru Corbu, Istria și Săcele nu sunt date disponibile pentru calcularea procentului de creștere;</w:t>
      </w:r>
    </w:p>
    <w:p w14:paraId="4FB1285F" w14:textId="77777777" w:rsidR="00D535CE" w:rsidRDefault="00D535CE" w:rsidP="00314C19">
      <w:pPr>
        <w:spacing w:before="0"/>
        <w:ind w:firstLine="567"/>
        <w:rPr>
          <w:rFonts w:eastAsia="Times New Roman" w:cs="Times New Roman"/>
        </w:rPr>
      </w:pPr>
      <w:r>
        <w:rPr>
          <w:rFonts w:eastAsia="Times New Roman" w:cs="Times New Roman"/>
        </w:rPr>
        <w:t>- în sectorul sudic cele mai mari procente de creștere au fost prevăzute în Costinești (97,70%), Tuzla (68,06%) și Năvodari (56,34%). Pentru Agigea, deși nu există date disponibile referitoare la suprafața intravilanul existent la data actualizării PUG (2009), extinderea aprobată este consistentă. Techirghiol și Năvodari au documentații de actualizare PUG în curs de avizare și conform datelor disponibile în Rapoartele de mediu aferente documentațiilor sunt prevăzute noi extinderi ale intravilanului de 34,74% (Techirghiol), și 45,92% (Năvodari). Mangalia este singurul UAT care are o documentație PUG actualizată recent (2019) prin care a aprobat o extindere a intravilanului cu 22,46% față de cel existent. Se constată menținerea tendinței de creștere/extindere a intravilanelor inclusiv în cazul noilor documentații PUG aflate în curs de actualizare.</w:t>
      </w:r>
    </w:p>
    <w:p w14:paraId="5A669582" w14:textId="77777777" w:rsidR="00D535CE" w:rsidRDefault="00D535CE" w:rsidP="00314C19">
      <w:pPr>
        <w:spacing w:before="0"/>
        <w:ind w:firstLine="567"/>
        <w:rPr>
          <w:rFonts w:eastAsia="Times New Roman" w:cs="Times New Roman"/>
        </w:rPr>
      </w:pPr>
      <w:r>
        <w:rPr>
          <w:rFonts w:eastAsia="Times New Roman" w:cs="Times New Roman"/>
        </w:rPr>
        <w:t>Tendințe privind modul de ocupare a teritoriului în zona costieră</w:t>
      </w:r>
    </w:p>
    <w:p w14:paraId="2C8283A1" w14:textId="77777777" w:rsidR="00D535CE" w:rsidRDefault="00D535CE" w:rsidP="00314C19">
      <w:pPr>
        <w:spacing w:before="0"/>
        <w:ind w:firstLine="567"/>
        <w:rPr>
          <w:rFonts w:eastAsia="Times New Roman" w:cs="Times New Roman"/>
        </w:rPr>
      </w:pPr>
      <w:r>
        <w:rPr>
          <w:rFonts w:eastAsia="Times New Roman" w:cs="Times New Roman"/>
        </w:rPr>
        <w:t>Analiza datelor privind evoluția demografică și extinderea teritoriilor construite și destinate construirii arată următoarele tendințe privind procesul de urbanizare în zona costieră, așa cum este definită în prezentul studiu:</w:t>
      </w:r>
    </w:p>
    <w:p w14:paraId="26008471" w14:textId="77777777" w:rsidR="00D535CE" w:rsidRDefault="00D535CE" w:rsidP="00314C19">
      <w:pPr>
        <w:spacing w:before="0"/>
        <w:ind w:firstLine="567"/>
        <w:rPr>
          <w:rFonts w:eastAsia="Times New Roman" w:cs="Times New Roman"/>
        </w:rPr>
      </w:pPr>
      <w:r>
        <w:rPr>
          <w:rFonts w:eastAsia="Times New Roman" w:cs="Times New Roman"/>
        </w:rPr>
        <w:t>- există o  tendință de scădere a numărului de locuitori în partea nordică a Deltei Dunării, probabil datorită lipsei unor infrastructuri pentru facilitarea accesului;</w:t>
      </w:r>
    </w:p>
    <w:p w14:paraId="7CE5AB6E" w14:textId="77777777" w:rsidR="00D535CE" w:rsidRDefault="00D535CE" w:rsidP="00314C19">
      <w:pPr>
        <w:spacing w:before="0"/>
        <w:ind w:firstLine="567"/>
        <w:rPr>
          <w:rFonts w:eastAsia="Times New Roman" w:cs="Times New Roman"/>
        </w:rPr>
      </w:pPr>
      <w:r>
        <w:rPr>
          <w:rFonts w:eastAsia="Times New Roman" w:cs="Times New Roman"/>
        </w:rPr>
        <w:t>- UAT-urile din zona complexului Razim-Sinoe, unde există posibilități de acces, sunt atractive pentru locuitori și investitori, existând programe de finanțare pentru pensiuni, de exemplu, ceea ce poate asigura, cel puțin menținerea ponderii existente a teritoriului ocupat efectiv cu construcții în total UAT;</w:t>
      </w:r>
    </w:p>
    <w:p w14:paraId="11EE86A3" w14:textId="77777777" w:rsidR="00D535CE" w:rsidRDefault="00D535CE" w:rsidP="00314C19">
      <w:pPr>
        <w:spacing w:before="0"/>
        <w:ind w:firstLine="567"/>
        <w:rPr>
          <w:rFonts w:eastAsia="Times New Roman" w:cs="Times New Roman"/>
        </w:rPr>
      </w:pPr>
      <w:r>
        <w:rPr>
          <w:rFonts w:eastAsia="Times New Roman" w:cs="Times New Roman"/>
        </w:rPr>
        <w:t>- s-au aprobat, prin PUG-uri, extinderi ale tuturor intravilanelor, în toate UAT-urile, inclusiv în cele unde numărul de locuitori este în scădere;</w:t>
      </w:r>
    </w:p>
    <w:p w14:paraId="06AFCF72" w14:textId="77777777" w:rsidR="00D535CE" w:rsidRDefault="00D535CE" w:rsidP="00314C19">
      <w:pPr>
        <w:spacing w:before="0"/>
        <w:ind w:firstLine="567"/>
        <w:rPr>
          <w:rFonts w:eastAsia="Times New Roman" w:cs="Times New Roman"/>
        </w:rPr>
      </w:pPr>
      <w:r>
        <w:rPr>
          <w:rFonts w:eastAsia="Times New Roman" w:cs="Times New Roman"/>
        </w:rPr>
        <w:t>- în UAT-urile din sectorul Năvodari-Agigea, tendința istorică a fost de extindere a suprafețelor de teren ocupate efectiv cu construcții în zonele limitrofe liniei țărmului. PUG-urile în curs de actualizare prevăd extinderea în continuare a intravilanelor la Năvodari;</w:t>
      </w:r>
    </w:p>
    <w:p w14:paraId="21B5ECAE" w14:textId="77777777" w:rsidR="00D535CE" w:rsidRDefault="00D535CE" w:rsidP="00314C19">
      <w:pPr>
        <w:spacing w:before="0"/>
        <w:ind w:firstLine="567"/>
        <w:rPr>
          <w:rFonts w:eastAsia="Times New Roman" w:cs="Times New Roman"/>
        </w:rPr>
      </w:pPr>
      <w:r>
        <w:rPr>
          <w:rFonts w:eastAsia="Times New Roman" w:cs="Times New Roman"/>
        </w:rPr>
        <w:t xml:space="preserve">- în zona Eforie–Limanu, nu ar mai fi posibile extinderi ale zonelor construite decât în UAT Tuzla și 23 August. În UAT Eforie, care are cea mai mare pondere a terenurilor ocupate efectiv cu construcții, s-au epuizat rezervele de teren pentru extinderi. Se extind intravilanele în Tuzla, Costinesti, iar Mangalia are prevăzută o extindere a intravilanului cu 22,46%. În UAT </w:t>
      </w:r>
      <w:r>
        <w:rPr>
          <w:rFonts w:eastAsia="Times New Roman" w:cs="Times New Roman"/>
        </w:rPr>
        <w:lastRenderedPageBreak/>
        <w:t>Limanu, construcții noi pentru facilități de primire turistică se vor putea realiza prin extinderea intravilanelor dintre localitățile 2 Mai și Vama Veche.</w:t>
      </w:r>
    </w:p>
    <w:p w14:paraId="5B45A5C0" w14:textId="77777777" w:rsidR="00D535CE" w:rsidRDefault="00D535CE" w:rsidP="00314C19">
      <w:pPr>
        <w:spacing w:before="0"/>
        <w:ind w:firstLine="567"/>
        <w:rPr>
          <w:rFonts w:eastAsia="Times New Roman" w:cs="Times New Roman"/>
          <w:i/>
        </w:rPr>
      </w:pPr>
      <w:r>
        <w:rPr>
          <w:rFonts w:eastAsia="Times New Roman" w:cs="Times New Roman"/>
          <w:i/>
        </w:rPr>
        <w:t>Structura și tendințele dezvoltării zonelor funcționale din intravilanele din teritoriul zonei costiere</w:t>
      </w:r>
    </w:p>
    <w:p w14:paraId="19F4AF16" w14:textId="3E850A55" w:rsidR="00D535CE" w:rsidRDefault="00D535CE" w:rsidP="00314C19">
      <w:pPr>
        <w:spacing w:before="0"/>
        <w:ind w:firstLine="567"/>
        <w:rPr>
          <w:rFonts w:eastAsia="Times New Roman" w:cs="Times New Roman"/>
        </w:rPr>
      </w:pPr>
      <w:r>
        <w:rPr>
          <w:rFonts w:eastAsia="Times New Roman" w:cs="Times New Roman"/>
        </w:rPr>
        <w:t>Zonificarea este procesul prin care se stabilește modul de alocare a resurselor de teren pentru diferite tipuri de activități care generează sectoarele de activitate care, la rândul lor, definesc zonele funcționale. Această alocare a resurselor de teren se face prin instrumentele cu caracter de reglementare, respectiv Planurile Urbanistice Generale, al căror stadiu de elaborare/aprobare este arăta</w:t>
      </w:r>
      <w:r w:rsidR="00314C19">
        <w:rPr>
          <w:rFonts w:eastAsia="Times New Roman" w:cs="Times New Roman"/>
        </w:rPr>
        <w:t>t în Tabelul 2.4.8.8.1. În Anexa 8</w:t>
      </w:r>
      <w:r>
        <w:rPr>
          <w:rFonts w:eastAsia="Times New Roman" w:cs="Times New Roman"/>
        </w:rPr>
        <w:t xml:space="preserve"> sunt prezentate tipuri de activități în funcție de modul de utilizare a terenurilor situate la limita de contact cu zona costieră – sectorul Sudic (Capul Midia – Vama Veche).</w:t>
      </w:r>
    </w:p>
    <w:p w14:paraId="5AEDADE4" w14:textId="77777777" w:rsidR="00D535CE" w:rsidRDefault="00D535CE" w:rsidP="00314C19">
      <w:pPr>
        <w:spacing w:before="0"/>
        <w:ind w:firstLine="567"/>
        <w:rPr>
          <w:rFonts w:eastAsia="Times New Roman" w:cs="Times New Roman"/>
          <w:u w:val="single"/>
        </w:rPr>
      </w:pPr>
      <w:r>
        <w:rPr>
          <w:rFonts w:eastAsia="Times New Roman" w:cs="Times New Roman"/>
          <w:u w:val="single"/>
        </w:rPr>
        <w:t>Terenuri ocupate cu activități de locuire</w:t>
      </w:r>
    </w:p>
    <w:p w14:paraId="6B34E7EE" w14:textId="77777777" w:rsidR="00D535CE" w:rsidRDefault="00D535CE" w:rsidP="00314C19">
      <w:pPr>
        <w:spacing w:before="0"/>
        <w:ind w:firstLine="567"/>
        <w:rPr>
          <w:rFonts w:eastAsia="Times New Roman" w:cs="Times New Roman"/>
        </w:rPr>
      </w:pPr>
      <w:r>
        <w:rPr>
          <w:rFonts w:eastAsia="Times New Roman" w:cs="Times New Roman"/>
        </w:rPr>
        <w:t>În timp ce tendința generală în zona costieră este de scădere a numărului de locuitori, fondul total de locuinţe din zona costieră a crescut de la 296.701 unități în 1990, la 389.553 unități în 2021.</w:t>
      </w:r>
    </w:p>
    <w:p w14:paraId="67B28913" w14:textId="024736C6" w:rsidR="00D535CE" w:rsidRDefault="00D535CE" w:rsidP="00314C19">
      <w:pPr>
        <w:spacing w:before="0"/>
        <w:ind w:firstLine="567"/>
        <w:rPr>
          <w:rFonts w:eastAsia="Times New Roman" w:cs="Times New Roman"/>
        </w:rPr>
      </w:pPr>
      <w:r>
        <w:rPr>
          <w:rFonts w:eastAsia="Times New Roman" w:cs="Times New Roman"/>
        </w:rPr>
        <w:t xml:space="preserve">Analiza documentațiilor PUG disponibile indică creșterea suprafețelor de teren destinat activităților de locuire în toate UAT-urile (Tabel </w:t>
      </w:r>
      <w:r w:rsidR="00314C19">
        <w:rPr>
          <w:rFonts w:eastAsia="Times New Roman" w:cs="Times New Roman"/>
        </w:rPr>
        <w:t>2.4.8.8.</w:t>
      </w:r>
      <w:r>
        <w:rPr>
          <w:rFonts w:eastAsia="Times New Roman" w:cs="Times New Roman"/>
        </w:rPr>
        <w:t>5). În sectorul nordic al zonei costiere, cel mai mare procent de creștere a fost prevăzut în Sfântu Gheorghe (65,36 %), urmat de Murighiol (28,78 %) și C.A.Rosetti (21,88 %). Pentru Corbu, Istria și Săcele nu sunt date disponibile pentru calcularea procentului de creștere. Pentru Săcele conform datelor disponibile în Raportul de mediu pentru Actualizare PUG se propune o creștere cu 162,48 %. În sectorul sudic cele mai mari procente de creștere au fost prevăzute la Năvodari (87,45 %) și Agigea (62,01 %). Techirghiol și Năvodari au documentații de actualizare PUG în curs de avizare și conform datelor disponibile în Rapoartele de mediu aferente documentațiilor este prevăzută o creștere a suprafețelor de teren destinate locuințelor cu 26,94 % (Techirghiol) și o scădere cu -10,54 % (Năvodari). Mangalia a aprobat prin PUG 2019 o creștere cu 21 %.</w:t>
      </w:r>
    </w:p>
    <w:p w14:paraId="4741823B" w14:textId="77777777" w:rsidR="00D535CE" w:rsidRDefault="00D535CE" w:rsidP="00D535CE">
      <w:pPr>
        <w:ind w:firstLine="567"/>
        <w:rPr>
          <w:rFonts w:eastAsia="Times New Roman" w:cs="Times New Roman"/>
        </w:rPr>
      </w:pPr>
    </w:p>
    <w:p w14:paraId="372DF397" w14:textId="668F0E27" w:rsidR="00D535CE" w:rsidRDefault="00D535CE" w:rsidP="00D535CE">
      <w:pPr>
        <w:spacing w:line="240" w:lineRule="auto"/>
        <w:ind w:left="102"/>
        <w:jc w:val="center"/>
        <w:rPr>
          <w:rFonts w:eastAsia="Times New Roman" w:cs="Times New Roman"/>
        </w:rPr>
      </w:pPr>
      <w:bookmarkStart w:id="104" w:name="_heading=h.3fwokq0" w:colFirst="0" w:colLast="0"/>
      <w:bookmarkEnd w:id="104"/>
      <w:r>
        <w:rPr>
          <w:rFonts w:eastAsia="Times New Roman" w:cs="Times New Roman"/>
          <w:b/>
        </w:rPr>
        <w:t xml:space="preserve">Tabel </w:t>
      </w:r>
      <w:r w:rsidR="00314C19">
        <w:rPr>
          <w:rFonts w:eastAsia="Times New Roman" w:cs="Times New Roman"/>
          <w:b/>
        </w:rPr>
        <w:t>2.</w:t>
      </w:r>
      <w:r>
        <w:rPr>
          <w:rFonts w:eastAsia="Times New Roman" w:cs="Times New Roman"/>
          <w:b/>
        </w:rPr>
        <w:t>4.8.8.5 Zone cu activități de locuire (pe baza datelor din PUG-uri)</w:t>
      </w:r>
    </w:p>
    <w:tbl>
      <w:tblPr>
        <w:tblW w:w="9016" w:type="dxa"/>
        <w:jc w:val="center"/>
        <w:tblLayout w:type="fixed"/>
        <w:tblLook w:val="0400" w:firstRow="0" w:lastRow="0" w:firstColumn="0" w:lastColumn="0" w:noHBand="0" w:noVBand="1"/>
      </w:tblPr>
      <w:tblGrid>
        <w:gridCol w:w="1376"/>
        <w:gridCol w:w="1175"/>
        <w:gridCol w:w="959"/>
        <w:gridCol w:w="1398"/>
        <w:gridCol w:w="1328"/>
        <w:gridCol w:w="1324"/>
        <w:gridCol w:w="1456"/>
      </w:tblGrid>
      <w:tr w:rsidR="00D535CE" w:rsidRPr="00314C19" w14:paraId="360C6F02" w14:textId="77777777" w:rsidTr="00D46EB7">
        <w:trPr>
          <w:trHeight w:val="1175"/>
          <w:jc w:val="center"/>
        </w:trPr>
        <w:tc>
          <w:tcPr>
            <w:tcW w:w="1376" w:type="dxa"/>
            <w:tcBorders>
              <w:top w:val="single" w:sz="4"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78E6BFBE" w14:textId="77777777" w:rsidR="00D535CE" w:rsidRPr="00314C19" w:rsidRDefault="00D535CE" w:rsidP="00314C19">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UAT</w:t>
            </w:r>
          </w:p>
        </w:tc>
        <w:tc>
          <w:tcPr>
            <w:tcW w:w="1175" w:type="dxa"/>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56DEB3" w14:textId="77777777" w:rsidR="00D535CE" w:rsidRPr="00314C19" w:rsidRDefault="00D535CE" w:rsidP="00314C19">
            <w:pPr>
              <w:spacing w:after="0" w:line="240" w:lineRule="auto"/>
              <w:ind w:left="100" w:hanging="21"/>
              <w:rPr>
                <w:rFonts w:eastAsia="Times New Roman" w:cs="Times New Roman"/>
                <w:sz w:val="20"/>
                <w:szCs w:val="20"/>
              </w:rPr>
            </w:pPr>
            <w:r w:rsidRPr="00314C19">
              <w:rPr>
                <w:rFonts w:eastAsia="Times New Roman" w:cs="Times New Roman"/>
                <w:b/>
                <w:color w:val="000000"/>
                <w:sz w:val="20"/>
                <w:szCs w:val="20"/>
              </w:rPr>
              <w:t>Existent la data aprobării PUG (ha)</w:t>
            </w:r>
          </w:p>
        </w:tc>
        <w:tc>
          <w:tcPr>
            <w:tcW w:w="959" w:type="dxa"/>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AA4A79" w14:textId="77777777" w:rsidR="00D535CE" w:rsidRPr="00314C19" w:rsidRDefault="00D535CE" w:rsidP="00314C19">
            <w:pPr>
              <w:spacing w:after="0" w:line="240" w:lineRule="auto"/>
              <w:ind w:firstLine="38"/>
              <w:rPr>
                <w:rFonts w:eastAsia="Times New Roman" w:cs="Times New Roman"/>
                <w:sz w:val="20"/>
                <w:szCs w:val="20"/>
              </w:rPr>
            </w:pPr>
            <w:r w:rsidRPr="00314C19">
              <w:rPr>
                <w:rFonts w:eastAsia="Times New Roman" w:cs="Times New Roman"/>
                <w:b/>
                <w:color w:val="000000"/>
                <w:sz w:val="20"/>
                <w:szCs w:val="20"/>
              </w:rPr>
              <w:t>Aprobat prin PUG (ha)</w:t>
            </w:r>
          </w:p>
        </w:tc>
        <w:tc>
          <w:tcPr>
            <w:tcW w:w="1398" w:type="dxa"/>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F7EECF" w14:textId="77777777" w:rsidR="00D535CE" w:rsidRPr="00314C19" w:rsidRDefault="00D535CE" w:rsidP="00314C19">
            <w:pPr>
              <w:spacing w:after="0" w:line="240" w:lineRule="auto"/>
              <w:ind w:left="100" w:hanging="29"/>
              <w:rPr>
                <w:rFonts w:eastAsia="Times New Roman" w:cs="Times New Roman"/>
                <w:sz w:val="20"/>
                <w:szCs w:val="20"/>
              </w:rPr>
            </w:pPr>
            <w:r w:rsidRPr="00314C19">
              <w:rPr>
                <w:rFonts w:eastAsia="Times New Roman" w:cs="Times New Roman"/>
                <w:b/>
                <w:color w:val="000000"/>
                <w:sz w:val="20"/>
                <w:szCs w:val="20"/>
              </w:rPr>
              <w:t>Aprobat prin PUZ extindere intravilan/ /modificare PUG (ha)</w:t>
            </w:r>
          </w:p>
        </w:tc>
        <w:tc>
          <w:tcPr>
            <w:tcW w:w="1328" w:type="dxa"/>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912F6D" w14:textId="77777777" w:rsidR="00D535CE" w:rsidRPr="00314C19" w:rsidRDefault="00D535CE" w:rsidP="00314C19">
            <w:pPr>
              <w:spacing w:after="0" w:line="240" w:lineRule="auto"/>
              <w:ind w:left="100" w:hanging="10"/>
              <w:rPr>
                <w:rFonts w:eastAsia="Times New Roman" w:cs="Times New Roman"/>
                <w:sz w:val="20"/>
                <w:szCs w:val="20"/>
              </w:rPr>
            </w:pPr>
            <w:r w:rsidRPr="00314C19">
              <w:rPr>
                <w:rFonts w:eastAsia="Times New Roman" w:cs="Times New Roman"/>
                <w:b/>
                <w:color w:val="000000"/>
                <w:sz w:val="20"/>
                <w:szCs w:val="20"/>
              </w:rPr>
              <w:t>Existentla data actualizării PUG (ha)</w:t>
            </w:r>
          </w:p>
        </w:tc>
        <w:tc>
          <w:tcPr>
            <w:tcW w:w="1324" w:type="dxa"/>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D5333A" w14:textId="77777777" w:rsidR="00D535CE" w:rsidRPr="00314C19" w:rsidRDefault="00D535CE" w:rsidP="00314C19">
            <w:pPr>
              <w:spacing w:after="0" w:line="240" w:lineRule="auto"/>
              <w:ind w:left="100" w:hanging="62"/>
              <w:rPr>
                <w:rFonts w:eastAsia="Times New Roman" w:cs="Times New Roman"/>
                <w:sz w:val="20"/>
                <w:szCs w:val="20"/>
              </w:rPr>
            </w:pPr>
            <w:r w:rsidRPr="00314C19">
              <w:rPr>
                <w:rFonts w:eastAsia="Times New Roman" w:cs="Times New Roman"/>
                <w:b/>
                <w:color w:val="000000"/>
                <w:sz w:val="20"/>
                <w:szCs w:val="20"/>
              </w:rPr>
              <w:t>Propus prin PUG în curs de actualizare (ha)</w:t>
            </w:r>
          </w:p>
        </w:tc>
        <w:tc>
          <w:tcPr>
            <w:tcW w:w="1456" w:type="dxa"/>
            <w:tcBorders>
              <w:top w:val="single" w:sz="4"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711B0E9C" w14:textId="77777777" w:rsidR="00D535CE" w:rsidRPr="00314C19" w:rsidRDefault="00D535CE" w:rsidP="00314C19">
            <w:pPr>
              <w:spacing w:after="0" w:line="240" w:lineRule="auto"/>
              <w:ind w:left="100" w:hanging="100"/>
              <w:rPr>
                <w:rFonts w:eastAsia="Times New Roman" w:cs="Times New Roman"/>
                <w:sz w:val="20"/>
                <w:szCs w:val="20"/>
              </w:rPr>
            </w:pPr>
            <w:r w:rsidRPr="00314C19">
              <w:rPr>
                <w:rFonts w:eastAsia="Times New Roman" w:cs="Times New Roman"/>
                <w:b/>
                <w:color w:val="000000"/>
                <w:sz w:val="20"/>
                <w:szCs w:val="20"/>
              </w:rPr>
              <w:t>Observații</w:t>
            </w:r>
          </w:p>
        </w:tc>
      </w:tr>
      <w:tr w:rsidR="00D535CE" w:rsidRPr="00314C19" w14:paraId="7C13A072" w14:textId="77777777" w:rsidTr="00D46EB7">
        <w:trPr>
          <w:trHeight w:val="235"/>
          <w:jc w:val="center"/>
        </w:trPr>
        <w:tc>
          <w:tcPr>
            <w:tcW w:w="1376"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160B6EC7" w14:textId="77777777" w:rsidR="00D535CE" w:rsidRPr="00314C19" w:rsidRDefault="00D535CE" w:rsidP="00314C19">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C.A.Rosetti</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A593F8" w14:textId="77777777" w:rsidR="00D535CE" w:rsidRPr="00314C19" w:rsidRDefault="00D535CE" w:rsidP="00314C19">
            <w:pPr>
              <w:spacing w:after="0" w:line="240" w:lineRule="auto"/>
              <w:ind w:left="100" w:hanging="21"/>
              <w:rPr>
                <w:rFonts w:eastAsia="Times New Roman" w:cs="Times New Roman"/>
                <w:sz w:val="20"/>
                <w:szCs w:val="20"/>
              </w:rPr>
            </w:pPr>
            <w:r w:rsidRPr="00314C19">
              <w:rPr>
                <w:rFonts w:eastAsia="Times New Roman" w:cs="Times New Roman"/>
                <w:color w:val="000000"/>
                <w:sz w:val="20"/>
                <w:szCs w:val="20"/>
              </w:rPr>
              <w:t>513,02</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2A7C78" w14:textId="77777777" w:rsidR="00D535CE" w:rsidRPr="00314C19" w:rsidRDefault="00D535CE" w:rsidP="00314C19">
            <w:pPr>
              <w:spacing w:after="0" w:line="240" w:lineRule="auto"/>
              <w:ind w:left="100" w:firstLine="38"/>
              <w:rPr>
                <w:rFonts w:eastAsia="Times New Roman" w:cs="Times New Roman"/>
                <w:sz w:val="20"/>
                <w:szCs w:val="20"/>
              </w:rPr>
            </w:pPr>
            <w:r w:rsidRPr="00314C19">
              <w:rPr>
                <w:rFonts w:eastAsia="Times New Roman" w:cs="Times New Roman"/>
                <w:color w:val="000000"/>
                <w:sz w:val="20"/>
                <w:szCs w:val="20"/>
              </w:rPr>
              <w:t>625,27</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F5C63B" w14:textId="77777777" w:rsidR="00D535CE" w:rsidRPr="00314C19" w:rsidRDefault="00D535CE" w:rsidP="00314C19">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C2BFF2" w14:textId="77777777" w:rsidR="00D535CE" w:rsidRPr="00314C19" w:rsidRDefault="00D535CE" w:rsidP="00314C19">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 </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4A59B7" w14:textId="77777777" w:rsidR="00D535CE" w:rsidRPr="00314C19" w:rsidRDefault="00D535CE" w:rsidP="00314C19">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 </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1E60A12B" w14:textId="77777777" w:rsidR="00D535CE" w:rsidRPr="00314C19" w:rsidRDefault="00D535CE" w:rsidP="00314C19">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D535CE" w:rsidRPr="00314C19" w14:paraId="50E0EE77" w14:textId="77777777" w:rsidTr="00D46EB7">
        <w:trPr>
          <w:trHeight w:val="229"/>
          <w:jc w:val="center"/>
        </w:trPr>
        <w:tc>
          <w:tcPr>
            <w:tcW w:w="1376"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17FF2D9A" w14:textId="77777777" w:rsidR="00D535CE" w:rsidRPr="00314C19" w:rsidRDefault="00D535CE" w:rsidP="00314C19">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Sulina</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852DE9" w14:textId="77777777" w:rsidR="00D535CE" w:rsidRPr="00314C19" w:rsidRDefault="00D535CE" w:rsidP="00314C19">
            <w:pPr>
              <w:spacing w:after="0" w:line="240" w:lineRule="auto"/>
              <w:ind w:left="100" w:hanging="21"/>
              <w:rPr>
                <w:rFonts w:eastAsia="Times New Roman" w:cs="Times New Roman"/>
                <w:sz w:val="20"/>
                <w:szCs w:val="20"/>
              </w:rPr>
            </w:pPr>
            <w:r w:rsidRPr="00314C19">
              <w:rPr>
                <w:rFonts w:eastAsia="Times New Roman" w:cs="Times New Roman"/>
                <w:color w:val="000000"/>
                <w:sz w:val="20"/>
                <w:szCs w:val="20"/>
              </w:rPr>
              <w:t>70,94</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3F09A1" w14:textId="77777777" w:rsidR="00D535CE" w:rsidRPr="00314C19" w:rsidRDefault="00D535CE" w:rsidP="00314C19">
            <w:pPr>
              <w:spacing w:after="0" w:line="240" w:lineRule="auto"/>
              <w:ind w:left="100" w:firstLine="38"/>
              <w:rPr>
                <w:rFonts w:eastAsia="Times New Roman" w:cs="Times New Roman"/>
                <w:sz w:val="20"/>
                <w:szCs w:val="20"/>
              </w:rPr>
            </w:pPr>
            <w:r w:rsidRPr="00314C19">
              <w:rPr>
                <w:rFonts w:eastAsia="Times New Roman" w:cs="Times New Roman"/>
                <w:color w:val="000000"/>
                <w:sz w:val="20"/>
                <w:szCs w:val="20"/>
              </w:rPr>
              <w:t>80,43</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6131FD" w14:textId="77777777" w:rsidR="00D535CE" w:rsidRPr="00314C19" w:rsidRDefault="00D535CE" w:rsidP="00314C19">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C7A234" w14:textId="77777777" w:rsidR="00D535CE" w:rsidRPr="00314C19" w:rsidRDefault="00D535CE" w:rsidP="00314C19">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 </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A6A94A" w14:textId="77777777" w:rsidR="00D535CE" w:rsidRPr="00314C19" w:rsidRDefault="00D535CE" w:rsidP="00314C19">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 </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30B95439" w14:textId="77777777" w:rsidR="00D535CE" w:rsidRPr="00314C19" w:rsidRDefault="00D535CE" w:rsidP="00314C19">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D535CE" w:rsidRPr="00314C19" w14:paraId="610A0E7F" w14:textId="77777777" w:rsidTr="00D46EB7">
        <w:trPr>
          <w:trHeight w:val="223"/>
          <w:jc w:val="center"/>
        </w:trPr>
        <w:tc>
          <w:tcPr>
            <w:tcW w:w="1376"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60292A50" w14:textId="77777777" w:rsidR="00D535CE" w:rsidRPr="00314C19" w:rsidRDefault="00D535CE" w:rsidP="00314C19">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Sf.Gheorghe</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492C29" w14:textId="77777777" w:rsidR="00D535CE" w:rsidRPr="00314C19" w:rsidRDefault="00D535CE" w:rsidP="00314C19">
            <w:pPr>
              <w:spacing w:after="0" w:line="240" w:lineRule="auto"/>
              <w:ind w:left="100" w:hanging="21"/>
              <w:rPr>
                <w:rFonts w:eastAsia="Times New Roman" w:cs="Times New Roman"/>
                <w:sz w:val="20"/>
                <w:szCs w:val="20"/>
              </w:rPr>
            </w:pPr>
            <w:r w:rsidRPr="00314C19">
              <w:rPr>
                <w:rFonts w:eastAsia="Times New Roman" w:cs="Times New Roman"/>
                <w:color w:val="000000"/>
                <w:sz w:val="20"/>
                <w:szCs w:val="20"/>
              </w:rPr>
              <w:t>51,64</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2FE65A" w14:textId="77777777" w:rsidR="00D535CE" w:rsidRPr="00314C19" w:rsidRDefault="00D535CE" w:rsidP="00314C19">
            <w:pPr>
              <w:spacing w:after="0" w:line="240" w:lineRule="auto"/>
              <w:ind w:left="100" w:firstLine="38"/>
              <w:rPr>
                <w:rFonts w:eastAsia="Times New Roman" w:cs="Times New Roman"/>
                <w:sz w:val="20"/>
                <w:szCs w:val="20"/>
              </w:rPr>
            </w:pPr>
            <w:r w:rsidRPr="00314C19">
              <w:rPr>
                <w:rFonts w:eastAsia="Times New Roman" w:cs="Times New Roman"/>
                <w:color w:val="000000"/>
                <w:sz w:val="20"/>
                <w:szCs w:val="20"/>
              </w:rPr>
              <w:t>85,39</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A4F326" w14:textId="77777777" w:rsidR="00D535CE" w:rsidRPr="00314C19" w:rsidRDefault="00D535CE" w:rsidP="00314C19">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10B439" w14:textId="77777777" w:rsidR="00D535CE" w:rsidRPr="00314C19" w:rsidRDefault="00D535CE" w:rsidP="00314C19">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 </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DECA1F" w14:textId="77777777" w:rsidR="00D535CE" w:rsidRPr="00314C19" w:rsidRDefault="00D535CE" w:rsidP="00314C19">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 </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3FFCD1D1" w14:textId="77777777" w:rsidR="00D535CE" w:rsidRPr="00314C19" w:rsidRDefault="00D535CE" w:rsidP="00314C19">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D535CE" w:rsidRPr="00314C19" w14:paraId="4F551D89" w14:textId="77777777" w:rsidTr="00D46EB7">
        <w:trPr>
          <w:trHeight w:val="231"/>
          <w:jc w:val="center"/>
        </w:trPr>
        <w:tc>
          <w:tcPr>
            <w:tcW w:w="1376"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59DB1A97" w14:textId="77777777" w:rsidR="00D535CE" w:rsidRPr="00314C19" w:rsidRDefault="00D535CE" w:rsidP="00314C19">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Murighiol</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9807BE" w14:textId="77777777" w:rsidR="00D535CE" w:rsidRPr="00314C19" w:rsidRDefault="00D535CE" w:rsidP="00314C19">
            <w:pPr>
              <w:spacing w:after="0" w:line="240" w:lineRule="auto"/>
              <w:ind w:left="100" w:hanging="21"/>
              <w:rPr>
                <w:rFonts w:eastAsia="Times New Roman" w:cs="Times New Roman"/>
                <w:sz w:val="20"/>
                <w:szCs w:val="20"/>
              </w:rPr>
            </w:pPr>
            <w:r w:rsidRPr="00314C19">
              <w:rPr>
                <w:rFonts w:eastAsia="Times New Roman" w:cs="Times New Roman"/>
                <w:color w:val="000000"/>
                <w:sz w:val="20"/>
                <w:szCs w:val="20"/>
              </w:rPr>
              <w:t>500,14</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6DEBA5" w14:textId="77777777" w:rsidR="00D535CE" w:rsidRPr="00314C19" w:rsidRDefault="00D535CE" w:rsidP="00314C19">
            <w:pPr>
              <w:spacing w:after="0" w:line="240" w:lineRule="auto"/>
              <w:ind w:left="100" w:firstLine="38"/>
              <w:rPr>
                <w:rFonts w:eastAsia="Times New Roman" w:cs="Times New Roman"/>
                <w:sz w:val="20"/>
                <w:szCs w:val="20"/>
              </w:rPr>
            </w:pPr>
            <w:r w:rsidRPr="00314C19">
              <w:rPr>
                <w:rFonts w:eastAsia="Times New Roman" w:cs="Times New Roman"/>
                <w:color w:val="000000"/>
                <w:sz w:val="20"/>
                <w:szCs w:val="20"/>
              </w:rPr>
              <w:t>644,07</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F62129" w14:textId="77777777" w:rsidR="00D535CE" w:rsidRPr="00314C19" w:rsidRDefault="00D535CE" w:rsidP="00314C19">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63046C" w14:textId="77777777" w:rsidR="00D535CE" w:rsidRPr="00314C19" w:rsidRDefault="00D535CE" w:rsidP="00314C19">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 </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AD9DF8" w14:textId="77777777" w:rsidR="00D535CE" w:rsidRPr="00314C19" w:rsidRDefault="00D535CE" w:rsidP="00314C19">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 </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6491FAF3" w14:textId="77777777" w:rsidR="00D535CE" w:rsidRPr="00314C19" w:rsidRDefault="00D535CE" w:rsidP="00314C19">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D535CE" w:rsidRPr="00314C19" w14:paraId="5B91DB46" w14:textId="77777777" w:rsidTr="00D46EB7">
        <w:trPr>
          <w:trHeight w:val="336"/>
          <w:jc w:val="center"/>
        </w:trPr>
        <w:tc>
          <w:tcPr>
            <w:tcW w:w="1376"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0F5AE1C5" w14:textId="77777777" w:rsidR="00D535CE" w:rsidRPr="00314C19" w:rsidRDefault="00D535CE" w:rsidP="00314C19">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lastRenderedPageBreak/>
              <w:t>Jurilovca</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94039B" w14:textId="77777777" w:rsidR="00D535CE" w:rsidRPr="00314C19" w:rsidRDefault="00D535CE" w:rsidP="00314C19">
            <w:pPr>
              <w:spacing w:after="0" w:line="240" w:lineRule="auto"/>
              <w:ind w:left="100" w:hanging="21"/>
              <w:rPr>
                <w:rFonts w:eastAsia="Times New Roman" w:cs="Times New Roman"/>
                <w:sz w:val="20"/>
                <w:szCs w:val="20"/>
              </w:rPr>
            </w:pPr>
            <w:r w:rsidRPr="00314C19">
              <w:rPr>
                <w:rFonts w:eastAsia="Times New Roman" w:cs="Times New Roman"/>
                <w:color w:val="000000"/>
                <w:sz w:val="20"/>
                <w:szCs w:val="20"/>
              </w:rPr>
              <w:t>455,63</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5B1E43" w14:textId="77777777" w:rsidR="00D535CE" w:rsidRPr="00314C19" w:rsidRDefault="00D535CE" w:rsidP="00314C19">
            <w:pPr>
              <w:spacing w:after="0" w:line="240" w:lineRule="auto"/>
              <w:ind w:left="100" w:firstLine="38"/>
              <w:rPr>
                <w:rFonts w:eastAsia="Times New Roman" w:cs="Times New Roman"/>
                <w:sz w:val="20"/>
                <w:szCs w:val="20"/>
              </w:rPr>
            </w:pPr>
            <w:r w:rsidRPr="00314C19">
              <w:rPr>
                <w:rFonts w:eastAsia="Times New Roman" w:cs="Times New Roman"/>
                <w:color w:val="000000"/>
                <w:sz w:val="20"/>
                <w:szCs w:val="20"/>
              </w:rPr>
              <w:t>467,99</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A4B8B8" w14:textId="77777777" w:rsidR="00D535CE" w:rsidRPr="00314C19" w:rsidRDefault="00D535CE" w:rsidP="00314C19">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4F5683" w14:textId="77777777" w:rsidR="00D535CE" w:rsidRPr="00314C19" w:rsidRDefault="00D535CE" w:rsidP="00314C19">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 </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B6E078" w14:textId="77777777" w:rsidR="00D535CE" w:rsidRPr="00314C19" w:rsidRDefault="00D535CE" w:rsidP="00314C19">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 </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01CE1F42" w14:textId="77777777" w:rsidR="00D535CE" w:rsidRPr="00314C19" w:rsidRDefault="00D535CE" w:rsidP="00314C19">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D535CE" w:rsidRPr="00314C19" w14:paraId="3B0322C9" w14:textId="77777777" w:rsidTr="00D46EB7">
        <w:trPr>
          <w:trHeight w:val="410"/>
          <w:jc w:val="center"/>
        </w:trPr>
        <w:tc>
          <w:tcPr>
            <w:tcW w:w="1376"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05960465" w14:textId="77777777" w:rsidR="00D535CE" w:rsidRPr="00314C19" w:rsidRDefault="00D535CE" w:rsidP="00314C19">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Mihai Viteazu</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3359C0" w14:textId="77777777" w:rsidR="00D535CE" w:rsidRPr="00314C19" w:rsidRDefault="00D535CE" w:rsidP="00314C19">
            <w:pPr>
              <w:spacing w:after="0" w:line="240" w:lineRule="auto"/>
              <w:ind w:left="100" w:hanging="21"/>
              <w:rPr>
                <w:rFonts w:eastAsia="Times New Roman" w:cs="Times New Roman"/>
                <w:sz w:val="20"/>
                <w:szCs w:val="20"/>
              </w:rPr>
            </w:pPr>
            <w:r w:rsidRPr="00314C19">
              <w:rPr>
                <w:rFonts w:eastAsia="Times New Roman" w:cs="Times New Roman"/>
                <w:i/>
                <w:color w:val="000000"/>
                <w:sz w:val="20"/>
                <w:szCs w:val="20"/>
              </w:rPr>
              <w:t>lipsă date</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070A65" w14:textId="77777777" w:rsidR="00D535CE" w:rsidRPr="00314C19" w:rsidRDefault="00D535CE" w:rsidP="00314C19">
            <w:pPr>
              <w:spacing w:after="0" w:line="240" w:lineRule="auto"/>
              <w:ind w:left="100" w:firstLine="38"/>
              <w:rPr>
                <w:rFonts w:eastAsia="Times New Roman" w:cs="Times New Roman"/>
                <w:sz w:val="20"/>
                <w:szCs w:val="20"/>
              </w:rPr>
            </w:pPr>
            <w:r w:rsidRPr="00314C19">
              <w:rPr>
                <w:rFonts w:eastAsia="Times New Roman" w:cs="Times New Roman"/>
                <w:color w:val="000000"/>
                <w:sz w:val="20"/>
                <w:szCs w:val="20"/>
              </w:rPr>
              <w:t>414,59</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2690E6" w14:textId="77777777" w:rsidR="00D535CE" w:rsidRPr="00314C19" w:rsidRDefault="00D535CE" w:rsidP="00314C19">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91709E" w14:textId="77777777" w:rsidR="00D535CE" w:rsidRPr="00314C19" w:rsidRDefault="00D535CE" w:rsidP="00314C19">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 </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9A258E" w14:textId="77777777" w:rsidR="00D535CE" w:rsidRPr="00314C19" w:rsidRDefault="00D535CE" w:rsidP="00314C19">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 </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399F9AD1" w14:textId="77777777" w:rsidR="00D535CE" w:rsidRPr="00314C19" w:rsidRDefault="00D535CE" w:rsidP="00314C19">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D535CE" w:rsidRPr="00314C19" w14:paraId="52E543DC" w14:textId="77777777" w:rsidTr="00D46EB7">
        <w:trPr>
          <w:trHeight w:val="410"/>
          <w:jc w:val="center"/>
        </w:trPr>
        <w:tc>
          <w:tcPr>
            <w:tcW w:w="1376"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025A5137" w14:textId="77777777" w:rsidR="00D535CE" w:rsidRPr="00314C19" w:rsidRDefault="00D535CE" w:rsidP="00314C19">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Istria</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EA5670" w14:textId="77777777" w:rsidR="00D535CE" w:rsidRPr="00314C19" w:rsidRDefault="00D535CE" w:rsidP="00314C19">
            <w:pPr>
              <w:spacing w:after="0" w:line="240" w:lineRule="auto"/>
              <w:ind w:left="100" w:hanging="21"/>
              <w:rPr>
                <w:rFonts w:eastAsia="Times New Roman" w:cs="Times New Roman"/>
                <w:sz w:val="20"/>
                <w:szCs w:val="20"/>
              </w:rPr>
            </w:pPr>
            <w:r w:rsidRPr="00314C19">
              <w:rPr>
                <w:rFonts w:eastAsia="Times New Roman" w:cs="Times New Roman"/>
                <w:i/>
                <w:color w:val="000000"/>
                <w:sz w:val="20"/>
                <w:szCs w:val="20"/>
              </w:rPr>
              <w:t>lipsă date</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02EE05" w14:textId="77777777" w:rsidR="00D535CE" w:rsidRPr="00314C19" w:rsidRDefault="00D535CE" w:rsidP="00314C19">
            <w:pPr>
              <w:spacing w:after="0" w:line="240" w:lineRule="auto"/>
              <w:ind w:left="100" w:firstLine="38"/>
              <w:rPr>
                <w:rFonts w:eastAsia="Times New Roman" w:cs="Times New Roman"/>
                <w:sz w:val="20"/>
                <w:szCs w:val="20"/>
              </w:rPr>
            </w:pPr>
            <w:r w:rsidRPr="00314C19">
              <w:rPr>
                <w:rFonts w:eastAsia="Times New Roman" w:cs="Times New Roman"/>
                <w:i/>
                <w:color w:val="000000"/>
                <w:sz w:val="20"/>
                <w:szCs w:val="20"/>
              </w:rPr>
              <w:t>lipsă date</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71EC70" w14:textId="77777777" w:rsidR="00D535CE" w:rsidRPr="00314C19" w:rsidRDefault="00D535CE" w:rsidP="00314C19">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886E7D" w14:textId="77777777" w:rsidR="00D535CE" w:rsidRPr="00314C19" w:rsidRDefault="00D535CE" w:rsidP="00314C19">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 </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038E2D" w14:textId="77777777" w:rsidR="00D535CE" w:rsidRPr="00314C19" w:rsidRDefault="00D535CE" w:rsidP="00314C19">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 </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0A7202E2" w14:textId="77777777" w:rsidR="00D535CE" w:rsidRPr="00314C19" w:rsidRDefault="00D535CE" w:rsidP="00314C19">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D535CE" w:rsidRPr="00314C19" w14:paraId="6ECF8389" w14:textId="77777777" w:rsidTr="00D46EB7">
        <w:trPr>
          <w:trHeight w:val="410"/>
          <w:jc w:val="center"/>
        </w:trPr>
        <w:tc>
          <w:tcPr>
            <w:tcW w:w="1376"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40692BC2" w14:textId="77777777" w:rsidR="00D535CE" w:rsidRPr="00314C19" w:rsidRDefault="00D535CE" w:rsidP="00314C19">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Săcele</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C08D57" w14:textId="77777777" w:rsidR="00D535CE" w:rsidRPr="00314C19" w:rsidRDefault="00D535CE" w:rsidP="00314C19">
            <w:pPr>
              <w:spacing w:after="0" w:line="240" w:lineRule="auto"/>
              <w:ind w:left="100" w:hanging="21"/>
              <w:rPr>
                <w:rFonts w:eastAsia="Times New Roman" w:cs="Times New Roman"/>
                <w:sz w:val="20"/>
                <w:szCs w:val="20"/>
              </w:rPr>
            </w:pPr>
            <w:r w:rsidRPr="00314C19">
              <w:rPr>
                <w:rFonts w:eastAsia="Times New Roman" w:cs="Times New Roman"/>
                <w:i/>
                <w:color w:val="000000"/>
                <w:sz w:val="20"/>
                <w:szCs w:val="20"/>
              </w:rPr>
              <w:t>lipsă date</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FB109A" w14:textId="77777777" w:rsidR="00D535CE" w:rsidRPr="00314C19" w:rsidRDefault="00D535CE" w:rsidP="00314C19">
            <w:pPr>
              <w:spacing w:after="0" w:line="240" w:lineRule="auto"/>
              <w:ind w:left="100" w:firstLine="38"/>
              <w:rPr>
                <w:rFonts w:eastAsia="Times New Roman" w:cs="Times New Roman"/>
                <w:sz w:val="20"/>
                <w:szCs w:val="20"/>
              </w:rPr>
            </w:pPr>
            <w:r w:rsidRPr="00314C19">
              <w:rPr>
                <w:rFonts w:eastAsia="Times New Roman" w:cs="Times New Roman"/>
                <w:i/>
                <w:color w:val="000000"/>
                <w:sz w:val="20"/>
                <w:szCs w:val="20"/>
              </w:rPr>
              <w:t>lipsă date</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B8E786" w14:textId="77777777" w:rsidR="00D535CE" w:rsidRPr="00314C19" w:rsidRDefault="00D535CE" w:rsidP="00314C19">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96B1A8" w14:textId="77777777" w:rsidR="00D535CE" w:rsidRPr="00314C19" w:rsidRDefault="00D535CE" w:rsidP="00314C19">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95,72</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2A59CB" w14:textId="77777777" w:rsidR="00D535CE" w:rsidRPr="00314C19" w:rsidRDefault="00D535CE" w:rsidP="00314C19">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251,25</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33C384EF" w14:textId="77777777" w:rsidR="00D535CE" w:rsidRPr="00314C19" w:rsidRDefault="00D535CE" w:rsidP="00314C19">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D535CE" w:rsidRPr="00314C19" w14:paraId="183A0A87" w14:textId="77777777" w:rsidTr="00D46EB7">
        <w:trPr>
          <w:trHeight w:val="410"/>
          <w:jc w:val="center"/>
        </w:trPr>
        <w:tc>
          <w:tcPr>
            <w:tcW w:w="1376"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29F6203F" w14:textId="77777777" w:rsidR="00D535CE" w:rsidRPr="00314C19" w:rsidRDefault="00D535CE" w:rsidP="00314C19">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Corbu</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3FE5EE" w14:textId="77777777" w:rsidR="00D535CE" w:rsidRPr="00314C19" w:rsidRDefault="00D535CE" w:rsidP="00314C19">
            <w:pPr>
              <w:spacing w:after="0" w:line="240" w:lineRule="auto"/>
              <w:ind w:left="100" w:hanging="21"/>
              <w:rPr>
                <w:rFonts w:eastAsia="Times New Roman" w:cs="Times New Roman"/>
                <w:sz w:val="20"/>
                <w:szCs w:val="20"/>
              </w:rPr>
            </w:pPr>
            <w:r w:rsidRPr="00314C19">
              <w:rPr>
                <w:rFonts w:eastAsia="Times New Roman" w:cs="Times New Roman"/>
                <w:i/>
                <w:color w:val="000000"/>
                <w:sz w:val="20"/>
                <w:szCs w:val="20"/>
              </w:rPr>
              <w:t>lipsă date</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64BB85" w14:textId="77777777" w:rsidR="00D535CE" w:rsidRPr="00314C19" w:rsidRDefault="00D535CE" w:rsidP="00314C19">
            <w:pPr>
              <w:spacing w:after="0" w:line="240" w:lineRule="auto"/>
              <w:ind w:left="100" w:firstLine="38"/>
              <w:rPr>
                <w:rFonts w:eastAsia="Times New Roman" w:cs="Times New Roman"/>
                <w:sz w:val="20"/>
                <w:szCs w:val="20"/>
              </w:rPr>
            </w:pPr>
            <w:r w:rsidRPr="00314C19">
              <w:rPr>
                <w:rFonts w:eastAsia="Times New Roman" w:cs="Times New Roman"/>
                <w:i/>
                <w:color w:val="000000"/>
                <w:sz w:val="20"/>
                <w:szCs w:val="20"/>
              </w:rPr>
              <w:t>lipsă date</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7AB1E9" w14:textId="77777777" w:rsidR="00D535CE" w:rsidRPr="00314C19" w:rsidRDefault="00D535CE" w:rsidP="00314C19">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081442" w14:textId="77777777" w:rsidR="00D535CE" w:rsidRPr="00314C19" w:rsidRDefault="00D535CE" w:rsidP="00314C19">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 </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FDEEF0" w14:textId="77777777" w:rsidR="00D535CE" w:rsidRPr="00314C19" w:rsidRDefault="00D535CE" w:rsidP="00314C19">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 </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6DC4212F" w14:textId="77777777" w:rsidR="00D535CE" w:rsidRPr="00314C19" w:rsidRDefault="00D535CE" w:rsidP="00314C19">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D535CE" w:rsidRPr="00314C19" w14:paraId="41277BEF" w14:textId="77777777" w:rsidTr="00D46EB7">
        <w:trPr>
          <w:trHeight w:val="185"/>
          <w:jc w:val="center"/>
        </w:trPr>
        <w:tc>
          <w:tcPr>
            <w:tcW w:w="1376"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05B299AA" w14:textId="77777777" w:rsidR="00D535CE" w:rsidRPr="00314C19" w:rsidRDefault="00D535CE" w:rsidP="00314C19">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Năvodari</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BDC036" w14:textId="77777777" w:rsidR="00D535CE" w:rsidRPr="00314C19" w:rsidRDefault="00D535CE" w:rsidP="00314C19">
            <w:pPr>
              <w:spacing w:after="0" w:line="240" w:lineRule="auto"/>
              <w:ind w:left="100" w:hanging="21"/>
              <w:rPr>
                <w:rFonts w:eastAsia="Times New Roman" w:cs="Times New Roman"/>
                <w:sz w:val="20"/>
                <w:szCs w:val="20"/>
              </w:rPr>
            </w:pPr>
            <w:r w:rsidRPr="00314C19">
              <w:rPr>
                <w:rFonts w:eastAsia="Times New Roman" w:cs="Times New Roman"/>
                <w:color w:val="000000"/>
                <w:sz w:val="20"/>
                <w:szCs w:val="20"/>
              </w:rPr>
              <w:t>253,91</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83ACF7" w14:textId="77777777" w:rsidR="00D535CE" w:rsidRPr="00314C19" w:rsidRDefault="00D535CE" w:rsidP="00314C19">
            <w:pPr>
              <w:spacing w:after="0" w:line="240" w:lineRule="auto"/>
              <w:ind w:left="100" w:firstLine="38"/>
              <w:rPr>
                <w:rFonts w:eastAsia="Times New Roman" w:cs="Times New Roman"/>
                <w:sz w:val="20"/>
                <w:szCs w:val="20"/>
              </w:rPr>
            </w:pPr>
            <w:r w:rsidRPr="00314C19">
              <w:rPr>
                <w:rFonts w:eastAsia="Times New Roman" w:cs="Times New Roman"/>
                <w:color w:val="000000"/>
                <w:sz w:val="20"/>
                <w:szCs w:val="20"/>
              </w:rPr>
              <w:t>475,96</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8F2EEF" w14:textId="77777777" w:rsidR="00D535CE" w:rsidRPr="00314C19" w:rsidRDefault="00D535CE" w:rsidP="00314C19">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08714D" w14:textId="77777777" w:rsidR="00D535CE" w:rsidRPr="00314C19" w:rsidRDefault="00D535CE" w:rsidP="00314C19">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447,25</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EF4EB8" w14:textId="77777777" w:rsidR="00D535CE" w:rsidRPr="00314C19" w:rsidRDefault="00D535CE" w:rsidP="00314C19">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400,09</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08ABC815" w14:textId="77777777" w:rsidR="00D535CE" w:rsidRPr="00314C19" w:rsidRDefault="00D535CE" w:rsidP="00314C19">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D535CE" w:rsidRPr="00314C19" w14:paraId="532ACE5B" w14:textId="77777777" w:rsidTr="00D46EB7">
        <w:trPr>
          <w:trHeight w:val="364"/>
          <w:jc w:val="center"/>
        </w:trPr>
        <w:tc>
          <w:tcPr>
            <w:tcW w:w="1376"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22CA6368" w14:textId="77777777" w:rsidR="00D535CE" w:rsidRPr="00314C19" w:rsidRDefault="00D535CE" w:rsidP="00314C19">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Constanța</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544F9E" w14:textId="77777777" w:rsidR="00D535CE" w:rsidRPr="00314C19" w:rsidRDefault="00D535CE" w:rsidP="00314C19">
            <w:pPr>
              <w:spacing w:after="0" w:line="240" w:lineRule="auto"/>
              <w:ind w:left="100" w:hanging="21"/>
              <w:rPr>
                <w:rFonts w:eastAsia="Times New Roman" w:cs="Times New Roman"/>
                <w:sz w:val="20"/>
                <w:szCs w:val="20"/>
              </w:rPr>
            </w:pPr>
            <w:r w:rsidRPr="00314C19">
              <w:rPr>
                <w:rFonts w:eastAsia="Times New Roman" w:cs="Times New Roman"/>
                <w:color w:val="000000"/>
                <w:sz w:val="20"/>
                <w:szCs w:val="20"/>
              </w:rPr>
              <w:t>1632,76</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7F3B23" w14:textId="77777777" w:rsidR="00D535CE" w:rsidRPr="00314C19" w:rsidRDefault="00D535CE" w:rsidP="00314C19">
            <w:pPr>
              <w:spacing w:after="0" w:line="240" w:lineRule="auto"/>
              <w:ind w:left="100" w:firstLine="38"/>
              <w:rPr>
                <w:rFonts w:eastAsia="Times New Roman" w:cs="Times New Roman"/>
                <w:sz w:val="20"/>
                <w:szCs w:val="20"/>
              </w:rPr>
            </w:pPr>
            <w:r w:rsidRPr="00314C19">
              <w:rPr>
                <w:rFonts w:eastAsia="Times New Roman" w:cs="Times New Roman"/>
                <w:i/>
                <w:color w:val="000000"/>
                <w:sz w:val="20"/>
                <w:szCs w:val="20"/>
              </w:rPr>
              <w:t>lipsă date</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0C8648" w14:textId="77777777" w:rsidR="00D535CE" w:rsidRPr="00314C19" w:rsidRDefault="00D535CE" w:rsidP="00314C19">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884675" w14:textId="77777777" w:rsidR="00D535CE" w:rsidRPr="00314C19" w:rsidRDefault="00D535CE" w:rsidP="00314C19">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2012,01</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03C93A" w14:textId="77777777" w:rsidR="00D535CE" w:rsidRPr="00314C19" w:rsidRDefault="00D535CE" w:rsidP="00314C19">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 </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084B7DEE" w14:textId="77777777" w:rsidR="00D535CE" w:rsidRPr="00314C19" w:rsidRDefault="00D535CE" w:rsidP="00314C19">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D535CE" w:rsidRPr="00314C19" w14:paraId="7FCCF695" w14:textId="77777777" w:rsidTr="00D46EB7">
        <w:trPr>
          <w:trHeight w:val="410"/>
          <w:jc w:val="center"/>
        </w:trPr>
        <w:tc>
          <w:tcPr>
            <w:tcW w:w="1376"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2C3B4A0F" w14:textId="77777777" w:rsidR="00D535CE" w:rsidRPr="00314C19" w:rsidRDefault="00D535CE" w:rsidP="00314C19">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Agigea</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94E27C" w14:textId="77777777" w:rsidR="00D535CE" w:rsidRPr="00314C19" w:rsidRDefault="00D535CE" w:rsidP="00314C19">
            <w:pPr>
              <w:spacing w:after="0" w:line="240" w:lineRule="auto"/>
              <w:ind w:left="100" w:hanging="21"/>
              <w:rPr>
                <w:rFonts w:eastAsia="Times New Roman" w:cs="Times New Roman"/>
                <w:sz w:val="20"/>
                <w:szCs w:val="20"/>
              </w:rPr>
            </w:pPr>
            <w:r w:rsidRPr="00314C19">
              <w:rPr>
                <w:rFonts w:eastAsia="Times New Roman" w:cs="Times New Roman"/>
                <w:i/>
                <w:color w:val="000000"/>
                <w:sz w:val="20"/>
                <w:szCs w:val="20"/>
              </w:rPr>
              <w:t>lipsă date</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C1A25C" w14:textId="77777777" w:rsidR="00D535CE" w:rsidRPr="00314C19" w:rsidRDefault="00D535CE" w:rsidP="00314C19">
            <w:pPr>
              <w:spacing w:after="0" w:line="240" w:lineRule="auto"/>
              <w:ind w:left="100" w:firstLine="38"/>
              <w:rPr>
                <w:rFonts w:eastAsia="Times New Roman" w:cs="Times New Roman"/>
                <w:sz w:val="20"/>
                <w:szCs w:val="20"/>
              </w:rPr>
            </w:pPr>
            <w:r w:rsidRPr="00314C19">
              <w:rPr>
                <w:rFonts w:eastAsia="Times New Roman" w:cs="Times New Roman"/>
                <w:i/>
                <w:color w:val="000000"/>
                <w:sz w:val="20"/>
                <w:szCs w:val="20"/>
              </w:rPr>
              <w:t>lipsă date</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7E923E" w14:textId="77777777" w:rsidR="00D535CE" w:rsidRPr="00314C19" w:rsidRDefault="00D535CE" w:rsidP="00314C19">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BD20CC" w14:textId="77777777" w:rsidR="00D535CE" w:rsidRPr="00314C19" w:rsidRDefault="00D535CE" w:rsidP="00314C19">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 </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A02EDE" w14:textId="77777777" w:rsidR="00D535CE" w:rsidRPr="00314C19" w:rsidRDefault="00D535CE" w:rsidP="00314C19">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 </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5232BEC2" w14:textId="77777777" w:rsidR="00D535CE" w:rsidRPr="00314C19" w:rsidRDefault="00D535CE" w:rsidP="00314C19">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D535CE" w:rsidRPr="00314C19" w14:paraId="77B6AEE6" w14:textId="77777777" w:rsidTr="00D46EB7">
        <w:trPr>
          <w:trHeight w:val="410"/>
          <w:jc w:val="center"/>
        </w:trPr>
        <w:tc>
          <w:tcPr>
            <w:tcW w:w="1376"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751CB7B9" w14:textId="77777777" w:rsidR="00D535CE" w:rsidRPr="00314C19" w:rsidRDefault="00D535CE" w:rsidP="00314C19">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Techirghiol</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C12F50" w14:textId="77777777" w:rsidR="00D535CE" w:rsidRPr="00314C19" w:rsidRDefault="00D535CE" w:rsidP="00314C19">
            <w:pPr>
              <w:spacing w:after="0" w:line="240" w:lineRule="auto"/>
              <w:ind w:left="100" w:hanging="21"/>
              <w:rPr>
                <w:rFonts w:eastAsia="Times New Roman" w:cs="Times New Roman"/>
                <w:sz w:val="20"/>
                <w:szCs w:val="20"/>
              </w:rPr>
            </w:pPr>
            <w:r w:rsidRPr="00314C19">
              <w:rPr>
                <w:rFonts w:eastAsia="Times New Roman" w:cs="Times New Roman"/>
                <w:i/>
                <w:color w:val="000000"/>
                <w:sz w:val="20"/>
                <w:szCs w:val="20"/>
              </w:rPr>
              <w:t>lipsă date</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40FAB0" w14:textId="77777777" w:rsidR="00D535CE" w:rsidRPr="00314C19" w:rsidRDefault="00D535CE" w:rsidP="00314C19">
            <w:pPr>
              <w:spacing w:after="0" w:line="240" w:lineRule="auto"/>
              <w:ind w:left="100" w:firstLine="38"/>
              <w:rPr>
                <w:rFonts w:eastAsia="Times New Roman" w:cs="Times New Roman"/>
                <w:sz w:val="20"/>
                <w:szCs w:val="20"/>
              </w:rPr>
            </w:pPr>
            <w:r w:rsidRPr="00314C19">
              <w:rPr>
                <w:rFonts w:eastAsia="Times New Roman" w:cs="Times New Roman"/>
                <w:i/>
                <w:color w:val="000000"/>
                <w:sz w:val="20"/>
                <w:szCs w:val="20"/>
              </w:rPr>
              <w:t>lipsă date</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DDF79F" w14:textId="77777777" w:rsidR="00D535CE" w:rsidRPr="00314C19" w:rsidRDefault="00D535CE" w:rsidP="00314C19">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7165C2" w14:textId="77777777" w:rsidR="00D535CE" w:rsidRPr="00314C19" w:rsidRDefault="00D535CE" w:rsidP="00314C19">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388,13</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597289" w14:textId="77777777" w:rsidR="00D535CE" w:rsidRPr="00314C19" w:rsidRDefault="00D535CE" w:rsidP="00314C19">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492,69</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3B8BA7F1" w14:textId="77777777" w:rsidR="00D535CE" w:rsidRPr="00314C19" w:rsidRDefault="00D535CE" w:rsidP="00314C19">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D535CE" w:rsidRPr="00314C19" w14:paraId="1DEAC17E" w14:textId="77777777" w:rsidTr="00D46EB7">
        <w:trPr>
          <w:trHeight w:val="188"/>
          <w:jc w:val="center"/>
        </w:trPr>
        <w:tc>
          <w:tcPr>
            <w:tcW w:w="1376"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3660B267" w14:textId="77777777" w:rsidR="00D535CE" w:rsidRPr="00314C19" w:rsidRDefault="00D535CE" w:rsidP="00314C19">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Eforie</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A8F535" w14:textId="77777777" w:rsidR="00D535CE" w:rsidRPr="00314C19" w:rsidRDefault="00D535CE" w:rsidP="00314C19">
            <w:pPr>
              <w:spacing w:after="0" w:line="240" w:lineRule="auto"/>
              <w:ind w:left="100" w:hanging="21"/>
              <w:rPr>
                <w:rFonts w:eastAsia="Times New Roman" w:cs="Times New Roman"/>
                <w:sz w:val="20"/>
                <w:szCs w:val="20"/>
              </w:rPr>
            </w:pPr>
            <w:r w:rsidRPr="00314C19">
              <w:rPr>
                <w:rFonts w:eastAsia="Times New Roman" w:cs="Times New Roman"/>
                <w:color w:val="000000"/>
                <w:sz w:val="20"/>
                <w:szCs w:val="20"/>
              </w:rPr>
              <w:t>139</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D3B94A" w14:textId="77777777" w:rsidR="00D535CE" w:rsidRPr="00314C19" w:rsidRDefault="00D535CE" w:rsidP="00314C19">
            <w:pPr>
              <w:spacing w:after="0" w:line="240" w:lineRule="auto"/>
              <w:ind w:left="100" w:firstLine="38"/>
              <w:rPr>
                <w:rFonts w:eastAsia="Times New Roman" w:cs="Times New Roman"/>
                <w:sz w:val="20"/>
                <w:szCs w:val="20"/>
              </w:rPr>
            </w:pPr>
            <w:r w:rsidRPr="00314C19">
              <w:rPr>
                <w:rFonts w:eastAsia="Times New Roman" w:cs="Times New Roman"/>
                <w:color w:val="000000"/>
                <w:sz w:val="20"/>
                <w:szCs w:val="20"/>
              </w:rPr>
              <w:t>225,2</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7806D9" w14:textId="77777777" w:rsidR="00D535CE" w:rsidRPr="00314C19" w:rsidRDefault="00D535CE" w:rsidP="00314C19">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ABB129" w14:textId="77777777" w:rsidR="00D535CE" w:rsidRPr="00314C19" w:rsidRDefault="00D535CE" w:rsidP="00314C19">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 </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B85554" w14:textId="77777777" w:rsidR="00D535CE" w:rsidRPr="00314C19" w:rsidRDefault="00D535CE" w:rsidP="00314C19">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 </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7DAE2C69" w14:textId="77777777" w:rsidR="00D535CE" w:rsidRPr="00314C19" w:rsidRDefault="00D535CE" w:rsidP="00314C19">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D535CE" w:rsidRPr="00314C19" w14:paraId="161AD407" w14:textId="77777777" w:rsidTr="00D46EB7">
        <w:trPr>
          <w:trHeight w:val="166"/>
          <w:jc w:val="center"/>
        </w:trPr>
        <w:tc>
          <w:tcPr>
            <w:tcW w:w="1376"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520DB04D" w14:textId="77777777" w:rsidR="00D535CE" w:rsidRPr="00314C19" w:rsidRDefault="00D535CE" w:rsidP="00314C19">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Tuzla</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315648" w14:textId="77777777" w:rsidR="00D535CE" w:rsidRPr="00314C19" w:rsidRDefault="00D535CE" w:rsidP="00314C19">
            <w:pPr>
              <w:spacing w:after="0" w:line="240" w:lineRule="auto"/>
              <w:ind w:left="100" w:hanging="21"/>
              <w:rPr>
                <w:rFonts w:eastAsia="Times New Roman" w:cs="Times New Roman"/>
                <w:sz w:val="20"/>
                <w:szCs w:val="20"/>
              </w:rPr>
            </w:pPr>
            <w:r w:rsidRPr="00314C19">
              <w:rPr>
                <w:rFonts w:eastAsia="Times New Roman" w:cs="Times New Roman"/>
                <w:i/>
                <w:color w:val="000000"/>
                <w:sz w:val="20"/>
                <w:szCs w:val="20"/>
              </w:rPr>
              <w:t>lipsă date</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C7FFF7" w14:textId="77777777" w:rsidR="00D535CE" w:rsidRPr="00314C19" w:rsidRDefault="00D535CE" w:rsidP="00314C19">
            <w:pPr>
              <w:spacing w:after="0" w:line="240" w:lineRule="auto"/>
              <w:ind w:left="100" w:firstLine="38"/>
              <w:rPr>
                <w:rFonts w:eastAsia="Times New Roman" w:cs="Times New Roman"/>
                <w:sz w:val="20"/>
                <w:szCs w:val="20"/>
              </w:rPr>
            </w:pPr>
            <w:r w:rsidRPr="00314C19">
              <w:rPr>
                <w:rFonts w:eastAsia="Times New Roman" w:cs="Times New Roman"/>
                <w:color w:val="000000"/>
                <w:sz w:val="20"/>
                <w:szCs w:val="20"/>
              </w:rPr>
              <w:t>392,78</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B391A7" w14:textId="77777777" w:rsidR="00D535CE" w:rsidRPr="00314C19" w:rsidRDefault="00D535CE" w:rsidP="00314C19">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E79539" w14:textId="77777777" w:rsidR="00D535CE" w:rsidRPr="00314C19" w:rsidRDefault="00D535CE" w:rsidP="00314C19">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 </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549894" w14:textId="77777777" w:rsidR="00D535CE" w:rsidRPr="00314C19" w:rsidRDefault="00D535CE" w:rsidP="00314C19">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 </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6E6E3CAE" w14:textId="77777777" w:rsidR="00D535CE" w:rsidRPr="00314C19" w:rsidRDefault="00D535CE" w:rsidP="00314C19">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D535CE" w:rsidRPr="00314C19" w14:paraId="5733F1BE" w14:textId="77777777" w:rsidTr="00D46EB7">
        <w:trPr>
          <w:trHeight w:val="143"/>
          <w:jc w:val="center"/>
        </w:trPr>
        <w:tc>
          <w:tcPr>
            <w:tcW w:w="1376"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1E44CAEA" w14:textId="77777777" w:rsidR="00D535CE" w:rsidRPr="00314C19" w:rsidRDefault="00D535CE" w:rsidP="00314C19">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Costinești</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293997" w14:textId="77777777" w:rsidR="00D535CE" w:rsidRPr="00314C19" w:rsidRDefault="00D535CE" w:rsidP="00314C19">
            <w:pPr>
              <w:spacing w:after="0" w:line="240" w:lineRule="auto"/>
              <w:ind w:left="100" w:hanging="21"/>
              <w:rPr>
                <w:rFonts w:eastAsia="Times New Roman" w:cs="Times New Roman"/>
                <w:sz w:val="20"/>
                <w:szCs w:val="20"/>
              </w:rPr>
            </w:pPr>
            <w:r w:rsidRPr="00314C19">
              <w:rPr>
                <w:rFonts w:eastAsia="Times New Roman" w:cs="Times New Roman"/>
                <w:i/>
                <w:color w:val="000000"/>
                <w:sz w:val="20"/>
                <w:szCs w:val="20"/>
              </w:rPr>
              <w:t>lipsă date</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9333BD" w14:textId="77777777" w:rsidR="00D535CE" w:rsidRPr="00314C19" w:rsidRDefault="00D535CE" w:rsidP="00314C19">
            <w:pPr>
              <w:spacing w:after="0" w:line="240" w:lineRule="auto"/>
              <w:ind w:left="100" w:firstLine="38"/>
              <w:rPr>
                <w:rFonts w:eastAsia="Times New Roman" w:cs="Times New Roman"/>
                <w:sz w:val="20"/>
                <w:szCs w:val="20"/>
              </w:rPr>
            </w:pPr>
            <w:r w:rsidRPr="00314C19">
              <w:rPr>
                <w:rFonts w:eastAsia="Times New Roman" w:cs="Times New Roman"/>
                <w:color w:val="000000"/>
                <w:sz w:val="20"/>
                <w:szCs w:val="20"/>
              </w:rPr>
              <w:t>116,09</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34CA5B" w14:textId="77777777" w:rsidR="00D535CE" w:rsidRPr="00314C19" w:rsidRDefault="00D535CE" w:rsidP="00314C19">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43BFBA" w14:textId="77777777" w:rsidR="00D535CE" w:rsidRPr="00314C19" w:rsidRDefault="00D535CE" w:rsidP="00314C19">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 </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1F2506" w14:textId="77777777" w:rsidR="00D535CE" w:rsidRPr="00314C19" w:rsidRDefault="00D535CE" w:rsidP="00314C19">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 </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0DDC4AF3" w14:textId="77777777" w:rsidR="00D535CE" w:rsidRPr="00314C19" w:rsidRDefault="00D535CE" w:rsidP="00314C19">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D535CE" w:rsidRPr="00314C19" w14:paraId="33931E6C" w14:textId="77777777" w:rsidTr="00D46EB7">
        <w:trPr>
          <w:trHeight w:val="410"/>
          <w:jc w:val="center"/>
        </w:trPr>
        <w:tc>
          <w:tcPr>
            <w:tcW w:w="1376"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7ECDD8F7" w14:textId="77777777" w:rsidR="00D535CE" w:rsidRPr="00314C19" w:rsidRDefault="00D535CE" w:rsidP="00314C19">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23 August</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097EDB" w14:textId="77777777" w:rsidR="00D535CE" w:rsidRPr="00314C19" w:rsidRDefault="00D535CE" w:rsidP="00314C19">
            <w:pPr>
              <w:spacing w:after="0" w:line="240" w:lineRule="auto"/>
              <w:ind w:left="100" w:hanging="21"/>
              <w:rPr>
                <w:rFonts w:eastAsia="Times New Roman" w:cs="Times New Roman"/>
                <w:sz w:val="20"/>
                <w:szCs w:val="20"/>
              </w:rPr>
            </w:pPr>
            <w:r w:rsidRPr="00314C19">
              <w:rPr>
                <w:rFonts w:eastAsia="Times New Roman" w:cs="Times New Roman"/>
                <w:i/>
                <w:color w:val="000000"/>
                <w:sz w:val="20"/>
                <w:szCs w:val="20"/>
              </w:rPr>
              <w:t>lipsă date</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546C9B" w14:textId="77777777" w:rsidR="00D535CE" w:rsidRPr="00314C19" w:rsidRDefault="00D535CE" w:rsidP="00314C19">
            <w:pPr>
              <w:spacing w:after="0" w:line="240" w:lineRule="auto"/>
              <w:ind w:left="100" w:firstLine="38"/>
              <w:rPr>
                <w:rFonts w:eastAsia="Times New Roman" w:cs="Times New Roman"/>
                <w:sz w:val="20"/>
                <w:szCs w:val="20"/>
              </w:rPr>
            </w:pPr>
            <w:r w:rsidRPr="00314C19">
              <w:rPr>
                <w:rFonts w:eastAsia="Times New Roman" w:cs="Times New Roman"/>
                <w:i/>
                <w:color w:val="000000"/>
                <w:sz w:val="20"/>
                <w:szCs w:val="20"/>
              </w:rPr>
              <w:t>lipsă date</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D73001" w14:textId="77777777" w:rsidR="00D535CE" w:rsidRPr="00314C19" w:rsidRDefault="00D535CE" w:rsidP="00314C19">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132,19</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596AF6" w14:textId="77777777" w:rsidR="00D535CE" w:rsidRPr="00314C19" w:rsidRDefault="00D535CE" w:rsidP="00314C19">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 </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69159E" w14:textId="77777777" w:rsidR="00D535CE" w:rsidRPr="00314C19" w:rsidRDefault="00D535CE" w:rsidP="00314C19">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 </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0F6F155C" w14:textId="77777777" w:rsidR="00D535CE" w:rsidRPr="00314C19" w:rsidRDefault="00D535CE" w:rsidP="00314C19">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D535CE" w:rsidRPr="00314C19" w14:paraId="684AEABB" w14:textId="77777777" w:rsidTr="00D46EB7">
        <w:trPr>
          <w:trHeight w:val="277"/>
          <w:jc w:val="center"/>
        </w:trPr>
        <w:tc>
          <w:tcPr>
            <w:tcW w:w="1376" w:type="dxa"/>
            <w:tcBorders>
              <w:top w:val="single" w:sz="8" w:space="0" w:color="000000"/>
              <w:left w:val="single" w:sz="4" w:space="0" w:color="000000"/>
              <w:bottom w:val="single" w:sz="8" w:space="0" w:color="000000"/>
              <w:right w:val="single" w:sz="8" w:space="0" w:color="000000"/>
            </w:tcBorders>
            <w:shd w:val="clear" w:color="auto" w:fill="FFFFFF"/>
            <w:tcMar>
              <w:top w:w="100" w:type="dxa"/>
              <w:left w:w="100" w:type="dxa"/>
              <w:bottom w:w="100" w:type="dxa"/>
              <w:right w:w="100" w:type="dxa"/>
            </w:tcMar>
          </w:tcPr>
          <w:p w14:paraId="2E02F153" w14:textId="77777777" w:rsidR="00D535CE" w:rsidRPr="00314C19" w:rsidRDefault="00D535CE" w:rsidP="00314C19">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Mangalia</w:t>
            </w:r>
          </w:p>
        </w:tc>
        <w:tc>
          <w:tcPr>
            <w:tcW w:w="11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F0B9B2" w14:textId="77777777" w:rsidR="00D535CE" w:rsidRPr="00314C19" w:rsidRDefault="00D535CE" w:rsidP="00314C19">
            <w:pPr>
              <w:spacing w:after="0" w:line="240" w:lineRule="auto"/>
              <w:ind w:left="100" w:hanging="21"/>
              <w:rPr>
                <w:rFonts w:eastAsia="Times New Roman" w:cs="Times New Roman"/>
                <w:sz w:val="20"/>
                <w:szCs w:val="20"/>
              </w:rPr>
            </w:pPr>
            <w:r w:rsidRPr="00314C19">
              <w:rPr>
                <w:rFonts w:eastAsia="Times New Roman" w:cs="Times New Roman"/>
                <w:color w:val="000000"/>
                <w:sz w:val="20"/>
                <w:szCs w:val="20"/>
              </w:rPr>
              <w:t>334,99</w:t>
            </w:r>
          </w:p>
        </w:tc>
        <w:tc>
          <w:tcPr>
            <w:tcW w:w="9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10B283" w14:textId="77777777" w:rsidR="00D535CE" w:rsidRPr="00314C19" w:rsidRDefault="00D535CE" w:rsidP="00314C19">
            <w:pPr>
              <w:spacing w:after="0" w:line="240" w:lineRule="auto"/>
              <w:ind w:left="100" w:firstLine="38"/>
              <w:rPr>
                <w:rFonts w:eastAsia="Times New Roman" w:cs="Times New Roman"/>
                <w:sz w:val="20"/>
                <w:szCs w:val="20"/>
              </w:rPr>
            </w:pPr>
            <w:r w:rsidRPr="00314C19">
              <w:rPr>
                <w:rFonts w:eastAsia="Times New Roman" w:cs="Times New Roman"/>
                <w:color w:val="000000"/>
                <w:sz w:val="20"/>
                <w:szCs w:val="20"/>
              </w:rPr>
              <w:t>405,37</w:t>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9D250E" w14:textId="77777777" w:rsidR="00D535CE" w:rsidRPr="00314C19" w:rsidRDefault="00D535CE" w:rsidP="00314C19">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 </w:t>
            </w:r>
          </w:p>
        </w:tc>
        <w:tc>
          <w:tcPr>
            <w:tcW w:w="13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A35F47" w14:textId="77777777" w:rsidR="00D535CE" w:rsidRPr="00314C19" w:rsidRDefault="00D535CE" w:rsidP="00314C19">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 </w:t>
            </w:r>
          </w:p>
        </w:tc>
        <w:tc>
          <w:tcPr>
            <w:tcW w:w="13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8B14C9" w14:textId="77777777" w:rsidR="00D535CE" w:rsidRPr="00314C19" w:rsidRDefault="00D535CE" w:rsidP="00314C19">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 </w:t>
            </w:r>
          </w:p>
        </w:tc>
        <w:tc>
          <w:tcPr>
            <w:tcW w:w="1456"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51A955BC" w14:textId="77777777" w:rsidR="00D535CE" w:rsidRPr="00314C19" w:rsidRDefault="00D535CE" w:rsidP="00314C19">
            <w:pPr>
              <w:spacing w:after="0" w:line="240" w:lineRule="auto"/>
              <w:ind w:left="100" w:hanging="100"/>
              <w:rPr>
                <w:rFonts w:eastAsia="Times New Roman" w:cs="Times New Roman"/>
                <w:sz w:val="20"/>
                <w:szCs w:val="20"/>
              </w:rPr>
            </w:pPr>
            <w:r w:rsidRPr="00314C19">
              <w:rPr>
                <w:rFonts w:eastAsia="Times New Roman" w:cs="Times New Roman"/>
                <w:color w:val="000000"/>
                <w:sz w:val="20"/>
                <w:szCs w:val="20"/>
              </w:rPr>
              <w:t> </w:t>
            </w:r>
          </w:p>
        </w:tc>
      </w:tr>
      <w:tr w:rsidR="00D535CE" w:rsidRPr="00314C19" w14:paraId="61C49F9A" w14:textId="77777777" w:rsidTr="00D46EB7">
        <w:trPr>
          <w:trHeight w:val="1550"/>
          <w:jc w:val="center"/>
        </w:trPr>
        <w:tc>
          <w:tcPr>
            <w:tcW w:w="1376" w:type="dxa"/>
            <w:tcBorders>
              <w:top w:val="single" w:sz="8" w:space="0" w:color="000000"/>
              <w:left w:val="single" w:sz="4" w:space="0" w:color="000000"/>
              <w:bottom w:val="single" w:sz="4" w:space="0" w:color="000000"/>
              <w:right w:val="single" w:sz="8" w:space="0" w:color="000000"/>
            </w:tcBorders>
            <w:shd w:val="clear" w:color="auto" w:fill="FFFFFF"/>
            <w:tcMar>
              <w:top w:w="100" w:type="dxa"/>
              <w:left w:w="100" w:type="dxa"/>
              <w:bottom w:w="100" w:type="dxa"/>
              <w:right w:w="100" w:type="dxa"/>
            </w:tcMar>
          </w:tcPr>
          <w:p w14:paraId="1D1BF52E" w14:textId="77777777" w:rsidR="00D535CE" w:rsidRPr="00314C19" w:rsidRDefault="00D535CE" w:rsidP="00314C19">
            <w:pPr>
              <w:spacing w:after="0" w:line="240" w:lineRule="auto"/>
              <w:ind w:left="100" w:hanging="63"/>
              <w:rPr>
                <w:rFonts w:eastAsia="Times New Roman" w:cs="Times New Roman"/>
                <w:sz w:val="20"/>
                <w:szCs w:val="20"/>
              </w:rPr>
            </w:pPr>
            <w:r w:rsidRPr="00314C19">
              <w:rPr>
                <w:rFonts w:eastAsia="Times New Roman" w:cs="Times New Roman"/>
                <w:b/>
                <w:color w:val="000000"/>
                <w:sz w:val="20"/>
                <w:szCs w:val="20"/>
              </w:rPr>
              <w:t>Limanu</w:t>
            </w:r>
          </w:p>
        </w:tc>
        <w:tc>
          <w:tcPr>
            <w:tcW w:w="1175"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5499B91B" w14:textId="77777777" w:rsidR="00D535CE" w:rsidRPr="00314C19" w:rsidRDefault="00D535CE" w:rsidP="00314C19">
            <w:pPr>
              <w:spacing w:after="0" w:line="240" w:lineRule="auto"/>
              <w:ind w:left="100" w:hanging="21"/>
              <w:rPr>
                <w:rFonts w:eastAsia="Times New Roman" w:cs="Times New Roman"/>
                <w:sz w:val="20"/>
                <w:szCs w:val="20"/>
              </w:rPr>
            </w:pPr>
            <w:r w:rsidRPr="00314C19">
              <w:rPr>
                <w:rFonts w:eastAsia="Times New Roman" w:cs="Times New Roman"/>
                <w:color w:val="000000"/>
                <w:sz w:val="20"/>
                <w:szCs w:val="20"/>
              </w:rPr>
              <w:t>222,19</w:t>
            </w:r>
          </w:p>
        </w:tc>
        <w:tc>
          <w:tcPr>
            <w:tcW w:w="959"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285F2105" w14:textId="77777777" w:rsidR="00D535CE" w:rsidRPr="00314C19" w:rsidRDefault="00D535CE" w:rsidP="00314C19">
            <w:pPr>
              <w:spacing w:after="0" w:line="240" w:lineRule="auto"/>
              <w:ind w:left="100" w:firstLine="38"/>
              <w:rPr>
                <w:rFonts w:eastAsia="Times New Roman" w:cs="Times New Roman"/>
                <w:sz w:val="20"/>
                <w:szCs w:val="20"/>
              </w:rPr>
            </w:pPr>
            <w:r w:rsidRPr="00314C19">
              <w:rPr>
                <w:rFonts w:eastAsia="Times New Roman" w:cs="Times New Roman"/>
                <w:color w:val="000000"/>
                <w:sz w:val="20"/>
                <w:szCs w:val="20"/>
              </w:rPr>
              <w:t>335,97</w:t>
            </w:r>
          </w:p>
        </w:tc>
        <w:tc>
          <w:tcPr>
            <w:tcW w:w="1398"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648278FB" w14:textId="77777777" w:rsidR="00D535CE" w:rsidRPr="00314C19" w:rsidRDefault="00D535CE" w:rsidP="00314C19">
            <w:pPr>
              <w:spacing w:after="0" w:line="240" w:lineRule="auto"/>
              <w:ind w:left="100" w:hanging="29"/>
              <w:rPr>
                <w:rFonts w:eastAsia="Times New Roman" w:cs="Times New Roman"/>
                <w:sz w:val="20"/>
                <w:szCs w:val="20"/>
              </w:rPr>
            </w:pPr>
            <w:r w:rsidRPr="00314C19">
              <w:rPr>
                <w:rFonts w:eastAsia="Times New Roman" w:cs="Times New Roman"/>
                <w:color w:val="000000"/>
                <w:sz w:val="20"/>
                <w:szCs w:val="20"/>
              </w:rPr>
              <w:t>74,57</w:t>
            </w:r>
          </w:p>
        </w:tc>
        <w:tc>
          <w:tcPr>
            <w:tcW w:w="1328"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7C682FEA" w14:textId="77777777" w:rsidR="00D535CE" w:rsidRPr="00314C19" w:rsidRDefault="00D535CE" w:rsidP="00314C19">
            <w:pPr>
              <w:spacing w:after="0" w:line="240" w:lineRule="auto"/>
              <w:ind w:left="100" w:hanging="10"/>
              <w:rPr>
                <w:rFonts w:eastAsia="Times New Roman" w:cs="Times New Roman"/>
                <w:sz w:val="20"/>
                <w:szCs w:val="20"/>
              </w:rPr>
            </w:pPr>
            <w:r w:rsidRPr="00314C19">
              <w:rPr>
                <w:rFonts w:eastAsia="Times New Roman" w:cs="Times New Roman"/>
                <w:color w:val="000000"/>
                <w:sz w:val="20"/>
                <w:szCs w:val="20"/>
              </w:rPr>
              <w:t> </w:t>
            </w:r>
          </w:p>
        </w:tc>
        <w:tc>
          <w:tcPr>
            <w:tcW w:w="1324"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44031214" w14:textId="77777777" w:rsidR="00D535CE" w:rsidRPr="00314C19" w:rsidRDefault="00D535CE" w:rsidP="00314C19">
            <w:pPr>
              <w:spacing w:after="0" w:line="240" w:lineRule="auto"/>
              <w:ind w:left="100" w:hanging="62"/>
              <w:rPr>
                <w:rFonts w:eastAsia="Times New Roman" w:cs="Times New Roman"/>
                <w:sz w:val="20"/>
                <w:szCs w:val="20"/>
              </w:rPr>
            </w:pPr>
            <w:r w:rsidRPr="00314C19">
              <w:rPr>
                <w:rFonts w:eastAsia="Times New Roman" w:cs="Times New Roman"/>
                <w:color w:val="000000"/>
                <w:sz w:val="20"/>
                <w:szCs w:val="20"/>
              </w:rPr>
              <w:t> </w:t>
            </w:r>
          </w:p>
        </w:tc>
        <w:tc>
          <w:tcPr>
            <w:tcW w:w="1456" w:type="dxa"/>
            <w:tcBorders>
              <w:top w:val="single" w:sz="8" w:space="0" w:color="000000"/>
              <w:left w:val="single" w:sz="8" w:space="0" w:color="000000"/>
              <w:bottom w:val="single" w:sz="4" w:space="0" w:color="000000"/>
              <w:right w:val="single" w:sz="4" w:space="0" w:color="000000"/>
            </w:tcBorders>
            <w:tcMar>
              <w:top w:w="100" w:type="dxa"/>
              <w:left w:w="100" w:type="dxa"/>
              <w:bottom w:w="100" w:type="dxa"/>
              <w:right w:w="100" w:type="dxa"/>
            </w:tcMar>
          </w:tcPr>
          <w:p w14:paraId="44D95CA9" w14:textId="77777777" w:rsidR="00D535CE" w:rsidRPr="00314C19" w:rsidRDefault="00D535CE" w:rsidP="00314C19">
            <w:pPr>
              <w:spacing w:after="0" w:line="240" w:lineRule="auto"/>
              <w:ind w:hanging="100"/>
              <w:rPr>
                <w:rFonts w:eastAsia="Times New Roman" w:cs="Times New Roman"/>
                <w:sz w:val="20"/>
                <w:szCs w:val="20"/>
              </w:rPr>
            </w:pPr>
            <w:r w:rsidRPr="00314C19">
              <w:rPr>
                <w:rFonts w:eastAsia="Times New Roman" w:cs="Times New Roman"/>
                <w:color w:val="000000"/>
                <w:sz w:val="20"/>
                <w:szCs w:val="20"/>
              </w:rPr>
              <w:t>Din suprafața zonei de locuit aprobată prin PUG, suprafața de 37,12 Ha este modificată prin PUZ în zonă cu destinație turistică</w:t>
            </w:r>
          </w:p>
        </w:tc>
      </w:tr>
    </w:tbl>
    <w:p w14:paraId="4F2BB97A" w14:textId="77777777" w:rsidR="00D535CE" w:rsidRDefault="00D535CE" w:rsidP="00D535CE"/>
    <w:p w14:paraId="5B7751B0" w14:textId="77777777" w:rsidR="00D535CE" w:rsidRDefault="00D535CE" w:rsidP="00D535CE">
      <w:pPr>
        <w:ind w:firstLine="567"/>
        <w:rPr>
          <w:rFonts w:eastAsia="Times New Roman" w:cs="Times New Roman"/>
          <w:u w:val="single"/>
        </w:rPr>
      </w:pPr>
      <w:r>
        <w:rPr>
          <w:rFonts w:eastAsia="Times New Roman" w:cs="Times New Roman"/>
          <w:u w:val="single"/>
        </w:rPr>
        <w:t>Terenuri ocupate cu activități în sectorul turistic</w:t>
      </w:r>
    </w:p>
    <w:p w14:paraId="0B85BB03" w14:textId="77777777" w:rsidR="00D535CE" w:rsidRDefault="00D535CE" w:rsidP="00D535CE">
      <w:pPr>
        <w:ind w:firstLine="567"/>
        <w:rPr>
          <w:rFonts w:eastAsia="Times New Roman" w:cs="Times New Roman"/>
        </w:rPr>
      </w:pPr>
      <w:r>
        <w:rPr>
          <w:rFonts w:eastAsia="Times New Roman" w:cs="Times New Roman"/>
        </w:rPr>
        <w:lastRenderedPageBreak/>
        <w:t>Numărul unităților de primire turistică înregistrează un trend descrescător, de la 150.251 unități în 1992 la 93.503 unități în 2022. În partea nordică, cu excepția orașului Sulina, numărul de unități de primire turistică crește în toate UAT-urile, cel mai semnificativ la Murighiol, de la 258 în 1992, la 2.351 în 2022. În total, numărul de unități de primire turistică în sectorul nordic crește de la 1.020 în 1992, la 4.031 în 2022.</w:t>
      </w:r>
    </w:p>
    <w:p w14:paraId="24640F0D" w14:textId="77777777" w:rsidR="00D535CE" w:rsidRDefault="00D535CE" w:rsidP="00D535CE">
      <w:pPr>
        <w:ind w:firstLine="567"/>
        <w:rPr>
          <w:rFonts w:eastAsia="Times New Roman" w:cs="Times New Roman"/>
        </w:rPr>
      </w:pPr>
      <w:r>
        <w:rPr>
          <w:rFonts w:eastAsia="Times New Roman" w:cs="Times New Roman"/>
        </w:rPr>
        <w:t>Trendul general este determinat de scăderea numărului de unități de primire turistică în sectorul sudic, de la 149.231 în 1992, la 89.472 în 2022. În condițiile în care este vizibilă extinderea zonelor turistice la nord de stațiunea Mamaia și în special în zona Mamaia Sat – Tabăra Năvodari, scăderea din sectorul sudic pare inexplicabilă. Trebuie ținut însă cont că în zonele respective din Mamaia - Năvodari s-a investit foarte mult în apart-hoteluri și în vile/case de vacanță care, este posibil să nu fie toate înregistrate formal ca unități de primire turistică.</w:t>
      </w:r>
    </w:p>
    <w:p w14:paraId="2DA2189A" w14:textId="065FCBA9" w:rsidR="00D535CE" w:rsidRDefault="00D535CE" w:rsidP="00D535CE">
      <w:pPr>
        <w:ind w:firstLine="567"/>
        <w:rPr>
          <w:rFonts w:eastAsia="Times New Roman" w:cs="Times New Roman"/>
        </w:rPr>
      </w:pPr>
      <w:r>
        <w:rPr>
          <w:rFonts w:eastAsia="Times New Roman" w:cs="Times New Roman"/>
        </w:rPr>
        <w:t xml:space="preserve">Analiza documentațiilor PUG disponibile indică o creștere a suprafețelor de teren destinat activităților turistice în toate UAT-urile (Tabel </w:t>
      </w:r>
      <w:r w:rsidR="00314C19">
        <w:rPr>
          <w:rFonts w:eastAsia="Times New Roman" w:cs="Times New Roman"/>
        </w:rPr>
        <w:t>2.</w:t>
      </w:r>
      <w:r>
        <w:rPr>
          <w:rFonts w:eastAsia="Times New Roman" w:cs="Times New Roman"/>
        </w:rPr>
        <w:t>4.8.8.6). În sectorul nordic, zonele cu activități turistice sunt incluse în suprafața zonelor de instituții și servicii de interes public, așadar nu sunt disponibile date care privesc strict suprafața acestora. Se constată însă o creștere a suprafeței alocată zonelor de instituții și servicii de interes public în C.A.Rosetti (86,81%) și Murighiol (65,44%). Suprafața a fost menținută la Sulina, Sf. Gheorghe și Jurilovca. Pentru Istria și Corbu nu sunt date disponibile.</w:t>
      </w:r>
    </w:p>
    <w:p w14:paraId="3E968C3C" w14:textId="77777777" w:rsidR="00D535CE" w:rsidRDefault="00D535CE" w:rsidP="00D535CE">
      <w:pPr>
        <w:ind w:firstLine="567"/>
        <w:rPr>
          <w:rFonts w:eastAsia="Times New Roman" w:cs="Times New Roman"/>
        </w:rPr>
      </w:pPr>
      <w:r>
        <w:rPr>
          <w:rFonts w:eastAsia="Times New Roman" w:cs="Times New Roman"/>
        </w:rPr>
        <w:t>În sectorul sudic, zonele cu activități turistice sunt menționate distinct în cadrul bilanțului teritorial cu excepția Techirghiol (documentație PUG în curs de avizare) și Mangalia (cea mai recentă documentație PUG actualizată în anul 2019). În toate UAT-urile cu date PUG disponibile suprafața alocată zonelor pentru activități turistice a crescut: Eforie (cu 52,58%), Năvodari (cu 37,08%) și Mangalia (cu 21,39%). Techirghiol și Năvodari au documentații de actualizare PUG în curs de avizare și conform datelor disponibile în Rapoartele de mediu aferente documentațiilor este prevăzută o creștere a suprafețelor de teren destinate activităților turistice cu 119 % (Techirghiol) și cu 198,61% (Năvodari). Mangalia a aprobat prin PUG 2019 o creștere cu 21,39%. Limanu, deși nu a prognozat prin PUG o creștere a suprafeței de teren pentru activități turistice, ulterior a modificat destinația unei zone cu suprafață de 37,12 ha din zonă destinată activităților de locuire în zonă destinată activităților turistice, adică o creștere cu 632,15% față de PUG. Această zonă este situată între Vama Veche și 2 Mai și trebuie menționat că reglementările nu au produs încă efecte în teren.</w:t>
      </w:r>
    </w:p>
    <w:p w14:paraId="308EADCB" w14:textId="2414B46A" w:rsidR="00D535CE" w:rsidRDefault="00D535CE" w:rsidP="00D535CE">
      <w:pPr>
        <w:ind w:firstLine="567"/>
        <w:rPr>
          <w:rFonts w:eastAsia="Times New Roman" w:cs="Times New Roman"/>
        </w:rPr>
      </w:pPr>
      <w:r>
        <w:rPr>
          <w:rFonts w:eastAsia="Times New Roman" w:cs="Times New Roman"/>
        </w:rPr>
        <w:t xml:space="preserve">În sectorul sudic, în bilanțurile teritoriale ale zonelor din intravilan se constată existența unor zone mixte (activități de locuire și turistice) (Tabel </w:t>
      </w:r>
      <w:r w:rsidR="00314C19">
        <w:rPr>
          <w:rFonts w:eastAsia="Times New Roman" w:cs="Times New Roman"/>
        </w:rPr>
        <w:t>2.</w:t>
      </w:r>
      <w:r>
        <w:rPr>
          <w:rFonts w:eastAsia="Times New Roman" w:cs="Times New Roman"/>
        </w:rPr>
        <w:t>4.8.8.7). În Limanu, suprafața alocată pentru astfel de activități a crescut prin PUG cu 355,53%. În cazul Năvodari care are documentația PUG în curs de actualizare, conform datelor din Raportul de mediu se propune o creștere a suprafeței față de cea existentă cu 3,94%, iar în cazul Techirghiol aflat în situație similară creșterea este cu 26,94%.</w:t>
      </w:r>
    </w:p>
    <w:p w14:paraId="6CAE0FF9" w14:textId="77777777" w:rsidR="00D535CE" w:rsidRDefault="00D535CE" w:rsidP="00D535CE">
      <w:pPr>
        <w:ind w:firstLine="567"/>
        <w:rPr>
          <w:rFonts w:eastAsia="Times New Roman" w:cs="Times New Roman"/>
        </w:rPr>
      </w:pPr>
    </w:p>
    <w:p w14:paraId="6CA7AB61" w14:textId="495A0BD1" w:rsidR="00D535CE" w:rsidRDefault="00D535CE" w:rsidP="00D535CE">
      <w:pPr>
        <w:spacing w:line="240" w:lineRule="auto"/>
        <w:jc w:val="center"/>
        <w:rPr>
          <w:rFonts w:eastAsia="Times New Roman" w:cs="Times New Roman"/>
        </w:rPr>
      </w:pPr>
      <w:bookmarkStart w:id="105" w:name="_heading=h.1v1yuxt" w:colFirst="0" w:colLast="0"/>
      <w:bookmarkEnd w:id="105"/>
      <w:r>
        <w:rPr>
          <w:rFonts w:eastAsia="Times New Roman" w:cs="Times New Roman"/>
          <w:b/>
        </w:rPr>
        <w:t xml:space="preserve">Tabel </w:t>
      </w:r>
      <w:r w:rsidR="00314C19">
        <w:rPr>
          <w:rFonts w:eastAsia="Times New Roman" w:cs="Times New Roman"/>
          <w:b/>
        </w:rPr>
        <w:t>2.</w:t>
      </w:r>
      <w:r>
        <w:rPr>
          <w:rFonts w:eastAsia="Times New Roman" w:cs="Times New Roman"/>
          <w:b/>
        </w:rPr>
        <w:t>4.8.8.6 Zone cu activități turistice (date conform PUG) </w:t>
      </w:r>
    </w:p>
    <w:tbl>
      <w:tblPr>
        <w:tblW w:w="9016" w:type="dxa"/>
        <w:jc w:val="center"/>
        <w:tblLayout w:type="fixed"/>
        <w:tblLook w:val="0400" w:firstRow="0" w:lastRow="0" w:firstColumn="0" w:lastColumn="0" w:noHBand="0" w:noVBand="1"/>
      </w:tblPr>
      <w:tblGrid>
        <w:gridCol w:w="1254"/>
        <w:gridCol w:w="1216"/>
        <w:gridCol w:w="1082"/>
        <w:gridCol w:w="1421"/>
        <w:gridCol w:w="1375"/>
        <w:gridCol w:w="1345"/>
        <w:gridCol w:w="1323"/>
      </w:tblGrid>
      <w:tr w:rsidR="00D535CE" w14:paraId="29CF4DA6" w14:textId="77777777" w:rsidTr="00D46EB7">
        <w:trPr>
          <w:trHeight w:val="670"/>
          <w:jc w:val="center"/>
        </w:trPr>
        <w:tc>
          <w:tcPr>
            <w:tcW w:w="1254" w:type="dxa"/>
            <w:tcBorders>
              <w:top w:val="single" w:sz="4" w:space="0" w:color="000000"/>
              <w:left w:val="single" w:sz="4" w:space="0" w:color="000000"/>
              <w:bottom w:val="single" w:sz="8" w:space="0" w:color="000000"/>
              <w:right w:val="single" w:sz="8" w:space="0" w:color="000000"/>
            </w:tcBorders>
            <w:shd w:val="clear" w:color="auto" w:fill="BFBFBF"/>
            <w:tcMar>
              <w:top w:w="100" w:type="dxa"/>
              <w:left w:w="100" w:type="dxa"/>
              <w:bottom w:w="100" w:type="dxa"/>
              <w:right w:w="100" w:type="dxa"/>
            </w:tcMar>
          </w:tcPr>
          <w:p w14:paraId="7766A60A" w14:textId="77777777" w:rsidR="00D535CE" w:rsidRDefault="00D535CE" w:rsidP="00314C19">
            <w:pPr>
              <w:spacing w:after="0" w:line="240" w:lineRule="auto"/>
              <w:ind w:left="100" w:hanging="63"/>
              <w:jc w:val="center"/>
              <w:rPr>
                <w:rFonts w:eastAsia="Times New Roman" w:cs="Times New Roman"/>
                <w:b/>
                <w:sz w:val="20"/>
                <w:szCs w:val="20"/>
              </w:rPr>
            </w:pPr>
            <w:r>
              <w:rPr>
                <w:rFonts w:eastAsia="Times New Roman" w:cs="Times New Roman"/>
                <w:b/>
                <w:color w:val="000000"/>
                <w:sz w:val="20"/>
                <w:szCs w:val="20"/>
              </w:rPr>
              <w:lastRenderedPageBreak/>
              <w:t>UAT</w:t>
            </w:r>
          </w:p>
        </w:tc>
        <w:tc>
          <w:tcPr>
            <w:tcW w:w="1216" w:type="dxa"/>
            <w:tcBorders>
              <w:top w:val="single" w:sz="4"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37FCCCF0" w14:textId="77777777" w:rsidR="00D535CE" w:rsidRDefault="00D535CE" w:rsidP="00314C19">
            <w:pPr>
              <w:spacing w:after="0" w:line="240" w:lineRule="auto"/>
              <w:ind w:left="100" w:hanging="41"/>
              <w:rPr>
                <w:rFonts w:eastAsia="Times New Roman" w:cs="Times New Roman"/>
                <w:b/>
                <w:sz w:val="20"/>
                <w:szCs w:val="20"/>
              </w:rPr>
            </w:pPr>
            <w:r>
              <w:rPr>
                <w:rFonts w:eastAsia="Times New Roman" w:cs="Times New Roman"/>
                <w:b/>
                <w:color w:val="000000"/>
                <w:sz w:val="20"/>
                <w:szCs w:val="20"/>
              </w:rPr>
              <w:t>Existent la data aprobării PUG (ha)</w:t>
            </w:r>
          </w:p>
        </w:tc>
        <w:tc>
          <w:tcPr>
            <w:tcW w:w="1082" w:type="dxa"/>
            <w:tcBorders>
              <w:top w:val="single" w:sz="4"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784EDE0A" w14:textId="77777777" w:rsidR="00D535CE" w:rsidRDefault="00D535CE" w:rsidP="00314C19">
            <w:pPr>
              <w:spacing w:after="0" w:line="240" w:lineRule="auto"/>
              <w:ind w:hanging="23"/>
              <w:rPr>
                <w:rFonts w:eastAsia="Times New Roman" w:cs="Times New Roman"/>
                <w:b/>
                <w:sz w:val="20"/>
                <w:szCs w:val="20"/>
              </w:rPr>
            </w:pPr>
            <w:r>
              <w:rPr>
                <w:rFonts w:eastAsia="Times New Roman" w:cs="Times New Roman"/>
                <w:b/>
                <w:color w:val="000000"/>
                <w:sz w:val="20"/>
                <w:szCs w:val="20"/>
              </w:rPr>
              <w:t>Aprobat prin PUG (ha)</w:t>
            </w:r>
          </w:p>
        </w:tc>
        <w:tc>
          <w:tcPr>
            <w:tcW w:w="1421" w:type="dxa"/>
            <w:tcBorders>
              <w:top w:val="single" w:sz="4"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04A91115" w14:textId="77777777" w:rsidR="00D535CE" w:rsidRDefault="00D535CE" w:rsidP="00314C19">
            <w:pPr>
              <w:spacing w:after="0" w:line="240" w:lineRule="auto"/>
              <w:ind w:left="100" w:hanging="100"/>
              <w:rPr>
                <w:rFonts w:eastAsia="Times New Roman" w:cs="Times New Roman"/>
                <w:b/>
                <w:sz w:val="20"/>
                <w:szCs w:val="20"/>
              </w:rPr>
            </w:pPr>
            <w:r>
              <w:rPr>
                <w:rFonts w:eastAsia="Times New Roman" w:cs="Times New Roman"/>
                <w:b/>
                <w:color w:val="000000"/>
                <w:sz w:val="20"/>
                <w:szCs w:val="20"/>
              </w:rPr>
              <w:t>Aprobat prin PUZ extindere intravilan/ modificare PUG (ha)</w:t>
            </w:r>
          </w:p>
        </w:tc>
        <w:tc>
          <w:tcPr>
            <w:tcW w:w="1375" w:type="dxa"/>
            <w:tcBorders>
              <w:top w:val="single" w:sz="4"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65011863" w14:textId="77777777" w:rsidR="00D535CE" w:rsidRDefault="00D535CE" w:rsidP="00314C19">
            <w:pPr>
              <w:spacing w:after="0" w:line="240" w:lineRule="auto"/>
              <w:ind w:left="100" w:hanging="75"/>
              <w:rPr>
                <w:rFonts w:eastAsia="Times New Roman" w:cs="Times New Roman"/>
                <w:b/>
                <w:sz w:val="20"/>
                <w:szCs w:val="20"/>
              </w:rPr>
            </w:pPr>
            <w:r>
              <w:rPr>
                <w:rFonts w:eastAsia="Times New Roman" w:cs="Times New Roman"/>
                <w:b/>
                <w:color w:val="000000"/>
                <w:sz w:val="20"/>
                <w:szCs w:val="20"/>
              </w:rPr>
              <w:t>Existente la data actualizării PUG (ha)</w:t>
            </w:r>
          </w:p>
        </w:tc>
        <w:tc>
          <w:tcPr>
            <w:tcW w:w="1345" w:type="dxa"/>
            <w:tcBorders>
              <w:top w:val="single" w:sz="4"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76116BEC" w14:textId="77777777" w:rsidR="00D535CE" w:rsidRDefault="00D535CE" w:rsidP="00314C19">
            <w:pPr>
              <w:spacing w:after="0" w:line="240" w:lineRule="auto"/>
              <w:ind w:firstLine="0"/>
              <w:rPr>
                <w:rFonts w:eastAsia="Times New Roman" w:cs="Times New Roman"/>
                <w:b/>
                <w:sz w:val="20"/>
                <w:szCs w:val="20"/>
              </w:rPr>
            </w:pPr>
            <w:r>
              <w:rPr>
                <w:rFonts w:eastAsia="Times New Roman" w:cs="Times New Roman"/>
                <w:b/>
                <w:color w:val="000000"/>
                <w:sz w:val="20"/>
                <w:szCs w:val="20"/>
              </w:rPr>
              <w:t>Propus</w:t>
            </w:r>
          </w:p>
          <w:p w14:paraId="15663466" w14:textId="77777777" w:rsidR="00D535CE" w:rsidRDefault="00D535CE" w:rsidP="00314C19">
            <w:pPr>
              <w:spacing w:after="0" w:line="240" w:lineRule="auto"/>
              <w:ind w:firstLine="0"/>
              <w:rPr>
                <w:rFonts w:eastAsia="Times New Roman" w:cs="Times New Roman"/>
                <w:b/>
                <w:sz w:val="20"/>
                <w:szCs w:val="20"/>
              </w:rPr>
            </w:pPr>
            <w:r>
              <w:rPr>
                <w:rFonts w:eastAsia="Times New Roman" w:cs="Times New Roman"/>
                <w:b/>
                <w:color w:val="000000"/>
                <w:sz w:val="20"/>
                <w:szCs w:val="20"/>
              </w:rPr>
              <w:t>prin PUG în curs de actualizare (ha)</w:t>
            </w:r>
          </w:p>
        </w:tc>
        <w:tc>
          <w:tcPr>
            <w:tcW w:w="1323" w:type="dxa"/>
            <w:tcBorders>
              <w:top w:val="single" w:sz="4" w:space="0" w:color="000000"/>
              <w:left w:val="single" w:sz="8" w:space="0" w:color="000000"/>
              <w:bottom w:val="single" w:sz="8" w:space="0" w:color="000000"/>
              <w:right w:val="single" w:sz="4" w:space="0" w:color="000000"/>
            </w:tcBorders>
            <w:shd w:val="clear" w:color="auto" w:fill="BFBFBF"/>
            <w:tcMar>
              <w:top w:w="100" w:type="dxa"/>
              <w:left w:w="100" w:type="dxa"/>
              <w:bottom w:w="100" w:type="dxa"/>
              <w:right w:w="100" w:type="dxa"/>
            </w:tcMar>
          </w:tcPr>
          <w:p w14:paraId="0CF4E3AE" w14:textId="77777777" w:rsidR="00D535CE" w:rsidRDefault="00D535CE" w:rsidP="00314C19">
            <w:pPr>
              <w:spacing w:after="0" w:line="240" w:lineRule="auto"/>
              <w:ind w:left="100" w:hanging="101"/>
              <w:jc w:val="left"/>
              <w:rPr>
                <w:rFonts w:eastAsia="Times New Roman" w:cs="Times New Roman"/>
                <w:b/>
                <w:sz w:val="20"/>
                <w:szCs w:val="20"/>
              </w:rPr>
            </w:pPr>
            <w:r>
              <w:rPr>
                <w:rFonts w:eastAsia="Times New Roman" w:cs="Times New Roman"/>
                <w:b/>
                <w:color w:val="000000"/>
                <w:sz w:val="20"/>
                <w:szCs w:val="20"/>
              </w:rPr>
              <w:t>Observațiii</w:t>
            </w:r>
          </w:p>
        </w:tc>
      </w:tr>
      <w:tr w:rsidR="00D535CE" w14:paraId="156114E1" w14:textId="77777777" w:rsidTr="00D46EB7">
        <w:trPr>
          <w:trHeight w:val="615"/>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10E29F11" w14:textId="77777777" w:rsidR="00D535CE" w:rsidRDefault="00D535CE" w:rsidP="00314C19">
            <w:pPr>
              <w:spacing w:after="0" w:line="240" w:lineRule="auto"/>
              <w:ind w:left="100" w:hanging="63"/>
              <w:rPr>
                <w:rFonts w:eastAsia="Times New Roman" w:cs="Times New Roman"/>
                <w:sz w:val="20"/>
                <w:szCs w:val="20"/>
              </w:rPr>
            </w:pPr>
            <w:r>
              <w:rPr>
                <w:rFonts w:eastAsia="Times New Roman" w:cs="Times New Roman"/>
                <w:color w:val="000000"/>
                <w:sz w:val="20"/>
                <w:szCs w:val="20"/>
              </w:rPr>
              <w:t>C.A.Rosetti</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FD06C5" w14:textId="77777777" w:rsidR="00D535CE" w:rsidRDefault="00D535CE" w:rsidP="00314C19">
            <w:pPr>
              <w:spacing w:after="0" w:line="240" w:lineRule="auto"/>
              <w:ind w:hanging="41"/>
              <w:rPr>
                <w:rFonts w:eastAsia="Times New Roman" w:cs="Times New Roman"/>
                <w:sz w:val="20"/>
                <w:szCs w:val="20"/>
              </w:rPr>
            </w:pPr>
            <w:r>
              <w:rPr>
                <w:rFonts w:eastAsia="Times New Roman" w:cs="Times New Roman"/>
                <w:color w:val="000000"/>
                <w:sz w:val="20"/>
                <w:szCs w:val="20"/>
              </w:rPr>
              <w:t>5,46</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F9AB3A" w14:textId="77777777" w:rsidR="00D535CE" w:rsidRDefault="00D535CE" w:rsidP="00314C19">
            <w:pPr>
              <w:spacing w:after="0" w:line="240" w:lineRule="auto"/>
              <w:ind w:left="100" w:hanging="23"/>
              <w:rPr>
                <w:rFonts w:eastAsia="Times New Roman" w:cs="Times New Roman"/>
                <w:sz w:val="20"/>
                <w:szCs w:val="20"/>
              </w:rPr>
            </w:pPr>
            <w:r>
              <w:rPr>
                <w:rFonts w:eastAsia="Times New Roman" w:cs="Times New Roman"/>
                <w:color w:val="000000"/>
                <w:sz w:val="20"/>
                <w:szCs w:val="20"/>
              </w:rPr>
              <w:t>10,20</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2AACFB"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color w:val="000000"/>
                <w:sz w:val="20"/>
                <w:szCs w:val="20"/>
              </w:rPr>
              <w:t> </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3AFC04" w14:textId="77777777" w:rsidR="00D535CE" w:rsidRDefault="00D535CE" w:rsidP="00314C19">
            <w:pPr>
              <w:spacing w:after="0" w:line="240" w:lineRule="auto"/>
              <w:ind w:left="100" w:hanging="75"/>
              <w:rPr>
                <w:rFonts w:eastAsia="Times New Roman" w:cs="Times New Roman"/>
                <w:sz w:val="20"/>
                <w:szCs w:val="20"/>
              </w:rPr>
            </w:pPr>
            <w:r>
              <w:rPr>
                <w:rFonts w:eastAsia="Times New Roman" w:cs="Times New Roman"/>
                <w:color w:val="000000"/>
                <w:sz w:val="20"/>
                <w:szCs w:val="20"/>
              </w:rPr>
              <w:t> </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E2EF55" w14:textId="77777777" w:rsidR="00D535CE" w:rsidRDefault="00D535CE" w:rsidP="00314C19">
            <w:pPr>
              <w:spacing w:after="0" w:line="240" w:lineRule="auto"/>
              <w:ind w:left="100" w:firstLine="0"/>
              <w:rPr>
                <w:rFonts w:eastAsia="Times New Roman" w:cs="Times New Roman"/>
                <w:sz w:val="20"/>
                <w:szCs w:val="20"/>
              </w:rPr>
            </w:pPr>
            <w:r>
              <w:rPr>
                <w:rFonts w:eastAsia="Times New Roman" w:cs="Times New Roman"/>
                <w:color w:val="000000"/>
                <w:sz w:val="20"/>
                <w:szCs w:val="20"/>
              </w:rPr>
              <w:t> </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38046D77" w14:textId="77777777" w:rsidR="00D535CE" w:rsidRDefault="00D535CE" w:rsidP="00314C19">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Instituții și servicii</w:t>
            </w:r>
          </w:p>
          <w:p w14:paraId="1CE8430D" w14:textId="77777777" w:rsidR="00D535CE" w:rsidRDefault="00D535CE" w:rsidP="00314C19">
            <w:pPr>
              <w:spacing w:after="0" w:line="240" w:lineRule="auto"/>
              <w:ind w:hanging="101"/>
              <w:jc w:val="left"/>
              <w:rPr>
                <w:rFonts w:eastAsia="Times New Roman" w:cs="Times New Roman"/>
                <w:sz w:val="20"/>
                <w:szCs w:val="20"/>
              </w:rPr>
            </w:pPr>
            <w:r>
              <w:rPr>
                <w:rFonts w:eastAsia="Times New Roman" w:cs="Times New Roman"/>
                <w:color w:val="000000"/>
                <w:sz w:val="20"/>
                <w:szCs w:val="20"/>
              </w:rPr>
              <w:t>de interes public</w:t>
            </w:r>
          </w:p>
        </w:tc>
      </w:tr>
      <w:tr w:rsidR="00D535CE" w14:paraId="1A91A4E3" w14:textId="77777777" w:rsidTr="00D46EB7">
        <w:trPr>
          <w:trHeight w:val="585"/>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486AB655" w14:textId="77777777" w:rsidR="00D535CE" w:rsidRDefault="00D535CE" w:rsidP="00314C19">
            <w:pPr>
              <w:spacing w:after="0" w:line="240" w:lineRule="auto"/>
              <w:ind w:left="100" w:hanging="63"/>
              <w:rPr>
                <w:rFonts w:eastAsia="Times New Roman" w:cs="Times New Roman"/>
                <w:sz w:val="20"/>
                <w:szCs w:val="20"/>
              </w:rPr>
            </w:pPr>
            <w:r>
              <w:rPr>
                <w:rFonts w:eastAsia="Times New Roman" w:cs="Times New Roman"/>
                <w:color w:val="000000"/>
                <w:sz w:val="20"/>
                <w:szCs w:val="20"/>
              </w:rPr>
              <w:t>Sulina</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E1B65E" w14:textId="77777777" w:rsidR="00D535CE" w:rsidRDefault="00D535CE" w:rsidP="00314C19">
            <w:pPr>
              <w:spacing w:after="0" w:line="240" w:lineRule="auto"/>
              <w:ind w:left="100" w:hanging="41"/>
              <w:rPr>
                <w:rFonts w:eastAsia="Times New Roman" w:cs="Times New Roman"/>
                <w:sz w:val="20"/>
                <w:szCs w:val="20"/>
              </w:rPr>
            </w:pPr>
            <w:r>
              <w:rPr>
                <w:rFonts w:eastAsia="Times New Roman" w:cs="Times New Roman"/>
                <w:color w:val="000000"/>
                <w:sz w:val="20"/>
                <w:szCs w:val="20"/>
              </w:rPr>
              <w:t>10,39</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1E05AC" w14:textId="77777777" w:rsidR="00D535CE" w:rsidRDefault="00D535CE" w:rsidP="00314C19">
            <w:pPr>
              <w:spacing w:after="0" w:line="240" w:lineRule="auto"/>
              <w:ind w:left="100" w:hanging="23"/>
              <w:rPr>
                <w:rFonts w:eastAsia="Times New Roman" w:cs="Times New Roman"/>
                <w:sz w:val="20"/>
                <w:szCs w:val="20"/>
              </w:rPr>
            </w:pPr>
            <w:r>
              <w:rPr>
                <w:rFonts w:eastAsia="Times New Roman" w:cs="Times New Roman"/>
                <w:color w:val="000000"/>
                <w:sz w:val="20"/>
                <w:szCs w:val="20"/>
              </w:rPr>
              <w:t>10,39</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CC62F0"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color w:val="000000"/>
                <w:sz w:val="20"/>
                <w:szCs w:val="20"/>
              </w:rPr>
              <w:t> </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FC67A8" w14:textId="77777777" w:rsidR="00D535CE" w:rsidRDefault="00D535CE" w:rsidP="00314C19">
            <w:pPr>
              <w:spacing w:after="0" w:line="240" w:lineRule="auto"/>
              <w:ind w:left="100" w:hanging="75"/>
              <w:rPr>
                <w:rFonts w:eastAsia="Times New Roman" w:cs="Times New Roman"/>
                <w:sz w:val="20"/>
                <w:szCs w:val="20"/>
              </w:rPr>
            </w:pPr>
            <w:r>
              <w:rPr>
                <w:rFonts w:eastAsia="Times New Roman" w:cs="Times New Roman"/>
                <w:color w:val="000000"/>
                <w:sz w:val="20"/>
                <w:szCs w:val="20"/>
              </w:rPr>
              <w:t> </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216309" w14:textId="77777777" w:rsidR="00D535CE" w:rsidRDefault="00D535CE" w:rsidP="00314C19">
            <w:pPr>
              <w:spacing w:after="0" w:line="240" w:lineRule="auto"/>
              <w:ind w:left="100" w:firstLine="0"/>
              <w:rPr>
                <w:rFonts w:eastAsia="Times New Roman" w:cs="Times New Roman"/>
                <w:sz w:val="20"/>
                <w:szCs w:val="20"/>
              </w:rPr>
            </w:pPr>
            <w:r>
              <w:rPr>
                <w:rFonts w:eastAsia="Times New Roman" w:cs="Times New Roman"/>
                <w:color w:val="000000"/>
                <w:sz w:val="20"/>
                <w:szCs w:val="20"/>
              </w:rPr>
              <w:t> </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74E1234A" w14:textId="77777777" w:rsidR="00D535CE" w:rsidRDefault="00D535CE" w:rsidP="00314C19">
            <w:pPr>
              <w:spacing w:after="0" w:line="240" w:lineRule="auto"/>
              <w:ind w:hanging="101"/>
              <w:jc w:val="left"/>
              <w:rPr>
                <w:rFonts w:eastAsia="Times New Roman" w:cs="Times New Roman"/>
                <w:sz w:val="20"/>
                <w:szCs w:val="20"/>
              </w:rPr>
            </w:pPr>
            <w:r>
              <w:rPr>
                <w:rFonts w:eastAsia="Times New Roman" w:cs="Times New Roman"/>
                <w:color w:val="000000"/>
                <w:sz w:val="20"/>
                <w:szCs w:val="20"/>
              </w:rPr>
              <w:t>Instituții și servicii</w:t>
            </w:r>
          </w:p>
          <w:p w14:paraId="7C13B19C" w14:textId="77777777" w:rsidR="00D535CE" w:rsidRDefault="00D535CE" w:rsidP="00314C19">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de interes public</w:t>
            </w:r>
          </w:p>
        </w:tc>
      </w:tr>
      <w:tr w:rsidR="00D535CE" w14:paraId="6EE3443B" w14:textId="77777777" w:rsidTr="00D46EB7">
        <w:trPr>
          <w:trHeight w:val="570"/>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606F4BA4" w14:textId="77777777" w:rsidR="00D535CE" w:rsidRDefault="00D535CE" w:rsidP="00314C19">
            <w:pPr>
              <w:spacing w:after="0" w:line="240" w:lineRule="auto"/>
              <w:ind w:left="100" w:hanging="63"/>
              <w:rPr>
                <w:rFonts w:eastAsia="Times New Roman" w:cs="Times New Roman"/>
                <w:sz w:val="20"/>
                <w:szCs w:val="20"/>
              </w:rPr>
            </w:pPr>
            <w:r>
              <w:rPr>
                <w:rFonts w:eastAsia="Times New Roman" w:cs="Times New Roman"/>
                <w:color w:val="000000"/>
                <w:sz w:val="20"/>
                <w:szCs w:val="20"/>
              </w:rPr>
              <w:t>Sf. Gheorghe</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B5AEBE" w14:textId="77777777" w:rsidR="00D535CE" w:rsidRDefault="00D535CE" w:rsidP="00314C19">
            <w:pPr>
              <w:spacing w:after="0" w:line="240" w:lineRule="auto"/>
              <w:ind w:left="100" w:hanging="41"/>
              <w:rPr>
                <w:rFonts w:eastAsia="Times New Roman" w:cs="Times New Roman"/>
                <w:sz w:val="20"/>
                <w:szCs w:val="20"/>
              </w:rPr>
            </w:pPr>
            <w:r>
              <w:rPr>
                <w:rFonts w:eastAsia="Times New Roman" w:cs="Times New Roman"/>
                <w:color w:val="000000"/>
                <w:sz w:val="20"/>
                <w:szCs w:val="20"/>
              </w:rPr>
              <w:t>2,61</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FD7288" w14:textId="77777777" w:rsidR="00D535CE" w:rsidRDefault="00D535CE" w:rsidP="00314C19">
            <w:pPr>
              <w:spacing w:after="0" w:line="240" w:lineRule="auto"/>
              <w:ind w:left="100" w:hanging="23"/>
              <w:rPr>
                <w:rFonts w:eastAsia="Times New Roman" w:cs="Times New Roman"/>
                <w:sz w:val="20"/>
                <w:szCs w:val="20"/>
              </w:rPr>
            </w:pPr>
            <w:r>
              <w:rPr>
                <w:rFonts w:eastAsia="Times New Roman" w:cs="Times New Roman"/>
                <w:color w:val="000000"/>
                <w:sz w:val="20"/>
                <w:szCs w:val="20"/>
              </w:rPr>
              <w:t>2,61</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1FBE80"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color w:val="000000"/>
                <w:sz w:val="20"/>
                <w:szCs w:val="20"/>
              </w:rPr>
              <w:t> </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DBE7FB" w14:textId="77777777" w:rsidR="00D535CE" w:rsidRDefault="00D535CE" w:rsidP="00314C19">
            <w:pPr>
              <w:spacing w:after="0" w:line="240" w:lineRule="auto"/>
              <w:ind w:left="100" w:hanging="75"/>
              <w:rPr>
                <w:rFonts w:eastAsia="Times New Roman" w:cs="Times New Roman"/>
                <w:sz w:val="20"/>
                <w:szCs w:val="20"/>
              </w:rPr>
            </w:pPr>
            <w:r>
              <w:rPr>
                <w:rFonts w:eastAsia="Times New Roman" w:cs="Times New Roman"/>
                <w:color w:val="000000"/>
                <w:sz w:val="20"/>
                <w:szCs w:val="20"/>
              </w:rPr>
              <w:t> </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5F337F" w14:textId="77777777" w:rsidR="00D535CE" w:rsidRDefault="00D535CE" w:rsidP="00314C19">
            <w:pPr>
              <w:spacing w:after="0" w:line="240" w:lineRule="auto"/>
              <w:ind w:left="100" w:firstLine="0"/>
              <w:rPr>
                <w:rFonts w:eastAsia="Times New Roman" w:cs="Times New Roman"/>
                <w:sz w:val="20"/>
                <w:szCs w:val="20"/>
              </w:rPr>
            </w:pPr>
            <w:r>
              <w:rPr>
                <w:rFonts w:eastAsia="Times New Roman" w:cs="Times New Roman"/>
                <w:color w:val="000000"/>
                <w:sz w:val="20"/>
                <w:szCs w:val="20"/>
              </w:rPr>
              <w:t> </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1847592B" w14:textId="77777777" w:rsidR="00D535CE" w:rsidRDefault="00D535CE" w:rsidP="00314C19">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Instituții și servicii</w:t>
            </w:r>
          </w:p>
          <w:p w14:paraId="04348BC9" w14:textId="77777777" w:rsidR="00D535CE" w:rsidRDefault="00D535CE" w:rsidP="00314C19">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de interes public</w:t>
            </w:r>
          </w:p>
        </w:tc>
      </w:tr>
      <w:tr w:rsidR="00D535CE" w14:paraId="38EDABD6" w14:textId="77777777" w:rsidTr="00D46EB7">
        <w:trPr>
          <w:trHeight w:val="630"/>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1FBD7DB4" w14:textId="77777777" w:rsidR="00D535CE" w:rsidRDefault="00D535CE" w:rsidP="00314C19">
            <w:pPr>
              <w:spacing w:after="0" w:line="240" w:lineRule="auto"/>
              <w:ind w:left="100" w:hanging="63"/>
              <w:rPr>
                <w:rFonts w:eastAsia="Times New Roman" w:cs="Times New Roman"/>
                <w:sz w:val="20"/>
                <w:szCs w:val="20"/>
              </w:rPr>
            </w:pPr>
            <w:r>
              <w:rPr>
                <w:rFonts w:eastAsia="Times New Roman" w:cs="Times New Roman"/>
                <w:color w:val="000000"/>
                <w:sz w:val="20"/>
                <w:szCs w:val="20"/>
              </w:rPr>
              <w:t>Murighiol</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8C1604" w14:textId="77777777" w:rsidR="00D535CE" w:rsidRDefault="00D535CE" w:rsidP="00314C19">
            <w:pPr>
              <w:spacing w:after="0" w:line="240" w:lineRule="auto"/>
              <w:ind w:left="100" w:hanging="41"/>
              <w:rPr>
                <w:rFonts w:eastAsia="Times New Roman" w:cs="Times New Roman"/>
                <w:sz w:val="20"/>
                <w:szCs w:val="20"/>
              </w:rPr>
            </w:pPr>
            <w:r>
              <w:rPr>
                <w:rFonts w:eastAsia="Times New Roman" w:cs="Times New Roman"/>
                <w:color w:val="000000"/>
                <w:sz w:val="20"/>
                <w:szCs w:val="20"/>
              </w:rPr>
              <w:t>8,16</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35770F" w14:textId="77777777" w:rsidR="00D535CE" w:rsidRDefault="00D535CE" w:rsidP="00314C19">
            <w:pPr>
              <w:spacing w:after="0" w:line="240" w:lineRule="auto"/>
              <w:ind w:left="100" w:hanging="23"/>
              <w:rPr>
                <w:rFonts w:eastAsia="Times New Roman" w:cs="Times New Roman"/>
                <w:sz w:val="20"/>
                <w:szCs w:val="20"/>
              </w:rPr>
            </w:pPr>
            <w:r>
              <w:rPr>
                <w:rFonts w:eastAsia="Times New Roman" w:cs="Times New Roman"/>
                <w:color w:val="000000"/>
                <w:sz w:val="20"/>
                <w:szCs w:val="20"/>
              </w:rPr>
              <w:t>13,50</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2571F6"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color w:val="000000"/>
                <w:sz w:val="20"/>
                <w:szCs w:val="20"/>
              </w:rPr>
              <w:t> </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91B96C" w14:textId="77777777" w:rsidR="00D535CE" w:rsidRDefault="00D535CE" w:rsidP="00314C19">
            <w:pPr>
              <w:spacing w:after="0" w:line="240" w:lineRule="auto"/>
              <w:ind w:left="100" w:hanging="75"/>
              <w:rPr>
                <w:rFonts w:eastAsia="Times New Roman" w:cs="Times New Roman"/>
                <w:sz w:val="20"/>
                <w:szCs w:val="20"/>
              </w:rPr>
            </w:pPr>
            <w:r>
              <w:rPr>
                <w:rFonts w:eastAsia="Times New Roman" w:cs="Times New Roman"/>
                <w:color w:val="000000"/>
                <w:sz w:val="20"/>
                <w:szCs w:val="20"/>
              </w:rPr>
              <w:t> </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83098D" w14:textId="77777777" w:rsidR="00D535CE" w:rsidRDefault="00D535CE" w:rsidP="00314C19">
            <w:pPr>
              <w:spacing w:after="0" w:line="240" w:lineRule="auto"/>
              <w:ind w:left="100" w:firstLine="0"/>
              <w:rPr>
                <w:rFonts w:eastAsia="Times New Roman" w:cs="Times New Roman"/>
                <w:sz w:val="20"/>
                <w:szCs w:val="20"/>
              </w:rPr>
            </w:pPr>
            <w:r>
              <w:rPr>
                <w:rFonts w:eastAsia="Times New Roman" w:cs="Times New Roman"/>
                <w:color w:val="000000"/>
                <w:sz w:val="20"/>
                <w:szCs w:val="20"/>
              </w:rPr>
              <w:t> </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00122B3C" w14:textId="77777777" w:rsidR="00D535CE" w:rsidRDefault="00D535CE" w:rsidP="00314C19">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Instituții și servicii</w:t>
            </w:r>
          </w:p>
          <w:p w14:paraId="54115B70" w14:textId="77777777" w:rsidR="00D535CE" w:rsidRDefault="00D535CE" w:rsidP="00314C19">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de interes public</w:t>
            </w:r>
          </w:p>
        </w:tc>
      </w:tr>
      <w:tr w:rsidR="00D535CE" w14:paraId="1D6DD6BF" w14:textId="77777777" w:rsidTr="00D46EB7">
        <w:trPr>
          <w:trHeight w:val="660"/>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10E5F12F" w14:textId="77777777" w:rsidR="00D535CE" w:rsidRDefault="00D535CE" w:rsidP="00314C19">
            <w:pPr>
              <w:spacing w:after="0" w:line="240" w:lineRule="auto"/>
              <w:ind w:left="100" w:hanging="63"/>
              <w:rPr>
                <w:rFonts w:eastAsia="Times New Roman" w:cs="Times New Roman"/>
                <w:sz w:val="20"/>
                <w:szCs w:val="20"/>
              </w:rPr>
            </w:pPr>
            <w:r>
              <w:rPr>
                <w:rFonts w:eastAsia="Times New Roman" w:cs="Times New Roman"/>
                <w:color w:val="000000"/>
                <w:sz w:val="20"/>
                <w:szCs w:val="20"/>
              </w:rPr>
              <w:t>Jurilovca</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6253A4" w14:textId="77777777" w:rsidR="00D535CE" w:rsidRDefault="00D535CE" w:rsidP="00314C19">
            <w:pPr>
              <w:spacing w:after="0" w:line="240" w:lineRule="auto"/>
              <w:ind w:left="100" w:hanging="41"/>
              <w:rPr>
                <w:rFonts w:eastAsia="Times New Roman" w:cs="Times New Roman"/>
                <w:sz w:val="20"/>
                <w:szCs w:val="20"/>
              </w:rPr>
            </w:pPr>
            <w:r>
              <w:rPr>
                <w:rFonts w:eastAsia="Times New Roman" w:cs="Times New Roman"/>
                <w:color w:val="000000"/>
                <w:sz w:val="20"/>
                <w:szCs w:val="20"/>
              </w:rPr>
              <w:t>5,89</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2FA3EE" w14:textId="77777777" w:rsidR="00D535CE" w:rsidRDefault="00D535CE" w:rsidP="00314C19">
            <w:pPr>
              <w:spacing w:after="0" w:line="240" w:lineRule="auto"/>
              <w:ind w:left="100" w:hanging="23"/>
              <w:rPr>
                <w:rFonts w:eastAsia="Times New Roman" w:cs="Times New Roman"/>
                <w:sz w:val="20"/>
                <w:szCs w:val="20"/>
              </w:rPr>
            </w:pPr>
            <w:r>
              <w:rPr>
                <w:rFonts w:eastAsia="Times New Roman" w:cs="Times New Roman"/>
                <w:color w:val="000000"/>
                <w:sz w:val="20"/>
                <w:szCs w:val="20"/>
              </w:rPr>
              <w:t>5,89</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B0A3C6"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color w:val="000000"/>
                <w:sz w:val="20"/>
                <w:szCs w:val="20"/>
              </w:rPr>
              <w:t> </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87B341" w14:textId="77777777" w:rsidR="00D535CE" w:rsidRDefault="00D535CE" w:rsidP="00314C19">
            <w:pPr>
              <w:spacing w:after="0" w:line="240" w:lineRule="auto"/>
              <w:ind w:left="100" w:hanging="75"/>
              <w:rPr>
                <w:rFonts w:eastAsia="Times New Roman" w:cs="Times New Roman"/>
                <w:sz w:val="20"/>
                <w:szCs w:val="20"/>
              </w:rPr>
            </w:pPr>
            <w:r>
              <w:rPr>
                <w:rFonts w:eastAsia="Times New Roman" w:cs="Times New Roman"/>
                <w:color w:val="000000"/>
                <w:sz w:val="20"/>
                <w:szCs w:val="20"/>
              </w:rPr>
              <w:t> </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F493AA" w14:textId="77777777" w:rsidR="00D535CE" w:rsidRDefault="00D535CE" w:rsidP="00314C19">
            <w:pPr>
              <w:spacing w:after="0" w:line="240" w:lineRule="auto"/>
              <w:ind w:left="100" w:firstLine="0"/>
              <w:rPr>
                <w:rFonts w:eastAsia="Times New Roman" w:cs="Times New Roman"/>
                <w:sz w:val="20"/>
                <w:szCs w:val="20"/>
              </w:rPr>
            </w:pPr>
            <w:r>
              <w:rPr>
                <w:rFonts w:eastAsia="Times New Roman" w:cs="Times New Roman"/>
                <w:color w:val="000000"/>
                <w:sz w:val="20"/>
                <w:szCs w:val="20"/>
              </w:rPr>
              <w:t> </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79D1AC6F" w14:textId="77777777" w:rsidR="00D535CE" w:rsidRDefault="00D535CE" w:rsidP="00314C19">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Instituții și servicii</w:t>
            </w:r>
          </w:p>
          <w:p w14:paraId="7BD109B1" w14:textId="77777777" w:rsidR="00D535CE" w:rsidRDefault="00D535CE" w:rsidP="00314C19">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de interes public</w:t>
            </w:r>
          </w:p>
        </w:tc>
      </w:tr>
      <w:tr w:rsidR="00D535CE" w14:paraId="0E373AD2" w14:textId="77777777" w:rsidTr="00D46EB7">
        <w:trPr>
          <w:trHeight w:val="398"/>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19D41237" w14:textId="77777777" w:rsidR="00D535CE" w:rsidRDefault="00D535CE" w:rsidP="00314C19">
            <w:pPr>
              <w:spacing w:after="0" w:line="240" w:lineRule="auto"/>
              <w:ind w:left="100" w:hanging="63"/>
              <w:rPr>
                <w:rFonts w:eastAsia="Times New Roman" w:cs="Times New Roman"/>
                <w:sz w:val="20"/>
                <w:szCs w:val="20"/>
              </w:rPr>
            </w:pPr>
            <w:r>
              <w:rPr>
                <w:rFonts w:eastAsia="Times New Roman" w:cs="Times New Roman"/>
                <w:color w:val="000000"/>
                <w:sz w:val="20"/>
                <w:szCs w:val="20"/>
              </w:rPr>
              <w:t>Mihai Viteazu</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CB7DA0" w14:textId="77777777" w:rsidR="00D535CE" w:rsidRDefault="00D535CE" w:rsidP="00314C19">
            <w:pPr>
              <w:spacing w:after="0" w:line="240" w:lineRule="auto"/>
              <w:ind w:left="100" w:hanging="41"/>
              <w:rPr>
                <w:rFonts w:eastAsia="Times New Roman" w:cs="Times New Roman"/>
                <w:sz w:val="20"/>
                <w:szCs w:val="20"/>
              </w:rPr>
            </w:pPr>
            <w:r>
              <w:rPr>
                <w:rFonts w:eastAsia="Times New Roman" w:cs="Times New Roman"/>
                <w:i/>
                <w:color w:val="000000"/>
                <w:sz w:val="20"/>
                <w:szCs w:val="20"/>
              </w:rPr>
              <w:t>lipsă date</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9F656D" w14:textId="77777777" w:rsidR="00D535CE" w:rsidRDefault="00D535CE" w:rsidP="00314C19">
            <w:pPr>
              <w:spacing w:after="0" w:line="240" w:lineRule="auto"/>
              <w:ind w:left="100" w:hanging="23"/>
              <w:rPr>
                <w:rFonts w:eastAsia="Times New Roman" w:cs="Times New Roman"/>
                <w:sz w:val="20"/>
                <w:szCs w:val="20"/>
              </w:rPr>
            </w:pPr>
            <w:r>
              <w:rPr>
                <w:rFonts w:eastAsia="Times New Roman" w:cs="Times New Roman"/>
                <w:color w:val="000000"/>
                <w:sz w:val="20"/>
                <w:szCs w:val="20"/>
              </w:rPr>
              <w:t>6,50</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02DBA5"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color w:val="000000"/>
                <w:sz w:val="20"/>
                <w:szCs w:val="20"/>
              </w:rPr>
              <w:t> </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B102A3" w14:textId="77777777" w:rsidR="00D535CE" w:rsidRDefault="00D535CE" w:rsidP="00314C19">
            <w:pPr>
              <w:spacing w:after="0" w:line="240" w:lineRule="auto"/>
              <w:ind w:left="100" w:hanging="75"/>
              <w:rPr>
                <w:rFonts w:eastAsia="Times New Roman" w:cs="Times New Roman"/>
                <w:sz w:val="20"/>
                <w:szCs w:val="20"/>
              </w:rPr>
            </w:pPr>
            <w:r>
              <w:rPr>
                <w:rFonts w:eastAsia="Times New Roman" w:cs="Times New Roman"/>
                <w:color w:val="000000"/>
                <w:sz w:val="20"/>
                <w:szCs w:val="20"/>
              </w:rPr>
              <w:t> </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BEFBD0" w14:textId="77777777" w:rsidR="00D535CE" w:rsidRDefault="00D535CE" w:rsidP="00314C19">
            <w:pPr>
              <w:spacing w:after="0" w:line="240" w:lineRule="auto"/>
              <w:ind w:left="100" w:firstLine="0"/>
              <w:rPr>
                <w:rFonts w:eastAsia="Times New Roman" w:cs="Times New Roman"/>
                <w:sz w:val="20"/>
                <w:szCs w:val="20"/>
              </w:rPr>
            </w:pPr>
            <w:r>
              <w:rPr>
                <w:rFonts w:eastAsia="Times New Roman" w:cs="Times New Roman"/>
                <w:color w:val="000000"/>
                <w:sz w:val="20"/>
                <w:szCs w:val="20"/>
              </w:rPr>
              <w:t> </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08CF27D1" w14:textId="77777777" w:rsidR="00D535CE" w:rsidRDefault="00D535CE" w:rsidP="00314C19">
            <w:pPr>
              <w:spacing w:after="0" w:line="240" w:lineRule="auto"/>
              <w:ind w:hanging="101"/>
              <w:jc w:val="left"/>
              <w:rPr>
                <w:rFonts w:eastAsia="Times New Roman" w:cs="Times New Roman"/>
                <w:sz w:val="20"/>
                <w:szCs w:val="20"/>
              </w:rPr>
            </w:pPr>
          </w:p>
        </w:tc>
      </w:tr>
      <w:tr w:rsidR="00D535CE" w14:paraId="651D4CFD" w14:textId="77777777" w:rsidTr="00D46EB7">
        <w:trPr>
          <w:trHeight w:val="358"/>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77D83F1C" w14:textId="77777777" w:rsidR="00D535CE" w:rsidRDefault="00D535CE" w:rsidP="00314C19">
            <w:pPr>
              <w:spacing w:after="0" w:line="240" w:lineRule="auto"/>
              <w:ind w:left="100" w:hanging="63"/>
              <w:rPr>
                <w:rFonts w:eastAsia="Times New Roman" w:cs="Times New Roman"/>
                <w:sz w:val="20"/>
                <w:szCs w:val="20"/>
              </w:rPr>
            </w:pPr>
            <w:r>
              <w:rPr>
                <w:rFonts w:eastAsia="Times New Roman" w:cs="Times New Roman"/>
                <w:color w:val="000000"/>
                <w:sz w:val="20"/>
                <w:szCs w:val="20"/>
              </w:rPr>
              <w:t>Istria</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FA178C" w14:textId="77777777" w:rsidR="00D535CE" w:rsidRDefault="00D535CE" w:rsidP="00314C19">
            <w:pPr>
              <w:spacing w:after="0" w:line="240" w:lineRule="auto"/>
              <w:ind w:left="100" w:hanging="41"/>
              <w:rPr>
                <w:rFonts w:eastAsia="Times New Roman" w:cs="Times New Roman"/>
                <w:sz w:val="20"/>
                <w:szCs w:val="20"/>
              </w:rPr>
            </w:pPr>
            <w:r>
              <w:rPr>
                <w:rFonts w:eastAsia="Times New Roman" w:cs="Times New Roman"/>
                <w:i/>
                <w:color w:val="000000"/>
                <w:sz w:val="20"/>
                <w:szCs w:val="20"/>
              </w:rPr>
              <w:t>lipsă date</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6631CC" w14:textId="77777777" w:rsidR="00D535CE" w:rsidRDefault="00D535CE" w:rsidP="00314C19">
            <w:pPr>
              <w:spacing w:after="0" w:line="240" w:lineRule="auto"/>
              <w:ind w:left="100" w:hanging="23"/>
              <w:rPr>
                <w:rFonts w:eastAsia="Times New Roman" w:cs="Times New Roman"/>
                <w:sz w:val="20"/>
                <w:szCs w:val="20"/>
              </w:rPr>
            </w:pPr>
            <w:r>
              <w:rPr>
                <w:rFonts w:eastAsia="Times New Roman" w:cs="Times New Roman"/>
                <w:i/>
                <w:color w:val="000000"/>
                <w:sz w:val="20"/>
                <w:szCs w:val="20"/>
              </w:rPr>
              <w:t>lipsă date</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913413"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color w:val="000000"/>
                <w:sz w:val="20"/>
                <w:szCs w:val="20"/>
              </w:rPr>
              <w:t> </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87BC5A" w14:textId="77777777" w:rsidR="00D535CE" w:rsidRDefault="00D535CE" w:rsidP="00314C19">
            <w:pPr>
              <w:spacing w:after="0" w:line="240" w:lineRule="auto"/>
              <w:ind w:left="100" w:hanging="75"/>
              <w:rPr>
                <w:rFonts w:eastAsia="Times New Roman" w:cs="Times New Roman"/>
                <w:sz w:val="20"/>
                <w:szCs w:val="20"/>
              </w:rPr>
            </w:pPr>
            <w:r>
              <w:rPr>
                <w:rFonts w:eastAsia="Times New Roman" w:cs="Times New Roman"/>
                <w:color w:val="000000"/>
                <w:sz w:val="20"/>
                <w:szCs w:val="20"/>
              </w:rPr>
              <w:t> </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51C7D9" w14:textId="77777777" w:rsidR="00D535CE" w:rsidRDefault="00D535CE" w:rsidP="00314C19">
            <w:pPr>
              <w:spacing w:after="0" w:line="240" w:lineRule="auto"/>
              <w:ind w:left="100" w:firstLine="0"/>
              <w:rPr>
                <w:rFonts w:eastAsia="Times New Roman" w:cs="Times New Roman"/>
                <w:sz w:val="20"/>
                <w:szCs w:val="20"/>
              </w:rPr>
            </w:pPr>
            <w:r>
              <w:rPr>
                <w:rFonts w:eastAsia="Times New Roman" w:cs="Times New Roman"/>
                <w:color w:val="000000"/>
                <w:sz w:val="20"/>
                <w:szCs w:val="20"/>
              </w:rPr>
              <w:t> </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006CB30B" w14:textId="77777777" w:rsidR="00D535CE" w:rsidRDefault="00D535CE" w:rsidP="00314C19">
            <w:pPr>
              <w:spacing w:after="0" w:line="240" w:lineRule="auto"/>
              <w:ind w:hanging="101"/>
              <w:jc w:val="left"/>
              <w:rPr>
                <w:rFonts w:eastAsia="Times New Roman" w:cs="Times New Roman"/>
                <w:sz w:val="20"/>
                <w:szCs w:val="20"/>
              </w:rPr>
            </w:pPr>
          </w:p>
        </w:tc>
      </w:tr>
      <w:tr w:rsidR="00D535CE" w14:paraId="60D3F562" w14:textId="77777777" w:rsidTr="00D46EB7">
        <w:trPr>
          <w:trHeight w:val="690"/>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301F7542" w14:textId="77777777" w:rsidR="00D535CE" w:rsidRDefault="00D535CE" w:rsidP="00314C19">
            <w:pPr>
              <w:spacing w:after="0" w:line="240" w:lineRule="auto"/>
              <w:ind w:left="100" w:hanging="63"/>
              <w:rPr>
                <w:rFonts w:eastAsia="Times New Roman" w:cs="Times New Roman"/>
                <w:sz w:val="20"/>
                <w:szCs w:val="20"/>
              </w:rPr>
            </w:pPr>
            <w:r>
              <w:rPr>
                <w:rFonts w:eastAsia="Times New Roman" w:cs="Times New Roman"/>
                <w:color w:val="000000"/>
                <w:sz w:val="20"/>
                <w:szCs w:val="20"/>
              </w:rPr>
              <w:t>Săcele</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E220C5" w14:textId="77777777" w:rsidR="00D535CE" w:rsidRDefault="00D535CE" w:rsidP="00314C19">
            <w:pPr>
              <w:spacing w:after="0" w:line="240" w:lineRule="auto"/>
              <w:ind w:left="100" w:hanging="41"/>
              <w:rPr>
                <w:rFonts w:eastAsia="Times New Roman" w:cs="Times New Roman"/>
                <w:sz w:val="20"/>
                <w:szCs w:val="20"/>
              </w:rPr>
            </w:pPr>
            <w:r>
              <w:rPr>
                <w:rFonts w:eastAsia="Times New Roman" w:cs="Times New Roman"/>
                <w:i/>
                <w:color w:val="000000"/>
                <w:sz w:val="20"/>
                <w:szCs w:val="20"/>
              </w:rPr>
              <w:t>lipsă date</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0FFD76" w14:textId="77777777" w:rsidR="00D535CE" w:rsidRDefault="00D535CE" w:rsidP="00314C19">
            <w:pPr>
              <w:spacing w:after="0" w:line="240" w:lineRule="auto"/>
              <w:ind w:left="100" w:hanging="23"/>
              <w:rPr>
                <w:rFonts w:eastAsia="Times New Roman" w:cs="Times New Roman"/>
                <w:sz w:val="20"/>
                <w:szCs w:val="20"/>
              </w:rPr>
            </w:pPr>
            <w:r>
              <w:rPr>
                <w:rFonts w:eastAsia="Times New Roman" w:cs="Times New Roman"/>
                <w:i/>
                <w:color w:val="000000"/>
                <w:sz w:val="20"/>
                <w:szCs w:val="20"/>
              </w:rPr>
              <w:t>lipsă date</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7B4DD1"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color w:val="000000"/>
                <w:sz w:val="20"/>
                <w:szCs w:val="20"/>
              </w:rPr>
              <w:t> </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651C5F" w14:textId="77777777" w:rsidR="00D535CE" w:rsidRDefault="00D535CE" w:rsidP="00314C19">
            <w:pPr>
              <w:spacing w:after="0" w:line="240" w:lineRule="auto"/>
              <w:ind w:left="100" w:hanging="75"/>
              <w:rPr>
                <w:rFonts w:eastAsia="Times New Roman" w:cs="Times New Roman"/>
                <w:sz w:val="20"/>
                <w:szCs w:val="20"/>
              </w:rPr>
            </w:pPr>
            <w:r>
              <w:rPr>
                <w:rFonts w:eastAsia="Times New Roman" w:cs="Times New Roman"/>
                <w:color w:val="000000"/>
                <w:sz w:val="20"/>
                <w:szCs w:val="20"/>
              </w:rPr>
              <w:t>2,46</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FE535B" w14:textId="77777777" w:rsidR="00D535CE" w:rsidRDefault="00D535CE" w:rsidP="00314C19">
            <w:pPr>
              <w:spacing w:after="0" w:line="240" w:lineRule="auto"/>
              <w:ind w:left="100" w:firstLine="0"/>
              <w:rPr>
                <w:rFonts w:eastAsia="Times New Roman" w:cs="Times New Roman"/>
                <w:sz w:val="20"/>
                <w:szCs w:val="20"/>
              </w:rPr>
            </w:pPr>
            <w:r>
              <w:rPr>
                <w:rFonts w:eastAsia="Times New Roman" w:cs="Times New Roman"/>
                <w:color w:val="000000"/>
                <w:sz w:val="20"/>
                <w:szCs w:val="20"/>
              </w:rPr>
              <w:t>2,27ha*</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5CD0CB02" w14:textId="77777777" w:rsidR="00D535CE" w:rsidRDefault="00D535CE" w:rsidP="00314C19">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Instituții și servicii</w:t>
            </w:r>
          </w:p>
          <w:p w14:paraId="5108FCB8" w14:textId="77777777" w:rsidR="00D535CE" w:rsidRDefault="00D535CE" w:rsidP="00314C19">
            <w:pPr>
              <w:spacing w:after="0" w:line="240" w:lineRule="auto"/>
              <w:ind w:firstLine="0"/>
              <w:jc w:val="left"/>
              <w:rPr>
                <w:rFonts w:eastAsia="Times New Roman" w:cs="Times New Roman"/>
                <w:sz w:val="20"/>
                <w:szCs w:val="20"/>
              </w:rPr>
            </w:pPr>
            <w:r>
              <w:rPr>
                <w:rFonts w:eastAsia="Times New Roman" w:cs="Times New Roman"/>
                <w:color w:val="000000"/>
                <w:sz w:val="20"/>
                <w:szCs w:val="20"/>
              </w:rPr>
              <w:t>de interes public</w:t>
            </w:r>
          </w:p>
        </w:tc>
      </w:tr>
      <w:tr w:rsidR="00D535CE" w14:paraId="2659A395" w14:textId="77777777" w:rsidTr="00D46EB7">
        <w:trPr>
          <w:trHeight w:val="436"/>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3E79A8F0" w14:textId="77777777" w:rsidR="00D535CE" w:rsidRDefault="00D535CE" w:rsidP="00314C19">
            <w:pPr>
              <w:spacing w:after="0" w:line="240" w:lineRule="auto"/>
              <w:ind w:left="100" w:hanging="63"/>
              <w:rPr>
                <w:rFonts w:eastAsia="Times New Roman" w:cs="Times New Roman"/>
                <w:sz w:val="20"/>
                <w:szCs w:val="20"/>
              </w:rPr>
            </w:pPr>
            <w:r>
              <w:rPr>
                <w:rFonts w:eastAsia="Times New Roman" w:cs="Times New Roman"/>
                <w:color w:val="000000"/>
                <w:sz w:val="20"/>
                <w:szCs w:val="20"/>
              </w:rPr>
              <w:t>Corbu</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52CE16" w14:textId="77777777" w:rsidR="00D535CE" w:rsidRDefault="00D535CE" w:rsidP="00314C19">
            <w:pPr>
              <w:spacing w:after="0" w:line="240" w:lineRule="auto"/>
              <w:ind w:left="100" w:hanging="41"/>
              <w:rPr>
                <w:rFonts w:eastAsia="Times New Roman" w:cs="Times New Roman"/>
                <w:sz w:val="20"/>
                <w:szCs w:val="20"/>
              </w:rPr>
            </w:pPr>
            <w:r>
              <w:rPr>
                <w:rFonts w:eastAsia="Times New Roman" w:cs="Times New Roman"/>
                <w:i/>
                <w:color w:val="000000"/>
                <w:sz w:val="20"/>
                <w:szCs w:val="20"/>
              </w:rPr>
              <w:t>lipsă date</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B90618" w14:textId="77777777" w:rsidR="00D535CE" w:rsidRDefault="00D535CE" w:rsidP="00314C19">
            <w:pPr>
              <w:spacing w:after="0" w:line="240" w:lineRule="auto"/>
              <w:ind w:left="100" w:hanging="23"/>
              <w:rPr>
                <w:rFonts w:eastAsia="Times New Roman" w:cs="Times New Roman"/>
                <w:sz w:val="20"/>
                <w:szCs w:val="20"/>
              </w:rPr>
            </w:pPr>
            <w:r>
              <w:rPr>
                <w:rFonts w:eastAsia="Times New Roman" w:cs="Times New Roman"/>
                <w:i/>
                <w:color w:val="000000"/>
                <w:sz w:val="20"/>
                <w:szCs w:val="20"/>
              </w:rPr>
              <w:t>lipsă date</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2BBA56" w14:textId="77777777" w:rsidR="00D535CE" w:rsidRDefault="00D535CE" w:rsidP="00314C19">
            <w:pPr>
              <w:spacing w:after="0" w:line="240" w:lineRule="auto"/>
              <w:ind w:hanging="100"/>
              <w:rPr>
                <w:rFonts w:eastAsia="Times New Roman" w:cs="Times New Roman"/>
                <w:sz w:val="20"/>
                <w:szCs w:val="20"/>
              </w:rPr>
            </w:pP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983336" w14:textId="77777777" w:rsidR="00D535CE" w:rsidRDefault="00D535CE" w:rsidP="00314C19">
            <w:pPr>
              <w:spacing w:after="0" w:line="240" w:lineRule="auto"/>
              <w:ind w:left="100" w:hanging="75"/>
              <w:rPr>
                <w:rFonts w:eastAsia="Times New Roman" w:cs="Times New Roman"/>
                <w:sz w:val="20"/>
                <w:szCs w:val="20"/>
              </w:rPr>
            </w:pPr>
            <w:r>
              <w:rPr>
                <w:rFonts w:eastAsia="Times New Roman" w:cs="Times New Roman"/>
                <w:color w:val="000000"/>
                <w:sz w:val="20"/>
                <w:szCs w:val="20"/>
              </w:rPr>
              <w:t> </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F15A69" w14:textId="77777777" w:rsidR="00D535CE" w:rsidRDefault="00D535CE" w:rsidP="00314C19">
            <w:pPr>
              <w:spacing w:after="0" w:line="240" w:lineRule="auto"/>
              <w:ind w:left="100" w:firstLine="0"/>
              <w:rPr>
                <w:rFonts w:eastAsia="Times New Roman" w:cs="Times New Roman"/>
                <w:sz w:val="20"/>
                <w:szCs w:val="20"/>
              </w:rPr>
            </w:pPr>
            <w:r>
              <w:rPr>
                <w:rFonts w:eastAsia="Times New Roman" w:cs="Times New Roman"/>
                <w:color w:val="000000"/>
                <w:sz w:val="20"/>
                <w:szCs w:val="20"/>
              </w:rPr>
              <w:t> </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1B26460A" w14:textId="77777777" w:rsidR="00D535CE" w:rsidRDefault="00D535CE" w:rsidP="00314C19">
            <w:pPr>
              <w:spacing w:after="0" w:line="240" w:lineRule="auto"/>
              <w:ind w:hanging="101"/>
              <w:jc w:val="left"/>
              <w:rPr>
                <w:rFonts w:eastAsia="Times New Roman" w:cs="Times New Roman"/>
                <w:sz w:val="20"/>
                <w:szCs w:val="20"/>
              </w:rPr>
            </w:pPr>
          </w:p>
        </w:tc>
      </w:tr>
      <w:tr w:rsidR="00D535CE" w14:paraId="370E565D" w14:textId="77777777" w:rsidTr="00D46EB7">
        <w:trPr>
          <w:trHeight w:val="455"/>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57E55C93" w14:textId="77777777" w:rsidR="00D535CE" w:rsidRDefault="00D535CE" w:rsidP="00314C19">
            <w:pPr>
              <w:spacing w:after="0" w:line="240" w:lineRule="auto"/>
              <w:ind w:left="100" w:hanging="63"/>
              <w:rPr>
                <w:rFonts w:eastAsia="Times New Roman" w:cs="Times New Roman"/>
                <w:sz w:val="20"/>
                <w:szCs w:val="20"/>
              </w:rPr>
            </w:pPr>
            <w:r>
              <w:rPr>
                <w:rFonts w:eastAsia="Times New Roman" w:cs="Times New Roman"/>
                <w:color w:val="000000"/>
                <w:sz w:val="20"/>
                <w:szCs w:val="20"/>
              </w:rPr>
              <w:t>Năvodari</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1D5E41" w14:textId="77777777" w:rsidR="00D535CE" w:rsidRDefault="00D535CE" w:rsidP="00314C19">
            <w:pPr>
              <w:spacing w:after="0" w:line="240" w:lineRule="auto"/>
              <w:ind w:left="100" w:hanging="41"/>
              <w:rPr>
                <w:rFonts w:eastAsia="Times New Roman" w:cs="Times New Roman"/>
                <w:sz w:val="20"/>
                <w:szCs w:val="20"/>
              </w:rPr>
            </w:pPr>
            <w:r>
              <w:rPr>
                <w:rFonts w:eastAsia="Times New Roman" w:cs="Times New Roman"/>
                <w:color w:val="000000"/>
                <w:sz w:val="20"/>
                <w:szCs w:val="20"/>
              </w:rPr>
              <w:t>198,30</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B597D7" w14:textId="77777777" w:rsidR="00D535CE" w:rsidRDefault="00D535CE" w:rsidP="00314C19">
            <w:pPr>
              <w:spacing w:after="0" w:line="240" w:lineRule="auto"/>
              <w:ind w:left="100" w:hanging="23"/>
              <w:rPr>
                <w:rFonts w:eastAsia="Times New Roman" w:cs="Times New Roman"/>
                <w:sz w:val="20"/>
                <w:szCs w:val="20"/>
              </w:rPr>
            </w:pPr>
            <w:r>
              <w:rPr>
                <w:rFonts w:eastAsia="Times New Roman" w:cs="Times New Roman"/>
                <w:color w:val="000000"/>
                <w:sz w:val="20"/>
                <w:szCs w:val="20"/>
              </w:rPr>
              <w:t>271,83</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8EDDBC"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color w:val="000000"/>
                <w:sz w:val="20"/>
                <w:szCs w:val="20"/>
              </w:rPr>
              <w:t> </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DD4BD7" w14:textId="77777777" w:rsidR="00D535CE" w:rsidRDefault="00D535CE" w:rsidP="00314C19">
            <w:pPr>
              <w:spacing w:after="0" w:line="240" w:lineRule="auto"/>
              <w:ind w:left="100" w:hanging="75"/>
              <w:rPr>
                <w:rFonts w:eastAsia="Times New Roman" w:cs="Times New Roman"/>
                <w:sz w:val="20"/>
                <w:szCs w:val="20"/>
              </w:rPr>
            </w:pPr>
            <w:r>
              <w:rPr>
                <w:rFonts w:eastAsia="Times New Roman" w:cs="Times New Roman"/>
                <w:color w:val="000000"/>
                <w:sz w:val="20"/>
                <w:szCs w:val="20"/>
              </w:rPr>
              <w:t>124,10</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B34914" w14:textId="77777777" w:rsidR="00D535CE" w:rsidRDefault="00D535CE" w:rsidP="00314C19">
            <w:pPr>
              <w:spacing w:after="0" w:line="240" w:lineRule="auto"/>
              <w:ind w:left="100" w:firstLine="0"/>
              <w:rPr>
                <w:rFonts w:eastAsia="Times New Roman" w:cs="Times New Roman"/>
                <w:sz w:val="20"/>
                <w:szCs w:val="20"/>
              </w:rPr>
            </w:pPr>
            <w:r>
              <w:rPr>
                <w:rFonts w:eastAsia="Times New Roman" w:cs="Times New Roman"/>
                <w:color w:val="000000"/>
                <w:sz w:val="20"/>
                <w:szCs w:val="20"/>
              </w:rPr>
              <w:t>370,58</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5F07532A" w14:textId="77777777" w:rsidR="00D535CE" w:rsidRDefault="00D535CE" w:rsidP="00314C19">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Zone pentru activități turistice</w:t>
            </w:r>
          </w:p>
        </w:tc>
      </w:tr>
      <w:tr w:rsidR="00D535CE" w14:paraId="23A5B287" w14:textId="77777777" w:rsidTr="00D46EB7">
        <w:trPr>
          <w:trHeight w:val="455"/>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3C13FB09" w14:textId="77777777" w:rsidR="00D535CE" w:rsidRDefault="00D535CE" w:rsidP="00314C19">
            <w:pPr>
              <w:spacing w:after="0" w:line="240" w:lineRule="auto"/>
              <w:ind w:left="100" w:hanging="63"/>
              <w:rPr>
                <w:rFonts w:eastAsia="Times New Roman" w:cs="Times New Roman"/>
                <w:sz w:val="20"/>
                <w:szCs w:val="20"/>
              </w:rPr>
            </w:pPr>
            <w:r>
              <w:rPr>
                <w:rFonts w:eastAsia="Times New Roman" w:cs="Times New Roman"/>
                <w:color w:val="000000"/>
                <w:sz w:val="20"/>
                <w:szCs w:val="20"/>
              </w:rPr>
              <w:lastRenderedPageBreak/>
              <w:t>Constanța</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926C86" w14:textId="77777777" w:rsidR="00D535CE" w:rsidRDefault="00D535CE" w:rsidP="00314C19">
            <w:pPr>
              <w:spacing w:after="0" w:line="240" w:lineRule="auto"/>
              <w:ind w:left="100" w:hanging="41"/>
              <w:rPr>
                <w:rFonts w:eastAsia="Times New Roman" w:cs="Times New Roman"/>
                <w:sz w:val="20"/>
                <w:szCs w:val="20"/>
              </w:rPr>
            </w:pPr>
            <w:r>
              <w:rPr>
                <w:rFonts w:eastAsia="Times New Roman" w:cs="Times New Roman"/>
                <w:i/>
                <w:color w:val="000000"/>
                <w:sz w:val="20"/>
                <w:szCs w:val="20"/>
              </w:rPr>
              <w:t>lipsă date</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5A2BDE" w14:textId="77777777" w:rsidR="00D535CE" w:rsidRDefault="00D535CE" w:rsidP="00314C19">
            <w:pPr>
              <w:spacing w:after="0" w:line="240" w:lineRule="auto"/>
              <w:ind w:left="100" w:hanging="23"/>
              <w:rPr>
                <w:rFonts w:eastAsia="Times New Roman" w:cs="Times New Roman"/>
                <w:sz w:val="20"/>
                <w:szCs w:val="20"/>
              </w:rPr>
            </w:pPr>
            <w:r>
              <w:rPr>
                <w:rFonts w:eastAsia="Times New Roman" w:cs="Times New Roman"/>
                <w:color w:val="000000"/>
                <w:sz w:val="20"/>
                <w:szCs w:val="20"/>
              </w:rPr>
              <w:t>333,45</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51BFA9"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color w:val="000000"/>
                <w:sz w:val="20"/>
                <w:szCs w:val="20"/>
              </w:rPr>
              <w:t> </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329255" w14:textId="77777777" w:rsidR="00D535CE" w:rsidRDefault="00D535CE" w:rsidP="00314C19">
            <w:pPr>
              <w:spacing w:after="0" w:line="240" w:lineRule="auto"/>
              <w:ind w:left="100" w:hanging="75"/>
              <w:rPr>
                <w:rFonts w:eastAsia="Times New Roman" w:cs="Times New Roman"/>
                <w:sz w:val="20"/>
                <w:szCs w:val="20"/>
              </w:rPr>
            </w:pPr>
            <w:r>
              <w:rPr>
                <w:rFonts w:eastAsia="Times New Roman" w:cs="Times New Roman"/>
                <w:color w:val="000000"/>
                <w:sz w:val="20"/>
                <w:szCs w:val="20"/>
              </w:rPr>
              <w:t>300,54</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249BD8" w14:textId="77777777" w:rsidR="00D535CE" w:rsidRDefault="00D535CE" w:rsidP="00314C19">
            <w:pPr>
              <w:spacing w:after="0" w:line="240" w:lineRule="auto"/>
              <w:ind w:left="100" w:firstLine="0"/>
              <w:rPr>
                <w:rFonts w:eastAsia="Times New Roman" w:cs="Times New Roman"/>
                <w:sz w:val="20"/>
                <w:szCs w:val="20"/>
              </w:rPr>
            </w:pPr>
            <w:r>
              <w:rPr>
                <w:rFonts w:eastAsia="Times New Roman" w:cs="Times New Roman"/>
                <w:color w:val="000000"/>
                <w:sz w:val="20"/>
                <w:szCs w:val="20"/>
              </w:rPr>
              <w:t> </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007BACED" w14:textId="77777777" w:rsidR="00D535CE" w:rsidRDefault="00D535CE" w:rsidP="00314C19">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Zone pentru activități turistice</w:t>
            </w:r>
          </w:p>
        </w:tc>
      </w:tr>
      <w:tr w:rsidR="00D535CE" w14:paraId="5F0CCE19" w14:textId="77777777" w:rsidTr="00D46EB7">
        <w:trPr>
          <w:trHeight w:val="230"/>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26BEA1E3" w14:textId="77777777" w:rsidR="00D535CE" w:rsidRDefault="00D535CE" w:rsidP="00314C19">
            <w:pPr>
              <w:spacing w:after="0" w:line="240" w:lineRule="auto"/>
              <w:ind w:left="100" w:hanging="63"/>
              <w:rPr>
                <w:rFonts w:eastAsia="Times New Roman" w:cs="Times New Roman"/>
                <w:sz w:val="20"/>
                <w:szCs w:val="20"/>
              </w:rPr>
            </w:pPr>
            <w:r>
              <w:rPr>
                <w:rFonts w:eastAsia="Times New Roman" w:cs="Times New Roman"/>
                <w:color w:val="000000"/>
                <w:sz w:val="20"/>
                <w:szCs w:val="20"/>
              </w:rPr>
              <w:t>Agigea</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555352" w14:textId="77777777" w:rsidR="00D535CE" w:rsidRDefault="00D535CE" w:rsidP="00314C19">
            <w:pPr>
              <w:spacing w:after="0" w:line="240" w:lineRule="auto"/>
              <w:ind w:left="100" w:hanging="41"/>
              <w:rPr>
                <w:rFonts w:eastAsia="Times New Roman" w:cs="Times New Roman"/>
                <w:sz w:val="20"/>
                <w:szCs w:val="20"/>
              </w:rPr>
            </w:pPr>
            <w:r>
              <w:rPr>
                <w:rFonts w:eastAsia="Times New Roman" w:cs="Times New Roman"/>
                <w:i/>
                <w:color w:val="000000"/>
                <w:sz w:val="20"/>
                <w:szCs w:val="20"/>
              </w:rPr>
              <w:t>lipsă date</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6A6EC8" w14:textId="77777777" w:rsidR="00D535CE" w:rsidRDefault="00D535CE" w:rsidP="00314C19">
            <w:pPr>
              <w:spacing w:after="0" w:line="240" w:lineRule="auto"/>
              <w:ind w:left="100" w:hanging="23"/>
              <w:rPr>
                <w:rFonts w:eastAsia="Times New Roman" w:cs="Times New Roman"/>
                <w:sz w:val="20"/>
                <w:szCs w:val="20"/>
              </w:rPr>
            </w:pPr>
            <w:r>
              <w:rPr>
                <w:rFonts w:eastAsia="Times New Roman" w:cs="Times New Roman"/>
                <w:i/>
                <w:color w:val="000000"/>
                <w:sz w:val="20"/>
                <w:szCs w:val="20"/>
              </w:rPr>
              <w:t>lipsă date</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28C5CD"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color w:val="000000"/>
                <w:sz w:val="20"/>
                <w:szCs w:val="20"/>
              </w:rPr>
              <w:t> </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390677" w14:textId="77777777" w:rsidR="00D535CE" w:rsidRDefault="00D535CE" w:rsidP="00314C19">
            <w:pPr>
              <w:spacing w:after="0" w:line="240" w:lineRule="auto"/>
              <w:ind w:left="100" w:hanging="75"/>
              <w:rPr>
                <w:rFonts w:eastAsia="Times New Roman" w:cs="Times New Roman"/>
                <w:sz w:val="20"/>
                <w:szCs w:val="20"/>
              </w:rPr>
            </w:pPr>
            <w:r>
              <w:rPr>
                <w:rFonts w:eastAsia="Times New Roman" w:cs="Times New Roman"/>
                <w:color w:val="000000"/>
                <w:sz w:val="20"/>
                <w:szCs w:val="20"/>
              </w:rPr>
              <w:t> </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B9D787" w14:textId="77777777" w:rsidR="00D535CE" w:rsidRDefault="00D535CE" w:rsidP="00314C19">
            <w:pPr>
              <w:spacing w:after="0" w:line="240" w:lineRule="auto"/>
              <w:ind w:left="100" w:firstLine="0"/>
              <w:rPr>
                <w:rFonts w:eastAsia="Times New Roman" w:cs="Times New Roman"/>
                <w:sz w:val="20"/>
                <w:szCs w:val="20"/>
              </w:rPr>
            </w:pPr>
            <w:r>
              <w:rPr>
                <w:rFonts w:eastAsia="Times New Roman" w:cs="Times New Roman"/>
                <w:color w:val="000000"/>
                <w:sz w:val="20"/>
                <w:szCs w:val="20"/>
              </w:rPr>
              <w:t> </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4D8E16C8" w14:textId="77777777" w:rsidR="00D535CE" w:rsidRDefault="00D535CE" w:rsidP="00314C19">
            <w:pPr>
              <w:spacing w:after="0" w:line="240" w:lineRule="auto"/>
              <w:ind w:hanging="101"/>
              <w:jc w:val="left"/>
              <w:rPr>
                <w:rFonts w:eastAsia="Times New Roman" w:cs="Times New Roman"/>
                <w:sz w:val="20"/>
                <w:szCs w:val="20"/>
              </w:rPr>
            </w:pPr>
          </w:p>
        </w:tc>
      </w:tr>
      <w:tr w:rsidR="00D535CE" w14:paraId="536706F0" w14:textId="77777777" w:rsidTr="00D46EB7">
        <w:trPr>
          <w:trHeight w:val="448"/>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094B6DF3" w14:textId="77777777" w:rsidR="00D535CE" w:rsidRDefault="00D535CE" w:rsidP="00314C19">
            <w:pPr>
              <w:spacing w:after="0" w:line="240" w:lineRule="auto"/>
              <w:ind w:left="100" w:hanging="63"/>
              <w:rPr>
                <w:rFonts w:eastAsia="Times New Roman" w:cs="Times New Roman"/>
                <w:sz w:val="20"/>
                <w:szCs w:val="20"/>
              </w:rPr>
            </w:pPr>
            <w:r>
              <w:rPr>
                <w:rFonts w:eastAsia="Times New Roman" w:cs="Times New Roman"/>
                <w:color w:val="000000"/>
                <w:sz w:val="20"/>
                <w:szCs w:val="20"/>
              </w:rPr>
              <w:t>Techirghiol</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C5C717" w14:textId="77777777" w:rsidR="00D535CE" w:rsidRDefault="00D535CE" w:rsidP="00314C19">
            <w:pPr>
              <w:spacing w:after="0" w:line="240" w:lineRule="auto"/>
              <w:ind w:left="100" w:hanging="41"/>
              <w:rPr>
                <w:rFonts w:eastAsia="Times New Roman" w:cs="Times New Roman"/>
                <w:sz w:val="20"/>
                <w:szCs w:val="20"/>
              </w:rPr>
            </w:pPr>
            <w:r>
              <w:rPr>
                <w:rFonts w:eastAsia="Times New Roman" w:cs="Times New Roman"/>
                <w:i/>
                <w:color w:val="000000"/>
                <w:sz w:val="20"/>
                <w:szCs w:val="20"/>
              </w:rPr>
              <w:t>lipsă date</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737F98" w14:textId="77777777" w:rsidR="00D535CE" w:rsidRDefault="00D535CE" w:rsidP="00314C19">
            <w:pPr>
              <w:spacing w:after="0" w:line="240" w:lineRule="auto"/>
              <w:ind w:left="100" w:hanging="23"/>
              <w:rPr>
                <w:rFonts w:eastAsia="Times New Roman" w:cs="Times New Roman"/>
                <w:sz w:val="20"/>
                <w:szCs w:val="20"/>
              </w:rPr>
            </w:pPr>
            <w:r>
              <w:rPr>
                <w:rFonts w:eastAsia="Times New Roman" w:cs="Times New Roman"/>
                <w:i/>
                <w:color w:val="000000"/>
                <w:sz w:val="20"/>
                <w:szCs w:val="20"/>
              </w:rPr>
              <w:t>lipsă date</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F2B393"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color w:val="000000"/>
                <w:sz w:val="20"/>
                <w:szCs w:val="20"/>
              </w:rPr>
              <w:t> </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DFE193" w14:textId="77777777" w:rsidR="00D535CE" w:rsidRDefault="00D535CE" w:rsidP="00314C19">
            <w:pPr>
              <w:spacing w:after="0" w:line="240" w:lineRule="auto"/>
              <w:ind w:left="100" w:hanging="75"/>
              <w:rPr>
                <w:rFonts w:eastAsia="Times New Roman" w:cs="Times New Roman"/>
                <w:sz w:val="20"/>
                <w:szCs w:val="20"/>
              </w:rPr>
            </w:pPr>
            <w:r>
              <w:rPr>
                <w:rFonts w:eastAsia="Times New Roman" w:cs="Times New Roman"/>
                <w:color w:val="000000"/>
                <w:sz w:val="20"/>
                <w:szCs w:val="20"/>
              </w:rPr>
              <w:t>11,00</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DD8FB6" w14:textId="77777777" w:rsidR="00D535CE" w:rsidRDefault="00D535CE" w:rsidP="00314C19">
            <w:pPr>
              <w:spacing w:after="0" w:line="240" w:lineRule="auto"/>
              <w:ind w:left="100" w:firstLine="0"/>
              <w:rPr>
                <w:rFonts w:eastAsia="Times New Roman" w:cs="Times New Roman"/>
                <w:sz w:val="20"/>
                <w:szCs w:val="20"/>
              </w:rPr>
            </w:pPr>
            <w:r>
              <w:rPr>
                <w:rFonts w:eastAsia="Times New Roman" w:cs="Times New Roman"/>
                <w:color w:val="000000"/>
                <w:sz w:val="20"/>
                <w:szCs w:val="20"/>
              </w:rPr>
              <w:t>24,09</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4EDEDB49" w14:textId="77777777" w:rsidR="00D535CE" w:rsidRDefault="00D535CE" w:rsidP="00314C19">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Instituții și servicii</w:t>
            </w:r>
          </w:p>
          <w:p w14:paraId="568F52C4" w14:textId="77777777" w:rsidR="00D535CE" w:rsidRDefault="00D535CE" w:rsidP="00314C19">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de interes public</w:t>
            </w:r>
          </w:p>
        </w:tc>
      </w:tr>
      <w:tr w:rsidR="00D535CE" w14:paraId="7FA3779B" w14:textId="77777777" w:rsidTr="00D46EB7">
        <w:trPr>
          <w:trHeight w:val="455"/>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328207F2" w14:textId="77777777" w:rsidR="00D535CE" w:rsidRDefault="00D535CE" w:rsidP="00314C19">
            <w:pPr>
              <w:spacing w:after="0" w:line="240" w:lineRule="auto"/>
              <w:ind w:left="100" w:hanging="63"/>
              <w:rPr>
                <w:rFonts w:eastAsia="Times New Roman" w:cs="Times New Roman"/>
                <w:sz w:val="20"/>
                <w:szCs w:val="20"/>
              </w:rPr>
            </w:pPr>
            <w:r>
              <w:rPr>
                <w:rFonts w:eastAsia="Times New Roman" w:cs="Times New Roman"/>
                <w:color w:val="000000"/>
                <w:sz w:val="20"/>
                <w:szCs w:val="20"/>
              </w:rPr>
              <w:t>Eforie</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7791D3" w14:textId="77777777" w:rsidR="00D535CE" w:rsidRDefault="00D535CE" w:rsidP="00314C19">
            <w:pPr>
              <w:spacing w:after="0" w:line="240" w:lineRule="auto"/>
              <w:ind w:left="100" w:hanging="41"/>
              <w:rPr>
                <w:rFonts w:eastAsia="Times New Roman" w:cs="Times New Roman"/>
                <w:sz w:val="20"/>
                <w:szCs w:val="20"/>
              </w:rPr>
            </w:pPr>
            <w:r>
              <w:rPr>
                <w:rFonts w:eastAsia="Times New Roman" w:cs="Times New Roman"/>
                <w:color w:val="000000"/>
                <w:sz w:val="20"/>
                <w:szCs w:val="20"/>
              </w:rPr>
              <w:t>155,00</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222D5C" w14:textId="77777777" w:rsidR="00D535CE" w:rsidRDefault="00D535CE" w:rsidP="00314C19">
            <w:pPr>
              <w:spacing w:after="0" w:line="240" w:lineRule="auto"/>
              <w:ind w:left="100" w:hanging="23"/>
              <w:rPr>
                <w:rFonts w:eastAsia="Times New Roman" w:cs="Times New Roman"/>
                <w:sz w:val="20"/>
                <w:szCs w:val="20"/>
              </w:rPr>
            </w:pPr>
            <w:r>
              <w:rPr>
                <w:rFonts w:eastAsia="Times New Roman" w:cs="Times New Roman"/>
                <w:color w:val="000000"/>
                <w:sz w:val="20"/>
                <w:szCs w:val="20"/>
              </w:rPr>
              <w:t>236,50</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32F6DD"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color w:val="000000"/>
                <w:sz w:val="20"/>
                <w:szCs w:val="20"/>
              </w:rPr>
              <w:t> </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357153" w14:textId="77777777" w:rsidR="00D535CE" w:rsidRDefault="00D535CE" w:rsidP="00314C19">
            <w:pPr>
              <w:spacing w:after="0" w:line="240" w:lineRule="auto"/>
              <w:ind w:left="100" w:hanging="75"/>
              <w:rPr>
                <w:rFonts w:eastAsia="Times New Roman" w:cs="Times New Roman"/>
                <w:sz w:val="20"/>
                <w:szCs w:val="20"/>
              </w:rPr>
            </w:pPr>
            <w:r>
              <w:rPr>
                <w:rFonts w:eastAsia="Times New Roman" w:cs="Times New Roman"/>
                <w:color w:val="000000"/>
                <w:sz w:val="20"/>
                <w:szCs w:val="20"/>
              </w:rPr>
              <w:t> </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494C80" w14:textId="77777777" w:rsidR="00D535CE" w:rsidRDefault="00D535CE" w:rsidP="00314C19">
            <w:pPr>
              <w:spacing w:after="0" w:line="240" w:lineRule="auto"/>
              <w:ind w:left="100" w:firstLine="0"/>
              <w:rPr>
                <w:rFonts w:eastAsia="Times New Roman" w:cs="Times New Roman"/>
                <w:sz w:val="20"/>
                <w:szCs w:val="20"/>
              </w:rPr>
            </w:pPr>
            <w:r>
              <w:rPr>
                <w:rFonts w:eastAsia="Times New Roman" w:cs="Times New Roman"/>
                <w:color w:val="000000"/>
                <w:sz w:val="20"/>
                <w:szCs w:val="20"/>
              </w:rPr>
              <w:t> </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0308B20E" w14:textId="77777777" w:rsidR="00D535CE" w:rsidRDefault="00D535CE" w:rsidP="00314C19">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Zone pentru activități turistice</w:t>
            </w:r>
          </w:p>
        </w:tc>
      </w:tr>
      <w:tr w:rsidR="00D535CE" w14:paraId="31FD95BB" w14:textId="77777777" w:rsidTr="00D46EB7">
        <w:trPr>
          <w:trHeight w:val="455"/>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3D30822D" w14:textId="77777777" w:rsidR="00D535CE" w:rsidRDefault="00D535CE" w:rsidP="00314C19">
            <w:pPr>
              <w:spacing w:after="0" w:line="240" w:lineRule="auto"/>
              <w:ind w:left="100" w:hanging="63"/>
              <w:rPr>
                <w:rFonts w:eastAsia="Times New Roman" w:cs="Times New Roman"/>
                <w:sz w:val="20"/>
                <w:szCs w:val="20"/>
              </w:rPr>
            </w:pPr>
            <w:r>
              <w:rPr>
                <w:rFonts w:eastAsia="Times New Roman" w:cs="Times New Roman"/>
                <w:color w:val="000000"/>
                <w:sz w:val="20"/>
                <w:szCs w:val="20"/>
              </w:rPr>
              <w:t>Tuzla</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FED57D" w14:textId="77777777" w:rsidR="00D535CE" w:rsidRDefault="00D535CE" w:rsidP="00314C19">
            <w:pPr>
              <w:spacing w:after="0" w:line="240" w:lineRule="auto"/>
              <w:ind w:left="100" w:hanging="41"/>
              <w:rPr>
                <w:rFonts w:eastAsia="Times New Roman" w:cs="Times New Roman"/>
                <w:sz w:val="20"/>
                <w:szCs w:val="20"/>
              </w:rPr>
            </w:pPr>
            <w:r>
              <w:rPr>
                <w:rFonts w:eastAsia="Times New Roman" w:cs="Times New Roman"/>
                <w:i/>
                <w:color w:val="000000"/>
                <w:sz w:val="20"/>
                <w:szCs w:val="20"/>
              </w:rPr>
              <w:t>lipsă date</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50C76C" w14:textId="77777777" w:rsidR="00D535CE" w:rsidRDefault="00D535CE" w:rsidP="00314C19">
            <w:pPr>
              <w:spacing w:after="0" w:line="240" w:lineRule="auto"/>
              <w:ind w:left="100" w:hanging="23"/>
              <w:rPr>
                <w:rFonts w:eastAsia="Times New Roman" w:cs="Times New Roman"/>
                <w:sz w:val="20"/>
                <w:szCs w:val="20"/>
              </w:rPr>
            </w:pPr>
            <w:r>
              <w:rPr>
                <w:rFonts w:eastAsia="Times New Roman" w:cs="Times New Roman"/>
                <w:color w:val="000000"/>
                <w:sz w:val="20"/>
                <w:szCs w:val="20"/>
              </w:rPr>
              <w:t>28,00</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FF37C0"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color w:val="000000"/>
                <w:sz w:val="20"/>
                <w:szCs w:val="20"/>
              </w:rPr>
              <w:t> </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0A9F76" w14:textId="77777777" w:rsidR="00D535CE" w:rsidRDefault="00D535CE" w:rsidP="00314C19">
            <w:pPr>
              <w:spacing w:after="0" w:line="240" w:lineRule="auto"/>
              <w:ind w:left="100" w:hanging="75"/>
              <w:rPr>
                <w:rFonts w:eastAsia="Times New Roman" w:cs="Times New Roman"/>
                <w:sz w:val="20"/>
                <w:szCs w:val="20"/>
              </w:rPr>
            </w:pPr>
            <w:r>
              <w:rPr>
                <w:rFonts w:eastAsia="Times New Roman" w:cs="Times New Roman"/>
                <w:color w:val="000000"/>
                <w:sz w:val="20"/>
                <w:szCs w:val="20"/>
              </w:rPr>
              <w:t> </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943C20" w14:textId="77777777" w:rsidR="00D535CE" w:rsidRDefault="00D535CE" w:rsidP="00314C19">
            <w:pPr>
              <w:spacing w:after="0" w:line="240" w:lineRule="auto"/>
              <w:ind w:left="100" w:firstLine="0"/>
              <w:rPr>
                <w:rFonts w:eastAsia="Times New Roman" w:cs="Times New Roman"/>
                <w:sz w:val="20"/>
                <w:szCs w:val="20"/>
              </w:rPr>
            </w:pPr>
            <w:r>
              <w:rPr>
                <w:rFonts w:eastAsia="Times New Roman" w:cs="Times New Roman"/>
                <w:color w:val="000000"/>
                <w:sz w:val="20"/>
                <w:szCs w:val="20"/>
              </w:rPr>
              <w:t> </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51D34B53" w14:textId="77777777" w:rsidR="00D535CE" w:rsidRDefault="00D535CE" w:rsidP="00314C19">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Zone pentru activități turistice</w:t>
            </w:r>
          </w:p>
        </w:tc>
      </w:tr>
      <w:tr w:rsidR="00D535CE" w14:paraId="36712F08" w14:textId="77777777" w:rsidTr="00D46EB7">
        <w:trPr>
          <w:trHeight w:val="455"/>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6865FF6C" w14:textId="77777777" w:rsidR="00D535CE" w:rsidRDefault="00D535CE" w:rsidP="00314C19">
            <w:pPr>
              <w:spacing w:after="0" w:line="240" w:lineRule="auto"/>
              <w:ind w:left="100" w:hanging="63"/>
              <w:rPr>
                <w:rFonts w:eastAsia="Times New Roman" w:cs="Times New Roman"/>
                <w:sz w:val="20"/>
                <w:szCs w:val="20"/>
              </w:rPr>
            </w:pPr>
            <w:r>
              <w:rPr>
                <w:rFonts w:eastAsia="Times New Roman" w:cs="Times New Roman"/>
                <w:color w:val="000000"/>
                <w:sz w:val="20"/>
                <w:szCs w:val="20"/>
              </w:rPr>
              <w:t>Costinești</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04BFEE" w14:textId="77777777" w:rsidR="00D535CE" w:rsidRDefault="00D535CE" w:rsidP="00314C19">
            <w:pPr>
              <w:spacing w:after="0" w:line="240" w:lineRule="auto"/>
              <w:ind w:left="100" w:hanging="41"/>
              <w:rPr>
                <w:rFonts w:eastAsia="Times New Roman" w:cs="Times New Roman"/>
                <w:sz w:val="20"/>
                <w:szCs w:val="20"/>
              </w:rPr>
            </w:pPr>
            <w:r>
              <w:rPr>
                <w:rFonts w:eastAsia="Times New Roman" w:cs="Times New Roman"/>
                <w:i/>
                <w:color w:val="000000"/>
                <w:sz w:val="20"/>
                <w:szCs w:val="20"/>
              </w:rPr>
              <w:t>lipsă date</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43E44D" w14:textId="77777777" w:rsidR="00D535CE" w:rsidRDefault="00D535CE" w:rsidP="00314C19">
            <w:pPr>
              <w:spacing w:after="0" w:line="240" w:lineRule="auto"/>
              <w:ind w:left="100" w:hanging="23"/>
              <w:rPr>
                <w:rFonts w:eastAsia="Times New Roman" w:cs="Times New Roman"/>
                <w:sz w:val="20"/>
                <w:szCs w:val="20"/>
              </w:rPr>
            </w:pPr>
            <w:r>
              <w:rPr>
                <w:rFonts w:eastAsia="Times New Roman" w:cs="Times New Roman"/>
                <w:color w:val="000000"/>
                <w:sz w:val="20"/>
                <w:szCs w:val="20"/>
              </w:rPr>
              <w:t>529,01</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9A4BD1"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color w:val="000000"/>
                <w:sz w:val="20"/>
                <w:szCs w:val="20"/>
              </w:rPr>
              <w:t> </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5B75B3" w14:textId="77777777" w:rsidR="00D535CE" w:rsidRDefault="00D535CE" w:rsidP="00314C19">
            <w:pPr>
              <w:spacing w:after="0" w:line="240" w:lineRule="auto"/>
              <w:ind w:left="100" w:hanging="75"/>
              <w:rPr>
                <w:rFonts w:eastAsia="Times New Roman" w:cs="Times New Roman"/>
                <w:sz w:val="20"/>
                <w:szCs w:val="20"/>
              </w:rPr>
            </w:pPr>
            <w:r>
              <w:rPr>
                <w:rFonts w:eastAsia="Times New Roman" w:cs="Times New Roman"/>
                <w:color w:val="000000"/>
                <w:sz w:val="20"/>
                <w:szCs w:val="20"/>
              </w:rPr>
              <w:t> </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BF5FFF" w14:textId="77777777" w:rsidR="00D535CE" w:rsidRDefault="00D535CE" w:rsidP="00314C19">
            <w:pPr>
              <w:spacing w:after="0" w:line="240" w:lineRule="auto"/>
              <w:ind w:left="100" w:firstLine="0"/>
              <w:rPr>
                <w:rFonts w:eastAsia="Times New Roman" w:cs="Times New Roman"/>
                <w:sz w:val="20"/>
                <w:szCs w:val="20"/>
              </w:rPr>
            </w:pPr>
            <w:r>
              <w:rPr>
                <w:rFonts w:eastAsia="Times New Roman" w:cs="Times New Roman"/>
                <w:color w:val="000000"/>
                <w:sz w:val="20"/>
                <w:szCs w:val="20"/>
              </w:rPr>
              <w:t> </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45D278CD" w14:textId="77777777" w:rsidR="00D535CE" w:rsidRDefault="00D535CE" w:rsidP="00314C19">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Zone pentru activități turistice</w:t>
            </w:r>
          </w:p>
        </w:tc>
      </w:tr>
      <w:tr w:rsidR="00D535CE" w14:paraId="0B966E14" w14:textId="77777777" w:rsidTr="00D46EB7">
        <w:trPr>
          <w:trHeight w:val="455"/>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2F262897" w14:textId="77777777" w:rsidR="00D535CE" w:rsidRDefault="00D535CE" w:rsidP="00314C19">
            <w:pPr>
              <w:spacing w:after="0" w:line="240" w:lineRule="auto"/>
              <w:ind w:left="100" w:hanging="63"/>
              <w:rPr>
                <w:rFonts w:eastAsia="Times New Roman" w:cs="Times New Roman"/>
                <w:sz w:val="20"/>
                <w:szCs w:val="20"/>
              </w:rPr>
            </w:pPr>
            <w:r>
              <w:rPr>
                <w:rFonts w:eastAsia="Times New Roman" w:cs="Times New Roman"/>
                <w:color w:val="000000"/>
                <w:sz w:val="20"/>
                <w:szCs w:val="20"/>
              </w:rPr>
              <w:t>23 August</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EFE4CC" w14:textId="77777777" w:rsidR="00D535CE" w:rsidRDefault="00D535CE" w:rsidP="00314C19">
            <w:pPr>
              <w:spacing w:after="0" w:line="240" w:lineRule="auto"/>
              <w:ind w:left="100" w:hanging="41"/>
              <w:rPr>
                <w:rFonts w:eastAsia="Times New Roman" w:cs="Times New Roman"/>
                <w:sz w:val="20"/>
                <w:szCs w:val="20"/>
              </w:rPr>
            </w:pPr>
            <w:r>
              <w:rPr>
                <w:rFonts w:eastAsia="Times New Roman" w:cs="Times New Roman"/>
                <w:i/>
                <w:color w:val="000000"/>
                <w:sz w:val="20"/>
                <w:szCs w:val="20"/>
              </w:rPr>
              <w:t>lipsă date</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294BF0" w14:textId="77777777" w:rsidR="00D535CE" w:rsidRDefault="00D535CE" w:rsidP="00314C19">
            <w:pPr>
              <w:spacing w:after="0" w:line="240" w:lineRule="auto"/>
              <w:ind w:left="100" w:hanging="23"/>
              <w:rPr>
                <w:rFonts w:eastAsia="Times New Roman" w:cs="Times New Roman"/>
                <w:sz w:val="20"/>
                <w:szCs w:val="20"/>
              </w:rPr>
            </w:pPr>
            <w:r>
              <w:rPr>
                <w:rFonts w:eastAsia="Times New Roman" w:cs="Times New Roman"/>
                <w:i/>
                <w:color w:val="000000"/>
                <w:sz w:val="20"/>
                <w:szCs w:val="20"/>
              </w:rPr>
              <w:t>lipsă date</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530A42"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color w:val="000000"/>
                <w:sz w:val="20"/>
                <w:szCs w:val="20"/>
              </w:rPr>
              <w:t>62,20</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BD582C" w14:textId="77777777" w:rsidR="00D535CE" w:rsidRDefault="00D535CE" w:rsidP="00314C19">
            <w:pPr>
              <w:spacing w:after="0" w:line="240" w:lineRule="auto"/>
              <w:ind w:left="100" w:hanging="75"/>
              <w:rPr>
                <w:rFonts w:eastAsia="Times New Roman" w:cs="Times New Roman"/>
                <w:sz w:val="20"/>
                <w:szCs w:val="20"/>
              </w:rPr>
            </w:pPr>
            <w:r>
              <w:rPr>
                <w:rFonts w:eastAsia="Times New Roman" w:cs="Times New Roman"/>
                <w:color w:val="000000"/>
                <w:sz w:val="20"/>
                <w:szCs w:val="20"/>
              </w:rPr>
              <w:t> </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EC73C9" w14:textId="77777777" w:rsidR="00D535CE" w:rsidRDefault="00D535CE" w:rsidP="00314C19">
            <w:pPr>
              <w:spacing w:after="0" w:line="240" w:lineRule="auto"/>
              <w:ind w:left="100" w:firstLine="0"/>
              <w:rPr>
                <w:rFonts w:eastAsia="Times New Roman" w:cs="Times New Roman"/>
                <w:sz w:val="20"/>
                <w:szCs w:val="20"/>
              </w:rPr>
            </w:pPr>
            <w:r>
              <w:rPr>
                <w:rFonts w:eastAsia="Times New Roman" w:cs="Times New Roman"/>
                <w:color w:val="000000"/>
                <w:sz w:val="20"/>
                <w:szCs w:val="20"/>
              </w:rPr>
              <w:t> </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2E22E420" w14:textId="77777777" w:rsidR="00D535CE" w:rsidRDefault="00D535CE" w:rsidP="00314C19">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Zone pentru activități turistice</w:t>
            </w:r>
          </w:p>
        </w:tc>
      </w:tr>
      <w:tr w:rsidR="00D535CE" w14:paraId="3491E398" w14:textId="77777777" w:rsidTr="00D46EB7">
        <w:trPr>
          <w:trHeight w:val="570"/>
          <w:jc w:val="center"/>
        </w:trPr>
        <w:tc>
          <w:tcPr>
            <w:tcW w:w="1254"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2509AF90" w14:textId="77777777" w:rsidR="00D535CE" w:rsidRDefault="00D535CE" w:rsidP="00314C19">
            <w:pPr>
              <w:spacing w:after="0" w:line="240" w:lineRule="auto"/>
              <w:ind w:left="100" w:hanging="63"/>
              <w:rPr>
                <w:rFonts w:eastAsia="Times New Roman" w:cs="Times New Roman"/>
                <w:sz w:val="20"/>
                <w:szCs w:val="20"/>
              </w:rPr>
            </w:pPr>
            <w:r>
              <w:rPr>
                <w:rFonts w:eastAsia="Times New Roman" w:cs="Times New Roman"/>
                <w:color w:val="000000"/>
                <w:sz w:val="20"/>
                <w:szCs w:val="20"/>
              </w:rPr>
              <w:t>Mangalia</w:t>
            </w:r>
          </w:p>
        </w:tc>
        <w:tc>
          <w:tcPr>
            <w:tcW w:w="12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A0E6EC" w14:textId="77777777" w:rsidR="00D535CE" w:rsidRDefault="00D535CE" w:rsidP="00314C19">
            <w:pPr>
              <w:spacing w:after="0" w:line="240" w:lineRule="auto"/>
              <w:ind w:left="100" w:hanging="41"/>
              <w:rPr>
                <w:rFonts w:eastAsia="Times New Roman" w:cs="Times New Roman"/>
                <w:sz w:val="20"/>
                <w:szCs w:val="20"/>
              </w:rPr>
            </w:pPr>
            <w:r>
              <w:rPr>
                <w:rFonts w:eastAsia="Times New Roman" w:cs="Times New Roman"/>
                <w:color w:val="000000"/>
                <w:sz w:val="20"/>
                <w:szCs w:val="20"/>
              </w:rPr>
              <w:t>463,07</w:t>
            </w:r>
          </w:p>
        </w:tc>
        <w:tc>
          <w:tcPr>
            <w:tcW w:w="10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C7F41A" w14:textId="77777777" w:rsidR="00D535CE" w:rsidRDefault="00D535CE" w:rsidP="00314C19">
            <w:pPr>
              <w:spacing w:after="0" w:line="240" w:lineRule="auto"/>
              <w:ind w:left="100" w:hanging="23"/>
              <w:rPr>
                <w:rFonts w:eastAsia="Times New Roman" w:cs="Times New Roman"/>
                <w:sz w:val="20"/>
                <w:szCs w:val="20"/>
              </w:rPr>
            </w:pPr>
            <w:r>
              <w:rPr>
                <w:rFonts w:eastAsia="Times New Roman" w:cs="Times New Roman"/>
                <w:color w:val="000000"/>
                <w:sz w:val="20"/>
                <w:szCs w:val="20"/>
              </w:rPr>
              <w:t>562,11</w:t>
            </w:r>
          </w:p>
        </w:tc>
        <w:tc>
          <w:tcPr>
            <w:tcW w:w="1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EC79C3"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color w:val="000000"/>
                <w:sz w:val="20"/>
                <w:szCs w:val="20"/>
              </w:rPr>
              <w:t> </w:t>
            </w:r>
          </w:p>
        </w:tc>
        <w:tc>
          <w:tcPr>
            <w:tcW w:w="1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081264" w14:textId="77777777" w:rsidR="00D535CE" w:rsidRDefault="00D535CE" w:rsidP="00314C19">
            <w:pPr>
              <w:spacing w:after="0" w:line="240" w:lineRule="auto"/>
              <w:ind w:left="100" w:hanging="75"/>
              <w:rPr>
                <w:rFonts w:eastAsia="Times New Roman" w:cs="Times New Roman"/>
                <w:sz w:val="20"/>
                <w:szCs w:val="20"/>
              </w:rPr>
            </w:pPr>
            <w:r>
              <w:rPr>
                <w:rFonts w:eastAsia="Times New Roman" w:cs="Times New Roman"/>
                <w:color w:val="000000"/>
                <w:sz w:val="20"/>
                <w:szCs w:val="20"/>
              </w:rPr>
              <w:t> </w:t>
            </w:r>
          </w:p>
        </w:tc>
        <w:tc>
          <w:tcPr>
            <w:tcW w:w="1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B67D63" w14:textId="77777777" w:rsidR="00D535CE" w:rsidRDefault="00D535CE" w:rsidP="00314C19">
            <w:pPr>
              <w:spacing w:after="0" w:line="240" w:lineRule="auto"/>
              <w:ind w:left="100" w:firstLine="0"/>
              <w:rPr>
                <w:rFonts w:eastAsia="Times New Roman" w:cs="Times New Roman"/>
                <w:sz w:val="20"/>
                <w:szCs w:val="20"/>
              </w:rPr>
            </w:pPr>
            <w:r>
              <w:rPr>
                <w:rFonts w:eastAsia="Times New Roman" w:cs="Times New Roman"/>
                <w:color w:val="000000"/>
                <w:sz w:val="20"/>
                <w:szCs w:val="20"/>
              </w:rPr>
              <w:t> </w:t>
            </w:r>
          </w:p>
        </w:tc>
        <w:tc>
          <w:tcPr>
            <w:tcW w:w="1323"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75F530DA" w14:textId="77777777" w:rsidR="00D535CE" w:rsidRDefault="00D535CE" w:rsidP="00314C19">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Instituții și servicii</w:t>
            </w:r>
          </w:p>
          <w:p w14:paraId="5A601EFE" w14:textId="77777777" w:rsidR="00D535CE" w:rsidRDefault="00D535CE" w:rsidP="00314C19">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de interes public</w:t>
            </w:r>
          </w:p>
        </w:tc>
      </w:tr>
      <w:tr w:rsidR="00D535CE" w14:paraId="20C861F9" w14:textId="77777777" w:rsidTr="00D46EB7">
        <w:trPr>
          <w:trHeight w:val="455"/>
          <w:jc w:val="center"/>
        </w:trPr>
        <w:tc>
          <w:tcPr>
            <w:tcW w:w="1254" w:type="dxa"/>
            <w:tcBorders>
              <w:top w:val="single" w:sz="8" w:space="0" w:color="000000"/>
              <w:left w:val="single" w:sz="4" w:space="0" w:color="000000"/>
              <w:bottom w:val="single" w:sz="4" w:space="0" w:color="000000"/>
              <w:right w:val="single" w:sz="8" w:space="0" w:color="000000"/>
            </w:tcBorders>
            <w:tcMar>
              <w:top w:w="100" w:type="dxa"/>
              <w:left w:w="100" w:type="dxa"/>
              <w:bottom w:w="100" w:type="dxa"/>
              <w:right w:w="100" w:type="dxa"/>
            </w:tcMar>
          </w:tcPr>
          <w:p w14:paraId="5BD51895" w14:textId="77777777" w:rsidR="00D535CE" w:rsidRDefault="00D535CE" w:rsidP="00314C19">
            <w:pPr>
              <w:spacing w:after="0" w:line="240" w:lineRule="auto"/>
              <w:ind w:left="100" w:hanging="63"/>
              <w:rPr>
                <w:rFonts w:eastAsia="Times New Roman" w:cs="Times New Roman"/>
                <w:sz w:val="20"/>
                <w:szCs w:val="20"/>
              </w:rPr>
            </w:pPr>
            <w:r>
              <w:rPr>
                <w:rFonts w:eastAsia="Times New Roman" w:cs="Times New Roman"/>
                <w:color w:val="000000"/>
                <w:sz w:val="20"/>
                <w:szCs w:val="20"/>
              </w:rPr>
              <w:t>Limanu</w:t>
            </w:r>
          </w:p>
        </w:tc>
        <w:tc>
          <w:tcPr>
            <w:tcW w:w="1216"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191CE838" w14:textId="77777777" w:rsidR="00D535CE" w:rsidRDefault="00D535CE" w:rsidP="00314C19">
            <w:pPr>
              <w:spacing w:after="0" w:line="240" w:lineRule="auto"/>
              <w:ind w:left="100" w:hanging="41"/>
              <w:rPr>
                <w:rFonts w:eastAsia="Times New Roman" w:cs="Times New Roman"/>
                <w:sz w:val="20"/>
                <w:szCs w:val="20"/>
              </w:rPr>
            </w:pPr>
            <w:r>
              <w:rPr>
                <w:rFonts w:eastAsia="Times New Roman" w:cs="Times New Roman"/>
                <w:color w:val="000000"/>
                <w:sz w:val="20"/>
                <w:szCs w:val="20"/>
              </w:rPr>
              <w:t>5,07</w:t>
            </w:r>
          </w:p>
        </w:tc>
        <w:tc>
          <w:tcPr>
            <w:tcW w:w="1082"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050568E4" w14:textId="77777777" w:rsidR="00D535CE" w:rsidRDefault="00D535CE" w:rsidP="00314C19">
            <w:pPr>
              <w:spacing w:after="0" w:line="240" w:lineRule="auto"/>
              <w:ind w:left="100" w:hanging="23"/>
              <w:rPr>
                <w:rFonts w:eastAsia="Times New Roman" w:cs="Times New Roman"/>
                <w:sz w:val="20"/>
                <w:szCs w:val="20"/>
              </w:rPr>
            </w:pPr>
            <w:r>
              <w:rPr>
                <w:rFonts w:eastAsia="Times New Roman" w:cs="Times New Roman"/>
                <w:color w:val="000000"/>
                <w:sz w:val="20"/>
                <w:szCs w:val="20"/>
              </w:rPr>
              <w:t>5,07</w:t>
            </w:r>
          </w:p>
        </w:tc>
        <w:tc>
          <w:tcPr>
            <w:tcW w:w="1421"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3B959D50"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color w:val="000000"/>
                <w:sz w:val="20"/>
                <w:szCs w:val="20"/>
              </w:rPr>
              <w:t>37,12</w:t>
            </w:r>
          </w:p>
        </w:tc>
        <w:tc>
          <w:tcPr>
            <w:tcW w:w="1375"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75C0DF86" w14:textId="77777777" w:rsidR="00D535CE" w:rsidRDefault="00D535CE" w:rsidP="00314C19">
            <w:pPr>
              <w:spacing w:after="0" w:line="240" w:lineRule="auto"/>
              <w:ind w:left="100" w:hanging="75"/>
              <w:rPr>
                <w:rFonts w:eastAsia="Times New Roman" w:cs="Times New Roman"/>
                <w:sz w:val="20"/>
                <w:szCs w:val="20"/>
              </w:rPr>
            </w:pPr>
            <w:r>
              <w:rPr>
                <w:rFonts w:eastAsia="Times New Roman" w:cs="Times New Roman"/>
                <w:color w:val="000000"/>
                <w:sz w:val="20"/>
                <w:szCs w:val="20"/>
              </w:rPr>
              <w:t> </w:t>
            </w:r>
          </w:p>
        </w:tc>
        <w:tc>
          <w:tcPr>
            <w:tcW w:w="1345"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034C133E" w14:textId="77777777" w:rsidR="00D535CE" w:rsidRDefault="00D535CE" w:rsidP="00314C19">
            <w:pPr>
              <w:spacing w:after="0" w:line="240" w:lineRule="auto"/>
              <w:ind w:left="100" w:firstLine="0"/>
              <w:rPr>
                <w:rFonts w:eastAsia="Times New Roman" w:cs="Times New Roman"/>
                <w:sz w:val="20"/>
                <w:szCs w:val="20"/>
              </w:rPr>
            </w:pPr>
            <w:r>
              <w:rPr>
                <w:rFonts w:eastAsia="Times New Roman" w:cs="Times New Roman"/>
                <w:color w:val="000000"/>
                <w:sz w:val="20"/>
                <w:szCs w:val="20"/>
              </w:rPr>
              <w:t> </w:t>
            </w:r>
          </w:p>
        </w:tc>
        <w:tc>
          <w:tcPr>
            <w:tcW w:w="1323" w:type="dxa"/>
            <w:tcBorders>
              <w:top w:val="single" w:sz="8" w:space="0" w:color="000000"/>
              <w:left w:val="single" w:sz="8" w:space="0" w:color="000000"/>
              <w:bottom w:val="single" w:sz="4" w:space="0" w:color="000000"/>
              <w:right w:val="single" w:sz="4" w:space="0" w:color="000000"/>
            </w:tcBorders>
            <w:tcMar>
              <w:top w:w="100" w:type="dxa"/>
              <w:left w:w="100" w:type="dxa"/>
              <w:bottom w:w="100" w:type="dxa"/>
              <w:right w:w="100" w:type="dxa"/>
            </w:tcMar>
          </w:tcPr>
          <w:p w14:paraId="188AD2DF" w14:textId="77777777" w:rsidR="00D535CE" w:rsidRDefault="00D535CE" w:rsidP="00314C19">
            <w:pPr>
              <w:spacing w:after="0" w:line="240" w:lineRule="auto"/>
              <w:ind w:left="100" w:hanging="101"/>
              <w:jc w:val="left"/>
              <w:rPr>
                <w:rFonts w:eastAsia="Times New Roman" w:cs="Times New Roman"/>
                <w:sz w:val="20"/>
                <w:szCs w:val="20"/>
              </w:rPr>
            </w:pPr>
            <w:r>
              <w:rPr>
                <w:rFonts w:eastAsia="Times New Roman" w:cs="Times New Roman"/>
                <w:color w:val="000000"/>
                <w:sz w:val="20"/>
                <w:szCs w:val="20"/>
              </w:rPr>
              <w:t>Zone pentru activități turistice</w:t>
            </w:r>
          </w:p>
        </w:tc>
      </w:tr>
    </w:tbl>
    <w:p w14:paraId="42635756" w14:textId="77777777" w:rsidR="00D535CE" w:rsidRDefault="00D535CE" w:rsidP="00D535CE">
      <w:pPr>
        <w:ind w:firstLine="567"/>
        <w:rPr>
          <w:rFonts w:eastAsia="Times New Roman" w:cs="Times New Roman"/>
          <w:color w:val="FF0000"/>
        </w:rPr>
      </w:pPr>
      <w:r>
        <w:rPr>
          <w:rFonts w:eastAsia="Times New Roman" w:cs="Times New Roman"/>
          <w:color w:val="000000"/>
          <w:sz w:val="20"/>
          <w:szCs w:val="20"/>
        </w:rPr>
        <w:t>* Suprafața totală pentru zona de instituții și servicii publice menționată în Raportul de mediu aferent actualizare PUG este 680,11 ha din care 677,84 ha este ocupată de un parc eolian aprobat prin PUZ 2012. Dacă se exclude suprafața parcului eolian rezultă o suprafață de 2,27 ha, în scădere față de suprafața existentă</w:t>
      </w:r>
    </w:p>
    <w:p w14:paraId="781A5BD3" w14:textId="77777777" w:rsidR="00D535CE" w:rsidRDefault="00D535CE" w:rsidP="00D535CE">
      <w:pPr>
        <w:ind w:firstLine="567"/>
        <w:rPr>
          <w:rFonts w:eastAsia="Times New Roman" w:cs="Times New Roman"/>
          <w:color w:val="FF0000"/>
        </w:rPr>
      </w:pPr>
    </w:p>
    <w:p w14:paraId="2641A8D6" w14:textId="77777777" w:rsidR="00D535CE" w:rsidRDefault="00D535CE" w:rsidP="00314C19">
      <w:pPr>
        <w:spacing w:before="0"/>
        <w:jc w:val="center"/>
        <w:rPr>
          <w:rFonts w:eastAsia="Times New Roman" w:cs="Times New Roman"/>
        </w:rPr>
      </w:pPr>
      <w:r>
        <w:rPr>
          <w:rFonts w:eastAsia="Times New Roman" w:cs="Times New Roman"/>
          <w:b/>
        </w:rPr>
        <w:t>Tabel 4.8.8.7 Zone cu activități mixte - Locuire și Turism (conform datelor din planurile urbanistice generale)</w:t>
      </w:r>
    </w:p>
    <w:tbl>
      <w:tblPr>
        <w:tblW w:w="9006" w:type="dxa"/>
        <w:tblLayout w:type="fixed"/>
        <w:tblLook w:val="0400" w:firstRow="0" w:lastRow="0" w:firstColumn="0" w:lastColumn="0" w:noHBand="0" w:noVBand="1"/>
      </w:tblPr>
      <w:tblGrid>
        <w:gridCol w:w="1304"/>
        <w:gridCol w:w="1963"/>
        <w:gridCol w:w="1584"/>
        <w:gridCol w:w="2009"/>
        <w:gridCol w:w="2146"/>
      </w:tblGrid>
      <w:tr w:rsidR="00D535CE" w14:paraId="541E122C" w14:textId="77777777" w:rsidTr="00D46EB7">
        <w:trPr>
          <w:trHeight w:val="513"/>
        </w:trPr>
        <w:tc>
          <w:tcPr>
            <w:tcW w:w="1304"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3FF6E4E5" w14:textId="77777777" w:rsidR="00D535CE" w:rsidRDefault="00D535CE" w:rsidP="00314C19">
            <w:pPr>
              <w:spacing w:after="0" w:line="240" w:lineRule="auto"/>
              <w:ind w:left="100" w:hanging="68"/>
              <w:jc w:val="center"/>
              <w:rPr>
                <w:rFonts w:eastAsia="Times New Roman" w:cs="Times New Roman"/>
                <w:b/>
                <w:sz w:val="20"/>
                <w:szCs w:val="20"/>
              </w:rPr>
            </w:pPr>
            <w:r>
              <w:rPr>
                <w:rFonts w:eastAsia="Times New Roman" w:cs="Times New Roman"/>
                <w:b/>
                <w:sz w:val="20"/>
                <w:szCs w:val="20"/>
              </w:rPr>
              <w:t>UAT</w:t>
            </w:r>
          </w:p>
        </w:tc>
        <w:tc>
          <w:tcPr>
            <w:tcW w:w="1963"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7DB80625" w14:textId="77777777" w:rsidR="00D535CE" w:rsidRDefault="00D535CE" w:rsidP="00314C19">
            <w:pPr>
              <w:spacing w:after="0" w:line="240" w:lineRule="auto"/>
              <w:ind w:left="100" w:hanging="100"/>
              <w:jc w:val="center"/>
              <w:rPr>
                <w:rFonts w:eastAsia="Times New Roman" w:cs="Times New Roman"/>
                <w:b/>
                <w:sz w:val="20"/>
                <w:szCs w:val="20"/>
              </w:rPr>
            </w:pPr>
            <w:r>
              <w:rPr>
                <w:rFonts w:eastAsia="Times New Roman" w:cs="Times New Roman"/>
                <w:b/>
                <w:sz w:val="20"/>
                <w:szCs w:val="20"/>
              </w:rPr>
              <w:t>Existente la data aprobării PUG (ha)</w:t>
            </w:r>
          </w:p>
        </w:tc>
        <w:tc>
          <w:tcPr>
            <w:tcW w:w="1584"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17D0BB4B" w14:textId="77777777" w:rsidR="00D535CE" w:rsidRDefault="00D535CE" w:rsidP="00314C19">
            <w:pPr>
              <w:spacing w:after="0" w:line="240" w:lineRule="auto"/>
              <w:ind w:left="100" w:hanging="100"/>
              <w:jc w:val="center"/>
              <w:rPr>
                <w:rFonts w:eastAsia="Times New Roman" w:cs="Times New Roman"/>
                <w:b/>
                <w:sz w:val="20"/>
                <w:szCs w:val="20"/>
              </w:rPr>
            </w:pPr>
            <w:r>
              <w:rPr>
                <w:rFonts w:eastAsia="Times New Roman" w:cs="Times New Roman"/>
                <w:b/>
                <w:sz w:val="20"/>
                <w:szCs w:val="20"/>
              </w:rPr>
              <w:t>Aprobate prin PUG (ha)</w:t>
            </w:r>
          </w:p>
        </w:tc>
        <w:tc>
          <w:tcPr>
            <w:tcW w:w="2009"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3DADFDD8" w14:textId="77777777" w:rsidR="00D535CE" w:rsidRDefault="00D535CE" w:rsidP="00314C19">
            <w:pPr>
              <w:spacing w:after="0" w:line="240" w:lineRule="auto"/>
              <w:ind w:left="100" w:hanging="100"/>
              <w:jc w:val="center"/>
              <w:rPr>
                <w:rFonts w:eastAsia="Times New Roman" w:cs="Times New Roman"/>
                <w:b/>
                <w:sz w:val="20"/>
                <w:szCs w:val="20"/>
              </w:rPr>
            </w:pPr>
            <w:r>
              <w:rPr>
                <w:rFonts w:eastAsia="Times New Roman" w:cs="Times New Roman"/>
                <w:b/>
                <w:sz w:val="20"/>
                <w:szCs w:val="20"/>
              </w:rPr>
              <w:t>Existente la data actualizării PUG (ha)</w:t>
            </w:r>
          </w:p>
        </w:tc>
        <w:tc>
          <w:tcPr>
            <w:tcW w:w="2146"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56F019E4" w14:textId="77777777" w:rsidR="00D535CE" w:rsidRDefault="00D535CE" w:rsidP="00D46EB7">
            <w:pPr>
              <w:spacing w:after="0" w:line="240" w:lineRule="auto"/>
              <w:ind w:left="100" w:hanging="100"/>
              <w:jc w:val="center"/>
              <w:rPr>
                <w:rFonts w:eastAsia="Times New Roman" w:cs="Times New Roman"/>
                <w:b/>
                <w:sz w:val="20"/>
                <w:szCs w:val="20"/>
              </w:rPr>
            </w:pPr>
            <w:r>
              <w:rPr>
                <w:rFonts w:eastAsia="Times New Roman" w:cs="Times New Roman"/>
                <w:b/>
                <w:sz w:val="20"/>
                <w:szCs w:val="20"/>
              </w:rPr>
              <w:t>Propus prin PUG în curs de actualizare (ha)</w:t>
            </w:r>
          </w:p>
        </w:tc>
      </w:tr>
      <w:tr w:rsidR="00D535CE" w14:paraId="5D5A6A7F" w14:textId="77777777" w:rsidTr="00D46EB7">
        <w:trPr>
          <w:trHeight w:val="248"/>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0AC13BA"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sz w:val="20"/>
                <w:szCs w:val="20"/>
              </w:rPr>
              <w:t>C.A.Rosetti</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47D9613"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0</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0F2FFA9" w14:textId="77777777" w:rsidR="00D535CE" w:rsidRDefault="00D535CE" w:rsidP="00314C19">
            <w:pPr>
              <w:spacing w:after="0" w:line="240" w:lineRule="auto"/>
              <w:ind w:left="100" w:hanging="100"/>
              <w:jc w:val="right"/>
              <w:rPr>
                <w:rFonts w:eastAsia="Times New Roman" w:cs="Times New Roman"/>
                <w:sz w:val="20"/>
                <w:szCs w:val="20"/>
              </w:rPr>
            </w:pPr>
            <w:r>
              <w:rPr>
                <w:rFonts w:eastAsia="Times New Roman" w:cs="Times New Roman"/>
                <w:sz w:val="20"/>
                <w:szCs w:val="20"/>
              </w:rPr>
              <w:t>0</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546EF67"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 </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D5B29AB" w14:textId="77777777" w:rsidR="00D535CE" w:rsidRDefault="00D535CE" w:rsidP="00D46EB7">
            <w:pPr>
              <w:spacing w:after="0" w:line="240" w:lineRule="auto"/>
              <w:ind w:left="100"/>
              <w:jc w:val="center"/>
              <w:rPr>
                <w:rFonts w:eastAsia="Times New Roman" w:cs="Times New Roman"/>
                <w:sz w:val="20"/>
                <w:szCs w:val="20"/>
              </w:rPr>
            </w:pPr>
            <w:r>
              <w:rPr>
                <w:rFonts w:eastAsia="Times New Roman" w:cs="Times New Roman"/>
                <w:sz w:val="20"/>
                <w:szCs w:val="20"/>
              </w:rPr>
              <w:t> </w:t>
            </w:r>
          </w:p>
        </w:tc>
      </w:tr>
      <w:tr w:rsidR="00D535CE" w14:paraId="6783C8B3" w14:textId="77777777" w:rsidTr="00D46EB7">
        <w:trPr>
          <w:trHeight w:val="197"/>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0B48132"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sz w:val="20"/>
                <w:szCs w:val="20"/>
              </w:rPr>
              <w:t>Sulina</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7CD4D0E"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0</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A11EF85" w14:textId="77777777" w:rsidR="00D535CE" w:rsidRDefault="00D535CE" w:rsidP="00314C19">
            <w:pPr>
              <w:spacing w:after="0" w:line="240" w:lineRule="auto"/>
              <w:ind w:left="100" w:hanging="100"/>
              <w:jc w:val="right"/>
              <w:rPr>
                <w:rFonts w:eastAsia="Times New Roman" w:cs="Times New Roman"/>
                <w:sz w:val="20"/>
                <w:szCs w:val="20"/>
              </w:rPr>
            </w:pPr>
            <w:r>
              <w:rPr>
                <w:rFonts w:eastAsia="Times New Roman" w:cs="Times New Roman"/>
                <w:sz w:val="20"/>
                <w:szCs w:val="20"/>
              </w:rPr>
              <w:t>0</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D1EAE90"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 </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D1B9DDC" w14:textId="77777777" w:rsidR="00D535CE" w:rsidRDefault="00D535CE" w:rsidP="00D46EB7">
            <w:pPr>
              <w:spacing w:after="0" w:line="240" w:lineRule="auto"/>
              <w:ind w:left="100"/>
              <w:jc w:val="center"/>
              <w:rPr>
                <w:rFonts w:eastAsia="Times New Roman" w:cs="Times New Roman"/>
                <w:sz w:val="20"/>
                <w:szCs w:val="20"/>
              </w:rPr>
            </w:pPr>
            <w:r>
              <w:rPr>
                <w:rFonts w:eastAsia="Times New Roman" w:cs="Times New Roman"/>
                <w:sz w:val="20"/>
                <w:szCs w:val="20"/>
              </w:rPr>
              <w:t> </w:t>
            </w:r>
          </w:p>
        </w:tc>
      </w:tr>
      <w:tr w:rsidR="00D535CE" w14:paraId="1637F024" w14:textId="77777777" w:rsidTr="00D46EB7">
        <w:trPr>
          <w:trHeight w:val="425"/>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5B77BAE"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sz w:val="20"/>
                <w:szCs w:val="20"/>
              </w:rPr>
              <w:lastRenderedPageBreak/>
              <w:t>Sf. Gheorghe</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B109755"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0</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68A588B" w14:textId="77777777" w:rsidR="00D535CE" w:rsidRDefault="00D535CE" w:rsidP="00314C19">
            <w:pPr>
              <w:spacing w:after="0" w:line="240" w:lineRule="auto"/>
              <w:ind w:left="100" w:hanging="100"/>
              <w:jc w:val="right"/>
              <w:rPr>
                <w:rFonts w:eastAsia="Times New Roman" w:cs="Times New Roman"/>
                <w:sz w:val="20"/>
                <w:szCs w:val="20"/>
              </w:rPr>
            </w:pPr>
            <w:r>
              <w:rPr>
                <w:rFonts w:eastAsia="Times New Roman" w:cs="Times New Roman"/>
                <w:sz w:val="20"/>
                <w:szCs w:val="20"/>
              </w:rPr>
              <w:t>0</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4739CF7"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 </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259B315" w14:textId="77777777" w:rsidR="00D535CE" w:rsidRDefault="00D535CE" w:rsidP="00D46EB7">
            <w:pPr>
              <w:spacing w:after="0" w:line="240" w:lineRule="auto"/>
              <w:ind w:left="100"/>
              <w:jc w:val="center"/>
              <w:rPr>
                <w:rFonts w:eastAsia="Times New Roman" w:cs="Times New Roman"/>
                <w:sz w:val="20"/>
                <w:szCs w:val="20"/>
              </w:rPr>
            </w:pPr>
            <w:r>
              <w:rPr>
                <w:rFonts w:eastAsia="Times New Roman" w:cs="Times New Roman"/>
                <w:sz w:val="20"/>
                <w:szCs w:val="20"/>
              </w:rPr>
              <w:t> </w:t>
            </w:r>
          </w:p>
        </w:tc>
      </w:tr>
      <w:tr w:rsidR="00D535CE" w14:paraId="04503609" w14:textId="77777777" w:rsidTr="00D46EB7">
        <w:trPr>
          <w:trHeight w:val="215"/>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B0461CD"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sz w:val="20"/>
                <w:szCs w:val="20"/>
              </w:rPr>
              <w:t>Murighiol</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228F5AC"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0</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865BF99" w14:textId="77777777" w:rsidR="00D535CE" w:rsidRDefault="00D535CE" w:rsidP="00314C19">
            <w:pPr>
              <w:spacing w:after="0" w:line="240" w:lineRule="auto"/>
              <w:ind w:left="100" w:hanging="100"/>
              <w:jc w:val="right"/>
              <w:rPr>
                <w:rFonts w:eastAsia="Times New Roman" w:cs="Times New Roman"/>
                <w:sz w:val="20"/>
                <w:szCs w:val="20"/>
              </w:rPr>
            </w:pPr>
            <w:r>
              <w:rPr>
                <w:rFonts w:eastAsia="Times New Roman" w:cs="Times New Roman"/>
                <w:sz w:val="20"/>
                <w:szCs w:val="20"/>
              </w:rPr>
              <w:t>0</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2740AA6"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 </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8C979BE" w14:textId="77777777" w:rsidR="00D535CE" w:rsidRDefault="00D535CE" w:rsidP="00D46EB7">
            <w:pPr>
              <w:spacing w:after="0" w:line="240" w:lineRule="auto"/>
              <w:ind w:left="100"/>
              <w:jc w:val="center"/>
              <w:rPr>
                <w:rFonts w:eastAsia="Times New Roman" w:cs="Times New Roman"/>
                <w:sz w:val="20"/>
                <w:szCs w:val="20"/>
              </w:rPr>
            </w:pPr>
            <w:r>
              <w:rPr>
                <w:rFonts w:eastAsia="Times New Roman" w:cs="Times New Roman"/>
                <w:sz w:val="20"/>
                <w:szCs w:val="20"/>
              </w:rPr>
              <w:t> </w:t>
            </w:r>
          </w:p>
        </w:tc>
      </w:tr>
      <w:tr w:rsidR="00D535CE" w14:paraId="5693F811" w14:textId="77777777" w:rsidTr="00D46EB7">
        <w:trPr>
          <w:trHeight w:val="191"/>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43599BD"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sz w:val="20"/>
                <w:szCs w:val="20"/>
              </w:rPr>
              <w:t>Jurilovca</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757B06A"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0</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A17BAA9" w14:textId="77777777" w:rsidR="00D535CE" w:rsidRDefault="00D535CE" w:rsidP="00314C19">
            <w:pPr>
              <w:spacing w:after="0" w:line="240" w:lineRule="auto"/>
              <w:ind w:left="100" w:hanging="100"/>
              <w:jc w:val="right"/>
              <w:rPr>
                <w:rFonts w:eastAsia="Times New Roman" w:cs="Times New Roman"/>
                <w:sz w:val="20"/>
                <w:szCs w:val="20"/>
              </w:rPr>
            </w:pPr>
            <w:r>
              <w:rPr>
                <w:rFonts w:eastAsia="Times New Roman" w:cs="Times New Roman"/>
                <w:sz w:val="20"/>
                <w:szCs w:val="20"/>
              </w:rPr>
              <w:t>0</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B60AB4D"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 </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69894DE" w14:textId="77777777" w:rsidR="00D535CE" w:rsidRDefault="00D535CE" w:rsidP="00D46EB7">
            <w:pPr>
              <w:spacing w:after="0" w:line="240" w:lineRule="auto"/>
              <w:ind w:left="100"/>
              <w:jc w:val="center"/>
              <w:rPr>
                <w:rFonts w:eastAsia="Times New Roman" w:cs="Times New Roman"/>
                <w:sz w:val="20"/>
                <w:szCs w:val="20"/>
              </w:rPr>
            </w:pPr>
            <w:r>
              <w:rPr>
                <w:rFonts w:eastAsia="Times New Roman" w:cs="Times New Roman"/>
                <w:sz w:val="20"/>
                <w:szCs w:val="20"/>
              </w:rPr>
              <w:t> </w:t>
            </w:r>
          </w:p>
        </w:tc>
      </w:tr>
      <w:tr w:rsidR="00D535CE" w14:paraId="3D3F8FBC" w14:textId="77777777" w:rsidTr="00D46EB7">
        <w:trPr>
          <w:trHeight w:val="438"/>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5A081EA"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sz w:val="20"/>
                <w:szCs w:val="20"/>
              </w:rPr>
              <w:t>Mihai Viteazu</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9A4AA66"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i/>
                <w:sz w:val="20"/>
                <w:szCs w:val="20"/>
              </w:rPr>
              <w:t>lipsă date</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D29F454" w14:textId="77777777" w:rsidR="00D535CE" w:rsidRDefault="00D535CE" w:rsidP="00314C19">
            <w:pPr>
              <w:spacing w:after="0" w:line="240" w:lineRule="auto"/>
              <w:ind w:left="100" w:hanging="100"/>
              <w:jc w:val="right"/>
              <w:rPr>
                <w:rFonts w:eastAsia="Times New Roman" w:cs="Times New Roman"/>
                <w:sz w:val="20"/>
                <w:szCs w:val="20"/>
              </w:rPr>
            </w:pPr>
            <w:r>
              <w:rPr>
                <w:rFonts w:eastAsia="Times New Roman" w:cs="Times New Roman"/>
                <w:sz w:val="20"/>
                <w:szCs w:val="20"/>
              </w:rPr>
              <w:t>0</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D8F1C4D"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 </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63D6B06" w14:textId="77777777" w:rsidR="00D535CE" w:rsidRDefault="00D535CE" w:rsidP="00D46EB7">
            <w:pPr>
              <w:spacing w:after="0" w:line="240" w:lineRule="auto"/>
              <w:ind w:left="100"/>
              <w:jc w:val="center"/>
              <w:rPr>
                <w:rFonts w:eastAsia="Times New Roman" w:cs="Times New Roman"/>
                <w:sz w:val="20"/>
                <w:szCs w:val="20"/>
              </w:rPr>
            </w:pPr>
            <w:r>
              <w:rPr>
                <w:rFonts w:eastAsia="Times New Roman" w:cs="Times New Roman"/>
                <w:sz w:val="20"/>
                <w:szCs w:val="20"/>
              </w:rPr>
              <w:t> </w:t>
            </w:r>
          </w:p>
        </w:tc>
      </w:tr>
      <w:tr w:rsidR="00D535CE" w14:paraId="5D4D8039" w14:textId="77777777" w:rsidTr="00D46EB7">
        <w:trPr>
          <w:trHeight w:val="201"/>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A79EEDF" w14:textId="77777777" w:rsidR="00D535CE" w:rsidRDefault="00D535CE" w:rsidP="00314C19">
            <w:pPr>
              <w:spacing w:after="0" w:line="240" w:lineRule="auto"/>
              <w:ind w:hanging="68"/>
              <w:rPr>
                <w:rFonts w:eastAsia="Times New Roman" w:cs="Times New Roman"/>
                <w:sz w:val="20"/>
                <w:szCs w:val="20"/>
              </w:rPr>
            </w:pPr>
            <w:r>
              <w:rPr>
                <w:rFonts w:eastAsia="Times New Roman" w:cs="Times New Roman"/>
                <w:sz w:val="20"/>
                <w:szCs w:val="20"/>
              </w:rPr>
              <w:t>Istria</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2CDB71B"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i/>
                <w:sz w:val="20"/>
                <w:szCs w:val="20"/>
              </w:rPr>
              <w:t>lipsă date</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8F65555"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i/>
                <w:sz w:val="20"/>
                <w:szCs w:val="20"/>
              </w:rPr>
              <w:t>lipsă date</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D348581"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 </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2F287B8" w14:textId="77777777" w:rsidR="00D535CE" w:rsidRDefault="00D535CE" w:rsidP="00D46EB7">
            <w:pPr>
              <w:spacing w:after="0" w:line="240" w:lineRule="auto"/>
              <w:ind w:left="100"/>
              <w:jc w:val="center"/>
              <w:rPr>
                <w:rFonts w:eastAsia="Times New Roman" w:cs="Times New Roman"/>
                <w:sz w:val="20"/>
                <w:szCs w:val="20"/>
              </w:rPr>
            </w:pPr>
            <w:r>
              <w:rPr>
                <w:rFonts w:eastAsia="Times New Roman" w:cs="Times New Roman"/>
                <w:sz w:val="20"/>
                <w:szCs w:val="20"/>
              </w:rPr>
              <w:t> </w:t>
            </w:r>
          </w:p>
        </w:tc>
      </w:tr>
      <w:tr w:rsidR="00D535CE" w14:paraId="126AAB01" w14:textId="77777777" w:rsidTr="00D46EB7">
        <w:trPr>
          <w:trHeight w:val="157"/>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13CF795" w14:textId="77777777" w:rsidR="00D535CE" w:rsidRDefault="00D535CE" w:rsidP="00314C19">
            <w:pPr>
              <w:spacing w:after="0" w:line="240" w:lineRule="auto"/>
              <w:ind w:hanging="68"/>
              <w:rPr>
                <w:rFonts w:eastAsia="Times New Roman" w:cs="Times New Roman"/>
                <w:sz w:val="20"/>
                <w:szCs w:val="20"/>
              </w:rPr>
            </w:pPr>
            <w:r>
              <w:rPr>
                <w:rFonts w:eastAsia="Times New Roman" w:cs="Times New Roman"/>
                <w:sz w:val="20"/>
                <w:szCs w:val="20"/>
              </w:rPr>
              <w:t>Săcele</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AF2BFAF"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i/>
                <w:sz w:val="20"/>
                <w:szCs w:val="20"/>
              </w:rPr>
              <w:t>lipsă date</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DB06B06"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i/>
                <w:sz w:val="20"/>
                <w:szCs w:val="20"/>
              </w:rPr>
              <w:t>lipsă date</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406B157" w14:textId="77777777" w:rsidR="00D535CE" w:rsidRDefault="00D535CE" w:rsidP="00314C19">
            <w:pPr>
              <w:spacing w:after="0" w:line="240" w:lineRule="auto"/>
              <w:ind w:left="100" w:hanging="100"/>
              <w:jc w:val="right"/>
              <w:rPr>
                <w:rFonts w:eastAsia="Times New Roman" w:cs="Times New Roman"/>
                <w:sz w:val="20"/>
                <w:szCs w:val="20"/>
              </w:rPr>
            </w:pPr>
            <w:r>
              <w:rPr>
                <w:rFonts w:eastAsia="Times New Roman" w:cs="Times New Roman"/>
                <w:sz w:val="20"/>
                <w:szCs w:val="20"/>
              </w:rPr>
              <w:t> </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FCE24E8" w14:textId="77777777" w:rsidR="00D535CE" w:rsidRDefault="00D535CE" w:rsidP="00D46EB7">
            <w:pPr>
              <w:spacing w:after="0" w:line="240" w:lineRule="auto"/>
              <w:ind w:left="100"/>
              <w:jc w:val="right"/>
              <w:rPr>
                <w:rFonts w:eastAsia="Times New Roman" w:cs="Times New Roman"/>
                <w:sz w:val="20"/>
                <w:szCs w:val="20"/>
              </w:rPr>
            </w:pPr>
            <w:r>
              <w:rPr>
                <w:rFonts w:eastAsia="Times New Roman" w:cs="Times New Roman"/>
                <w:sz w:val="20"/>
                <w:szCs w:val="20"/>
              </w:rPr>
              <w:t> </w:t>
            </w:r>
          </w:p>
        </w:tc>
      </w:tr>
      <w:tr w:rsidR="00D535CE" w14:paraId="3A5F4E9A" w14:textId="77777777" w:rsidTr="00D46EB7">
        <w:trPr>
          <w:trHeight w:val="277"/>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12F0D39"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sz w:val="20"/>
                <w:szCs w:val="20"/>
              </w:rPr>
              <w:t>Corbu</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51AFE9A"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i/>
                <w:sz w:val="20"/>
                <w:szCs w:val="20"/>
              </w:rPr>
              <w:t>lipsă date</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7A62AF2"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i/>
                <w:sz w:val="20"/>
                <w:szCs w:val="20"/>
              </w:rPr>
              <w:t>lipsă date</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CCA46F3"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 </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710CB97" w14:textId="77777777" w:rsidR="00D535CE" w:rsidRDefault="00D535CE" w:rsidP="00D46EB7">
            <w:pPr>
              <w:spacing w:after="0" w:line="240" w:lineRule="auto"/>
              <w:ind w:left="100"/>
              <w:jc w:val="center"/>
              <w:rPr>
                <w:rFonts w:eastAsia="Times New Roman" w:cs="Times New Roman"/>
                <w:sz w:val="20"/>
                <w:szCs w:val="20"/>
              </w:rPr>
            </w:pPr>
            <w:r>
              <w:rPr>
                <w:rFonts w:eastAsia="Times New Roman" w:cs="Times New Roman"/>
                <w:sz w:val="20"/>
                <w:szCs w:val="20"/>
              </w:rPr>
              <w:t> </w:t>
            </w:r>
          </w:p>
        </w:tc>
      </w:tr>
      <w:tr w:rsidR="00D535CE" w14:paraId="3317B5B9" w14:textId="77777777" w:rsidTr="00D46EB7">
        <w:trPr>
          <w:trHeight w:val="200"/>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5572F40"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sz w:val="20"/>
                <w:szCs w:val="20"/>
              </w:rPr>
              <w:t>Năvodari</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CBCAB21"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0</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CFDD4A6"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0</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0D3BEF9"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18,51</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65201B1" w14:textId="77777777" w:rsidR="00D535CE" w:rsidRDefault="00D535CE" w:rsidP="00314C19">
            <w:pPr>
              <w:spacing w:after="0" w:line="240" w:lineRule="auto"/>
              <w:ind w:left="100"/>
              <w:jc w:val="center"/>
              <w:rPr>
                <w:rFonts w:eastAsia="Times New Roman" w:cs="Times New Roman"/>
                <w:sz w:val="20"/>
                <w:szCs w:val="20"/>
              </w:rPr>
            </w:pPr>
            <w:r>
              <w:rPr>
                <w:rFonts w:eastAsia="Times New Roman" w:cs="Times New Roman"/>
                <w:sz w:val="20"/>
                <w:szCs w:val="20"/>
              </w:rPr>
              <w:t>19,24</w:t>
            </w:r>
          </w:p>
        </w:tc>
      </w:tr>
      <w:tr w:rsidR="00D535CE" w14:paraId="4D7F7178" w14:textId="77777777" w:rsidTr="00D46EB7">
        <w:trPr>
          <w:trHeight w:val="295"/>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FA34C8E"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sz w:val="20"/>
                <w:szCs w:val="20"/>
              </w:rPr>
              <w:t>Constanța</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6BCAEF7"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339,66</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F91093B"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i/>
                <w:sz w:val="20"/>
                <w:szCs w:val="20"/>
              </w:rPr>
              <w:t>lipsă date</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A1BEB8E"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599,72</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C289F98" w14:textId="77777777" w:rsidR="00D535CE" w:rsidRDefault="00D535CE" w:rsidP="00D46EB7">
            <w:pPr>
              <w:spacing w:after="0" w:line="240" w:lineRule="auto"/>
              <w:ind w:left="100"/>
              <w:jc w:val="center"/>
              <w:rPr>
                <w:rFonts w:eastAsia="Times New Roman" w:cs="Times New Roman"/>
                <w:sz w:val="20"/>
                <w:szCs w:val="20"/>
              </w:rPr>
            </w:pPr>
            <w:r>
              <w:rPr>
                <w:rFonts w:eastAsia="Times New Roman" w:cs="Times New Roman"/>
                <w:sz w:val="20"/>
                <w:szCs w:val="20"/>
              </w:rPr>
              <w:t> </w:t>
            </w:r>
          </w:p>
        </w:tc>
      </w:tr>
      <w:tr w:rsidR="00D535CE" w14:paraId="3DDD595C" w14:textId="77777777" w:rsidTr="00D46EB7">
        <w:trPr>
          <w:trHeight w:val="346"/>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D30EDF9"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sz w:val="20"/>
                <w:szCs w:val="20"/>
              </w:rPr>
              <w:t>Agigea</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9263A14"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i/>
                <w:sz w:val="20"/>
                <w:szCs w:val="20"/>
              </w:rPr>
              <w:t>lipsă date</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A8EFC30"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i/>
                <w:sz w:val="20"/>
                <w:szCs w:val="20"/>
              </w:rPr>
              <w:t>lipsă date</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A6D9EFF"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 </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A796326" w14:textId="77777777" w:rsidR="00D535CE" w:rsidRDefault="00D535CE" w:rsidP="00D46EB7">
            <w:pPr>
              <w:spacing w:after="0" w:line="240" w:lineRule="auto"/>
              <w:ind w:left="100"/>
              <w:jc w:val="center"/>
              <w:rPr>
                <w:rFonts w:eastAsia="Times New Roman" w:cs="Times New Roman"/>
                <w:sz w:val="20"/>
                <w:szCs w:val="20"/>
              </w:rPr>
            </w:pPr>
            <w:r>
              <w:rPr>
                <w:rFonts w:eastAsia="Times New Roman" w:cs="Times New Roman"/>
                <w:sz w:val="20"/>
                <w:szCs w:val="20"/>
              </w:rPr>
              <w:t> </w:t>
            </w:r>
          </w:p>
        </w:tc>
      </w:tr>
      <w:tr w:rsidR="00D535CE" w14:paraId="2942E5A9" w14:textId="77777777" w:rsidTr="00D46EB7">
        <w:trPr>
          <w:trHeight w:val="271"/>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FB9ECDF"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sz w:val="20"/>
                <w:szCs w:val="20"/>
              </w:rPr>
              <w:t>Techirghiol</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AC107AB"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i/>
                <w:sz w:val="20"/>
                <w:szCs w:val="20"/>
              </w:rPr>
              <w:t>lipsă date</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A50113F"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i/>
                <w:sz w:val="20"/>
                <w:szCs w:val="20"/>
              </w:rPr>
              <w:t>lipsă date</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CB28DD5"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388,13</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8F7E618" w14:textId="77777777" w:rsidR="00D535CE" w:rsidRDefault="00D535CE" w:rsidP="00314C19">
            <w:pPr>
              <w:spacing w:after="0" w:line="240" w:lineRule="auto"/>
              <w:ind w:left="100"/>
              <w:jc w:val="center"/>
              <w:rPr>
                <w:rFonts w:eastAsia="Times New Roman" w:cs="Times New Roman"/>
                <w:sz w:val="20"/>
                <w:szCs w:val="20"/>
              </w:rPr>
            </w:pPr>
            <w:r>
              <w:rPr>
                <w:rFonts w:eastAsia="Times New Roman" w:cs="Times New Roman"/>
                <w:sz w:val="20"/>
                <w:szCs w:val="20"/>
              </w:rPr>
              <w:t>492,69</w:t>
            </w:r>
          </w:p>
        </w:tc>
      </w:tr>
      <w:tr w:rsidR="00D535CE" w14:paraId="4803CEC3" w14:textId="77777777" w:rsidTr="00D46EB7">
        <w:trPr>
          <w:trHeight w:val="171"/>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6714E0E"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sz w:val="20"/>
                <w:szCs w:val="20"/>
              </w:rPr>
              <w:t>Eforie</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3CC1167"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0</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6C47D9B"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0</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B1346FA"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 </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D96A9FA" w14:textId="77777777" w:rsidR="00D535CE" w:rsidRDefault="00D535CE" w:rsidP="00D46EB7">
            <w:pPr>
              <w:spacing w:after="0" w:line="240" w:lineRule="auto"/>
              <w:ind w:left="100"/>
              <w:jc w:val="center"/>
              <w:rPr>
                <w:rFonts w:eastAsia="Times New Roman" w:cs="Times New Roman"/>
                <w:sz w:val="20"/>
                <w:szCs w:val="20"/>
              </w:rPr>
            </w:pPr>
            <w:r>
              <w:rPr>
                <w:rFonts w:eastAsia="Times New Roman" w:cs="Times New Roman"/>
                <w:sz w:val="20"/>
                <w:szCs w:val="20"/>
              </w:rPr>
              <w:t> </w:t>
            </w:r>
          </w:p>
        </w:tc>
      </w:tr>
      <w:tr w:rsidR="00D535CE" w14:paraId="658A0F61" w14:textId="77777777" w:rsidTr="00D46EB7">
        <w:trPr>
          <w:trHeight w:val="149"/>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51FDAE4"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sz w:val="20"/>
                <w:szCs w:val="20"/>
              </w:rPr>
              <w:t>Tuzla</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21D44AE"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i/>
                <w:sz w:val="20"/>
                <w:szCs w:val="20"/>
              </w:rPr>
              <w:t>lipsă date</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7E0979B"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0</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E2511B0"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 </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F247ADB" w14:textId="77777777" w:rsidR="00D535CE" w:rsidRDefault="00D535CE" w:rsidP="00D46EB7">
            <w:pPr>
              <w:spacing w:after="0" w:line="240" w:lineRule="auto"/>
              <w:ind w:left="100"/>
              <w:jc w:val="center"/>
              <w:rPr>
                <w:rFonts w:eastAsia="Times New Roman" w:cs="Times New Roman"/>
                <w:sz w:val="20"/>
                <w:szCs w:val="20"/>
              </w:rPr>
            </w:pPr>
            <w:r>
              <w:rPr>
                <w:rFonts w:eastAsia="Times New Roman" w:cs="Times New Roman"/>
                <w:sz w:val="20"/>
                <w:szCs w:val="20"/>
              </w:rPr>
              <w:t> </w:t>
            </w:r>
          </w:p>
        </w:tc>
      </w:tr>
      <w:tr w:rsidR="00D535CE" w14:paraId="54A0AF96" w14:textId="77777777" w:rsidTr="00D46EB7">
        <w:trPr>
          <w:trHeight w:val="113"/>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C7CE4C3"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sz w:val="20"/>
                <w:szCs w:val="20"/>
              </w:rPr>
              <w:t>Costinești</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E60F597"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i/>
                <w:sz w:val="20"/>
                <w:szCs w:val="20"/>
              </w:rPr>
              <w:t>lipsă date</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8BA794C"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0</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4CC317A"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 </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892D922" w14:textId="77777777" w:rsidR="00D535CE" w:rsidRDefault="00D535CE" w:rsidP="00D46EB7">
            <w:pPr>
              <w:spacing w:after="0" w:line="240" w:lineRule="auto"/>
              <w:ind w:left="100"/>
              <w:jc w:val="center"/>
              <w:rPr>
                <w:rFonts w:eastAsia="Times New Roman" w:cs="Times New Roman"/>
                <w:sz w:val="20"/>
                <w:szCs w:val="20"/>
              </w:rPr>
            </w:pPr>
            <w:r>
              <w:rPr>
                <w:rFonts w:eastAsia="Times New Roman" w:cs="Times New Roman"/>
                <w:sz w:val="20"/>
                <w:szCs w:val="20"/>
              </w:rPr>
              <w:t> </w:t>
            </w:r>
          </w:p>
        </w:tc>
      </w:tr>
      <w:tr w:rsidR="00D535CE" w14:paraId="274ADB61" w14:textId="77777777" w:rsidTr="00D46EB7">
        <w:trPr>
          <w:trHeight w:val="261"/>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37CFD36"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sz w:val="20"/>
                <w:szCs w:val="20"/>
              </w:rPr>
              <w:t>23 August</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D0AD3C9"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i/>
                <w:sz w:val="20"/>
                <w:szCs w:val="20"/>
              </w:rPr>
              <w:t>lipsă date</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36BB7B1"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i/>
                <w:sz w:val="20"/>
                <w:szCs w:val="20"/>
              </w:rPr>
              <w:t>lipsă date</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672A378"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 </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6F605D8" w14:textId="77777777" w:rsidR="00D535CE" w:rsidRDefault="00D535CE" w:rsidP="00D46EB7">
            <w:pPr>
              <w:spacing w:after="0" w:line="240" w:lineRule="auto"/>
              <w:ind w:left="100"/>
              <w:jc w:val="center"/>
              <w:rPr>
                <w:rFonts w:eastAsia="Times New Roman" w:cs="Times New Roman"/>
                <w:sz w:val="20"/>
                <w:szCs w:val="20"/>
              </w:rPr>
            </w:pPr>
            <w:r>
              <w:rPr>
                <w:rFonts w:eastAsia="Times New Roman" w:cs="Times New Roman"/>
                <w:sz w:val="20"/>
                <w:szCs w:val="20"/>
              </w:rPr>
              <w:t> </w:t>
            </w:r>
          </w:p>
        </w:tc>
      </w:tr>
      <w:tr w:rsidR="00D535CE" w14:paraId="0B120248" w14:textId="77777777" w:rsidTr="00D46EB7">
        <w:trPr>
          <w:trHeight w:val="183"/>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DCEDCA5"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sz w:val="20"/>
                <w:szCs w:val="20"/>
              </w:rPr>
              <w:t>Mangalia</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3F39FEE"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0</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44B15D9"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0</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F91FC00"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 </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E7D617E" w14:textId="77777777" w:rsidR="00D535CE" w:rsidRDefault="00D535CE" w:rsidP="00D46EB7">
            <w:pPr>
              <w:spacing w:after="0" w:line="240" w:lineRule="auto"/>
              <w:ind w:left="100"/>
              <w:jc w:val="center"/>
              <w:rPr>
                <w:rFonts w:eastAsia="Times New Roman" w:cs="Times New Roman"/>
                <w:sz w:val="20"/>
                <w:szCs w:val="20"/>
              </w:rPr>
            </w:pPr>
            <w:r>
              <w:rPr>
                <w:rFonts w:eastAsia="Times New Roman" w:cs="Times New Roman"/>
                <w:sz w:val="20"/>
                <w:szCs w:val="20"/>
              </w:rPr>
              <w:t> </w:t>
            </w:r>
          </w:p>
        </w:tc>
      </w:tr>
      <w:tr w:rsidR="00D535CE" w14:paraId="13E01D65" w14:textId="77777777" w:rsidTr="00D46EB7">
        <w:trPr>
          <w:trHeight w:val="147"/>
        </w:trPr>
        <w:tc>
          <w:tcPr>
            <w:tcW w:w="130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CEE4006"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sz w:val="20"/>
                <w:szCs w:val="20"/>
              </w:rPr>
              <w:t>Limanu</w:t>
            </w:r>
          </w:p>
        </w:tc>
        <w:tc>
          <w:tcPr>
            <w:tcW w:w="196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B1B0509"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7,33</w:t>
            </w:r>
          </w:p>
        </w:tc>
        <w:tc>
          <w:tcPr>
            <w:tcW w:w="15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69D28D4"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33,39</w:t>
            </w:r>
          </w:p>
        </w:tc>
        <w:tc>
          <w:tcPr>
            <w:tcW w:w="20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633F88C" w14:textId="77777777" w:rsidR="00D535CE" w:rsidRDefault="00D535CE" w:rsidP="00314C19">
            <w:pPr>
              <w:spacing w:after="0" w:line="240" w:lineRule="auto"/>
              <w:ind w:left="100" w:hanging="100"/>
              <w:jc w:val="center"/>
              <w:rPr>
                <w:rFonts w:eastAsia="Times New Roman" w:cs="Times New Roman"/>
                <w:sz w:val="20"/>
                <w:szCs w:val="20"/>
              </w:rPr>
            </w:pPr>
            <w:r>
              <w:rPr>
                <w:rFonts w:eastAsia="Times New Roman" w:cs="Times New Roman"/>
                <w:sz w:val="20"/>
                <w:szCs w:val="20"/>
              </w:rPr>
              <w:t> </w:t>
            </w:r>
          </w:p>
        </w:tc>
        <w:tc>
          <w:tcPr>
            <w:tcW w:w="214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2D30128" w14:textId="77777777" w:rsidR="00D535CE" w:rsidRDefault="00D535CE" w:rsidP="00D46EB7">
            <w:pPr>
              <w:spacing w:after="0" w:line="240" w:lineRule="auto"/>
              <w:ind w:left="100"/>
              <w:jc w:val="center"/>
              <w:rPr>
                <w:rFonts w:eastAsia="Times New Roman" w:cs="Times New Roman"/>
                <w:sz w:val="20"/>
                <w:szCs w:val="20"/>
              </w:rPr>
            </w:pPr>
            <w:r>
              <w:rPr>
                <w:rFonts w:eastAsia="Times New Roman" w:cs="Times New Roman"/>
                <w:sz w:val="20"/>
                <w:szCs w:val="20"/>
              </w:rPr>
              <w:t> </w:t>
            </w:r>
          </w:p>
        </w:tc>
      </w:tr>
    </w:tbl>
    <w:p w14:paraId="17D47892" w14:textId="77777777" w:rsidR="00D535CE" w:rsidRDefault="00D535CE" w:rsidP="00D535CE">
      <w:pPr>
        <w:ind w:firstLine="567"/>
        <w:rPr>
          <w:rFonts w:eastAsia="Times New Roman" w:cs="Times New Roman"/>
        </w:rPr>
      </w:pPr>
    </w:p>
    <w:p w14:paraId="4D223A73" w14:textId="77777777" w:rsidR="00D535CE" w:rsidRDefault="00D535CE" w:rsidP="00314C19">
      <w:pPr>
        <w:spacing w:before="0"/>
        <w:rPr>
          <w:rFonts w:eastAsia="Times New Roman" w:cs="Times New Roman"/>
          <w:u w:val="single"/>
        </w:rPr>
      </w:pPr>
      <w:r>
        <w:rPr>
          <w:rFonts w:eastAsia="Times New Roman" w:cs="Times New Roman"/>
          <w:u w:val="single"/>
        </w:rPr>
        <w:t xml:space="preserve">Terenuri ocupate cu activități în sectorul prelucrare, producție, depozitare, servicii terțiare </w:t>
      </w:r>
    </w:p>
    <w:p w14:paraId="35293D92" w14:textId="1331E95A" w:rsidR="00D535CE" w:rsidRDefault="00D535CE" w:rsidP="00314C19">
      <w:pPr>
        <w:spacing w:before="0"/>
        <w:ind w:firstLine="567"/>
        <w:rPr>
          <w:rFonts w:eastAsia="Times New Roman" w:cs="Times New Roman"/>
        </w:rPr>
      </w:pPr>
      <w:r>
        <w:rPr>
          <w:rFonts w:eastAsia="Times New Roman" w:cs="Times New Roman"/>
        </w:rPr>
        <w:t xml:space="preserve">Analiza documentațiilor PUG disponibile indică o creștere a suprafețelor de teren destinate unităților industriale și de depozitare (Tabel </w:t>
      </w:r>
      <w:r w:rsidR="00314C19">
        <w:rPr>
          <w:rFonts w:eastAsia="Times New Roman" w:cs="Times New Roman"/>
        </w:rPr>
        <w:t>2.</w:t>
      </w:r>
      <w:r>
        <w:rPr>
          <w:rFonts w:eastAsia="Times New Roman" w:cs="Times New Roman"/>
        </w:rPr>
        <w:t>4.4.8.8). În sectorul nordic al zonei costiere, suprafețele alocate acestor activități au crescut în Sfântu Gheorghe, Murighiol și Jurilovca. Pentru Săcele conform datelor disponibile în Raportul de mediu pentru Actualizare PUG se propune o creștere a suprafeței zonei cu 161,94%.</w:t>
      </w:r>
    </w:p>
    <w:p w14:paraId="0A2BE42E" w14:textId="77777777" w:rsidR="00D535CE" w:rsidRDefault="00D535CE" w:rsidP="00314C19">
      <w:pPr>
        <w:spacing w:before="0"/>
        <w:ind w:firstLine="567"/>
        <w:rPr>
          <w:rFonts w:eastAsia="Times New Roman" w:cs="Times New Roman"/>
        </w:rPr>
      </w:pPr>
      <w:r>
        <w:rPr>
          <w:rFonts w:eastAsia="Times New Roman" w:cs="Times New Roman"/>
        </w:rPr>
        <w:t xml:space="preserve">În sectorul sudic, suprafețele alocate acestor activități au crescut în Năvodari, Eforie și Mangalia, raportat numai la datele disponibile. Techirghiol și Năvodari au documentații de actualizare PUG în curs de avizare și conform datelor disponibile în Rapoartele de mediu aferente documentațiilor este prevăzută o creștere a suprafețelor de teren destinate zonelor de </w:t>
      </w:r>
      <w:r>
        <w:rPr>
          <w:rFonts w:eastAsia="Times New Roman" w:cs="Times New Roman"/>
        </w:rPr>
        <w:lastRenderedPageBreak/>
        <w:t>producție și de depozitare cu 244,51% (Techirghiol) și cu 384,90% (Năvodari) raportat la suprafețele existente la data actualizării PUG.</w:t>
      </w:r>
    </w:p>
    <w:p w14:paraId="50DD7FE4" w14:textId="77777777" w:rsidR="00D535CE" w:rsidRDefault="00D535CE" w:rsidP="00314C19">
      <w:pPr>
        <w:spacing w:before="0"/>
        <w:ind w:firstLine="567"/>
        <w:rPr>
          <w:rFonts w:eastAsia="Times New Roman" w:cs="Times New Roman"/>
        </w:rPr>
      </w:pPr>
      <w:r>
        <w:rPr>
          <w:rFonts w:eastAsia="Times New Roman" w:cs="Times New Roman"/>
        </w:rPr>
        <w:t>Cele mai importante suprafețe destinate activităților de producție și depozitare se regăsesc în Constanța și Năvodari, principalele zone de prelucrare, producție, depozitare, servicii sunt Platforma petrochimica Midia-Navodari, zona industrială Palas Constanta, zona Oil Terminal Constanța și zona de depozite Halta Traian Constanța.</w:t>
      </w:r>
    </w:p>
    <w:p w14:paraId="5C803D18" w14:textId="77777777" w:rsidR="00D535CE" w:rsidRDefault="00D535CE" w:rsidP="00D535CE">
      <w:pPr>
        <w:ind w:firstLine="567"/>
        <w:rPr>
          <w:rFonts w:eastAsia="Times New Roman" w:cs="Times New Roman"/>
        </w:rPr>
      </w:pPr>
    </w:p>
    <w:p w14:paraId="3EB4B7CE" w14:textId="77777777" w:rsidR="00D535CE" w:rsidRPr="00C0792F" w:rsidRDefault="00D535CE" w:rsidP="00D535CE">
      <w:pPr>
        <w:ind w:firstLine="567"/>
        <w:jc w:val="center"/>
        <w:rPr>
          <w:rFonts w:eastAsia="Times New Roman" w:cs="Times New Roman"/>
          <w:b/>
        </w:rPr>
      </w:pPr>
      <w:r w:rsidRPr="00C0792F">
        <w:rPr>
          <w:rFonts w:eastAsia="Times New Roman" w:cs="Times New Roman"/>
          <w:b/>
        </w:rPr>
        <w:t>Tabel 4.8.8.8 Zone destinate unităților industriale și de depozitare (date conform PUG)</w:t>
      </w:r>
    </w:p>
    <w:tbl>
      <w:tblPr>
        <w:tblW w:w="9006" w:type="dxa"/>
        <w:tblLayout w:type="fixed"/>
        <w:tblLook w:val="0400" w:firstRow="0" w:lastRow="0" w:firstColumn="0" w:lastColumn="0" w:noHBand="0" w:noVBand="1"/>
      </w:tblPr>
      <w:tblGrid>
        <w:gridCol w:w="1276"/>
        <w:gridCol w:w="1451"/>
        <w:gridCol w:w="1217"/>
        <w:gridCol w:w="1606"/>
        <w:gridCol w:w="1672"/>
        <w:gridCol w:w="1784"/>
      </w:tblGrid>
      <w:tr w:rsidR="00D535CE" w14:paraId="7357B925" w14:textId="77777777" w:rsidTr="00D46EB7">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35FC3DDE" w14:textId="77777777" w:rsidR="00D535CE" w:rsidRDefault="00D535CE" w:rsidP="00314C19">
            <w:pPr>
              <w:spacing w:after="0" w:line="240" w:lineRule="auto"/>
              <w:ind w:left="100" w:hanging="68"/>
              <w:jc w:val="center"/>
              <w:rPr>
                <w:rFonts w:eastAsia="Times New Roman" w:cs="Times New Roman"/>
                <w:b/>
                <w:sz w:val="20"/>
                <w:szCs w:val="20"/>
              </w:rPr>
            </w:pPr>
            <w:r>
              <w:rPr>
                <w:rFonts w:eastAsia="Times New Roman" w:cs="Times New Roman"/>
                <w:b/>
                <w:color w:val="000000"/>
                <w:sz w:val="20"/>
                <w:szCs w:val="20"/>
              </w:rPr>
              <w:t>UAT</w:t>
            </w:r>
          </w:p>
        </w:tc>
        <w:tc>
          <w:tcPr>
            <w:tcW w:w="1451"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28DE33EF" w14:textId="77777777" w:rsidR="00D535CE" w:rsidRDefault="00D535CE" w:rsidP="00314C19">
            <w:pPr>
              <w:spacing w:after="0" w:line="240" w:lineRule="auto"/>
              <w:ind w:left="100" w:hanging="68"/>
              <w:jc w:val="center"/>
              <w:rPr>
                <w:rFonts w:eastAsia="Times New Roman" w:cs="Times New Roman"/>
                <w:b/>
                <w:sz w:val="20"/>
                <w:szCs w:val="20"/>
              </w:rPr>
            </w:pPr>
            <w:r>
              <w:rPr>
                <w:rFonts w:eastAsia="Times New Roman" w:cs="Times New Roman"/>
                <w:b/>
                <w:color w:val="000000"/>
                <w:sz w:val="20"/>
                <w:szCs w:val="20"/>
              </w:rPr>
              <w:t>Existent la data aprobării PUG (ha)</w:t>
            </w:r>
          </w:p>
        </w:tc>
        <w:tc>
          <w:tcPr>
            <w:tcW w:w="1217"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6F7B19D5" w14:textId="77777777" w:rsidR="00D535CE" w:rsidRDefault="00D535CE" w:rsidP="00314C19">
            <w:pPr>
              <w:spacing w:after="0" w:line="240" w:lineRule="auto"/>
              <w:ind w:left="100" w:hanging="100"/>
              <w:jc w:val="center"/>
              <w:rPr>
                <w:rFonts w:eastAsia="Times New Roman" w:cs="Times New Roman"/>
                <w:b/>
                <w:sz w:val="20"/>
                <w:szCs w:val="20"/>
              </w:rPr>
            </w:pPr>
            <w:r>
              <w:rPr>
                <w:rFonts w:eastAsia="Times New Roman" w:cs="Times New Roman"/>
                <w:b/>
                <w:color w:val="000000"/>
                <w:sz w:val="20"/>
                <w:szCs w:val="20"/>
              </w:rPr>
              <w:t>Aprobat prin PUG (ha)</w:t>
            </w:r>
          </w:p>
        </w:tc>
        <w:tc>
          <w:tcPr>
            <w:tcW w:w="1606"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609B018E" w14:textId="77777777" w:rsidR="00D535CE" w:rsidRDefault="00D535CE" w:rsidP="00314C19">
            <w:pPr>
              <w:spacing w:after="0" w:line="240" w:lineRule="auto"/>
              <w:ind w:left="100" w:hanging="43"/>
              <w:jc w:val="center"/>
              <w:rPr>
                <w:rFonts w:eastAsia="Times New Roman" w:cs="Times New Roman"/>
                <w:b/>
                <w:sz w:val="20"/>
                <w:szCs w:val="20"/>
              </w:rPr>
            </w:pPr>
            <w:r>
              <w:rPr>
                <w:rFonts w:eastAsia="Times New Roman" w:cs="Times New Roman"/>
                <w:b/>
                <w:color w:val="000000"/>
                <w:sz w:val="20"/>
                <w:szCs w:val="20"/>
              </w:rPr>
              <w:t>Existent la data actualizării PUG (ha)</w:t>
            </w:r>
          </w:p>
        </w:tc>
        <w:tc>
          <w:tcPr>
            <w:tcW w:w="1672"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3597841F" w14:textId="77777777" w:rsidR="00D535CE" w:rsidRDefault="00D535CE" w:rsidP="00314C19">
            <w:pPr>
              <w:spacing w:after="0" w:line="240" w:lineRule="auto"/>
              <w:ind w:left="100" w:hanging="90"/>
              <w:jc w:val="center"/>
              <w:rPr>
                <w:rFonts w:eastAsia="Times New Roman" w:cs="Times New Roman"/>
                <w:b/>
                <w:sz w:val="20"/>
                <w:szCs w:val="20"/>
              </w:rPr>
            </w:pPr>
            <w:r>
              <w:rPr>
                <w:rFonts w:eastAsia="Times New Roman" w:cs="Times New Roman"/>
                <w:b/>
                <w:color w:val="000000"/>
                <w:sz w:val="20"/>
                <w:szCs w:val="20"/>
              </w:rPr>
              <w:t>Propus prin PUG în curs de actualizare (ha)</w:t>
            </w:r>
          </w:p>
        </w:tc>
        <w:tc>
          <w:tcPr>
            <w:tcW w:w="1784"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10B46372" w14:textId="77777777" w:rsidR="00D535CE" w:rsidRDefault="00D535CE" w:rsidP="00314C19">
            <w:pPr>
              <w:spacing w:after="0" w:line="240" w:lineRule="auto"/>
              <w:ind w:left="100" w:hanging="61"/>
              <w:jc w:val="center"/>
              <w:rPr>
                <w:rFonts w:eastAsia="Times New Roman" w:cs="Times New Roman"/>
                <w:b/>
                <w:sz w:val="20"/>
                <w:szCs w:val="20"/>
              </w:rPr>
            </w:pPr>
            <w:r>
              <w:rPr>
                <w:rFonts w:eastAsia="Times New Roman" w:cs="Times New Roman"/>
                <w:b/>
                <w:color w:val="000000"/>
                <w:sz w:val="20"/>
                <w:szCs w:val="20"/>
              </w:rPr>
              <w:t>OBSERVAȚII</w:t>
            </w:r>
          </w:p>
        </w:tc>
      </w:tr>
      <w:tr w:rsidR="00D535CE" w14:paraId="76D77C1A" w14:textId="77777777" w:rsidTr="00D46EB7">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766AB25"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color w:val="000000"/>
                <w:sz w:val="20"/>
                <w:szCs w:val="20"/>
              </w:rPr>
              <w:t>C.A.Rosetti</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8C050BC"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color w:val="000000"/>
                <w:sz w:val="20"/>
                <w:szCs w:val="20"/>
              </w:rPr>
              <w:t>0,00</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4E5E8CE"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color w:val="000000"/>
                <w:sz w:val="20"/>
                <w:szCs w:val="20"/>
              </w:rPr>
              <w:t>0,00</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320FCA2" w14:textId="77777777" w:rsidR="00D535CE" w:rsidRDefault="00D535CE" w:rsidP="00314C19">
            <w:pPr>
              <w:spacing w:after="0" w:line="240" w:lineRule="auto"/>
              <w:ind w:left="100" w:hanging="43"/>
              <w:rPr>
                <w:rFonts w:eastAsia="Times New Roman" w:cs="Times New Roman"/>
                <w:sz w:val="20"/>
                <w:szCs w:val="20"/>
              </w:rPr>
            </w:pPr>
            <w:r>
              <w:rPr>
                <w:rFonts w:eastAsia="Times New Roman" w:cs="Times New Roman"/>
                <w:color w:val="000000"/>
                <w:sz w:val="20"/>
                <w:szCs w:val="20"/>
              </w:rPr>
              <w:t> </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3888580" w14:textId="77777777" w:rsidR="00D535CE" w:rsidRDefault="00D535CE" w:rsidP="00314C19">
            <w:pPr>
              <w:spacing w:after="0" w:line="240" w:lineRule="auto"/>
              <w:ind w:left="100" w:hanging="90"/>
              <w:rPr>
                <w:rFonts w:eastAsia="Times New Roman" w:cs="Times New Roman"/>
                <w:sz w:val="20"/>
                <w:szCs w:val="20"/>
              </w:rPr>
            </w:pPr>
            <w:r>
              <w:rPr>
                <w:rFonts w:eastAsia="Times New Roman" w:cs="Times New Roman"/>
                <w:color w:val="000000"/>
                <w:sz w:val="20"/>
                <w:szCs w:val="20"/>
              </w:rPr>
              <w:t> </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776779C" w14:textId="77777777" w:rsidR="00D535CE" w:rsidRDefault="00D535CE" w:rsidP="00314C19">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D535CE" w14:paraId="31903533" w14:textId="77777777" w:rsidTr="00D46EB7">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3C0E8E2"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color w:val="000000"/>
                <w:sz w:val="20"/>
                <w:szCs w:val="20"/>
              </w:rPr>
              <w:t>Sulina</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AB2EE42"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color w:val="000000"/>
                <w:sz w:val="20"/>
                <w:szCs w:val="20"/>
              </w:rPr>
              <w:t>197,44</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D6B30BF"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color w:val="000000"/>
                <w:sz w:val="20"/>
                <w:szCs w:val="20"/>
              </w:rPr>
              <w:t>194,44</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439CFE7" w14:textId="77777777" w:rsidR="00D535CE" w:rsidRDefault="00D535CE" w:rsidP="00314C19">
            <w:pPr>
              <w:spacing w:after="0" w:line="240" w:lineRule="auto"/>
              <w:ind w:left="100" w:hanging="43"/>
              <w:rPr>
                <w:rFonts w:eastAsia="Times New Roman" w:cs="Times New Roman"/>
                <w:sz w:val="20"/>
                <w:szCs w:val="20"/>
              </w:rPr>
            </w:pPr>
            <w:r>
              <w:rPr>
                <w:rFonts w:eastAsia="Times New Roman" w:cs="Times New Roman"/>
                <w:color w:val="000000"/>
                <w:sz w:val="20"/>
                <w:szCs w:val="20"/>
              </w:rPr>
              <w:t> </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8E99375" w14:textId="77777777" w:rsidR="00D535CE" w:rsidRDefault="00D535CE" w:rsidP="00314C19">
            <w:pPr>
              <w:spacing w:after="0" w:line="240" w:lineRule="auto"/>
              <w:ind w:left="100" w:hanging="90"/>
              <w:rPr>
                <w:rFonts w:eastAsia="Times New Roman" w:cs="Times New Roman"/>
                <w:sz w:val="20"/>
                <w:szCs w:val="20"/>
              </w:rPr>
            </w:pPr>
            <w:r>
              <w:rPr>
                <w:rFonts w:eastAsia="Times New Roman" w:cs="Times New Roman"/>
                <w:color w:val="000000"/>
                <w:sz w:val="20"/>
                <w:szCs w:val="20"/>
              </w:rPr>
              <w:t> </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3CAAE5F" w14:textId="77777777" w:rsidR="00D535CE" w:rsidRDefault="00D535CE" w:rsidP="00314C19">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D535CE" w14:paraId="6F6A7D8C" w14:textId="77777777" w:rsidTr="00D46EB7">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455B255"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color w:val="000000"/>
                <w:sz w:val="20"/>
                <w:szCs w:val="20"/>
              </w:rPr>
              <w:t>Sf. Gheorghe</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6A72152"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color w:val="000000"/>
                <w:sz w:val="20"/>
                <w:szCs w:val="20"/>
              </w:rPr>
              <w:t>4,43</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4B63AB4"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color w:val="000000"/>
                <w:sz w:val="20"/>
                <w:szCs w:val="20"/>
              </w:rPr>
              <w:t>7,00</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DF6E527" w14:textId="77777777" w:rsidR="00D535CE" w:rsidRDefault="00D535CE" w:rsidP="00314C19">
            <w:pPr>
              <w:spacing w:after="0" w:line="240" w:lineRule="auto"/>
              <w:ind w:left="100" w:hanging="43"/>
              <w:rPr>
                <w:rFonts w:eastAsia="Times New Roman" w:cs="Times New Roman"/>
                <w:sz w:val="20"/>
                <w:szCs w:val="20"/>
              </w:rPr>
            </w:pPr>
            <w:r>
              <w:rPr>
                <w:rFonts w:eastAsia="Times New Roman" w:cs="Times New Roman"/>
                <w:color w:val="000000"/>
                <w:sz w:val="20"/>
                <w:szCs w:val="20"/>
              </w:rPr>
              <w:t> </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3C1FA3D" w14:textId="77777777" w:rsidR="00D535CE" w:rsidRDefault="00D535CE" w:rsidP="00314C19">
            <w:pPr>
              <w:spacing w:after="0" w:line="240" w:lineRule="auto"/>
              <w:ind w:left="100" w:hanging="90"/>
              <w:rPr>
                <w:rFonts w:eastAsia="Times New Roman" w:cs="Times New Roman"/>
                <w:sz w:val="20"/>
                <w:szCs w:val="20"/>
              </w:rPr>
            </w:pPr>
            <w:r>
              <w:rPr>
                <w:rFonts w:eastAsia="Times New Roman" w:cs="Times New Roman"/>
                <w:color w:val="000000"/>
                <w:sz w:val="20"/>
                <w:szCs w:val="20"/>
              </w:rPr>
              <w:t> </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3A9AD4F" w14:textId="77777777" w:rsidR="00D535CE" w:rsidRDefault="00D535CE" w:rsidP="00314C19">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D535CE" w14:paraId="641F7DD7" w14:textId="77777777" w:rsidTr="00D46EB7">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35F597F"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color w:val="000000"/>
                <w:sz w:val="20"/>
                <w:szCs w:val="20"/>
              </w:rPr>
              <w:t>Murighiol</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BF93DDE"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color w:val="000000"/>
                <w:sz w:val="20"/>
                <w:szCs w:val="20"/>
              </w:rPr>
              <w:t>0,00</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3C75A99"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color w:val="000000"/>
                <w:sz w:val="20"/>
                <w:szCs w:val="20"/>
              </w:rPr>
              <w:t>13,92</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1EB571B" w14:textId="77777777" w:rsidR="00D535CE" w:rsidRDefault="00D535CE" w:rsidP="00314C19">
            <w:pPr>
              <w:spacing w:after="0" w:line="240" w:lineRule="auto"/>
              <w:ind w:left="100" w:hanging="43"/>
              <w:rPr>
                <w:rFonts w:eastAsia="Times New Roman" w:cs="Times New Roman"/>
                <w:sz w:val="20"/>
                <w:szCs w:val="20"/>
              </w:rPr>
            </w:pPr>
            <w:r>
              <w:rPr>
                <w:rFonts w:eastAsia="Times New Roman" w:cs="Times New Roman"/>
                <w:color w:val="000000"/>
                <w:sz w:val="20"/>
                <w:szCs w:val="20"/>
              </w:rPr>
              <w:t> </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C797124" w14:textId="77777777" w:rsidR="00D535CE" w:rsidRDefault="00D535CE" w:rsidP="00314C19">
            <w:pPr>
              <w:spacing w:after="0" w:line="240" w:lineRule="auto"/>
              <w:ind w:left="100" w:hanging="90"/>
              <w:rPr>
                <w:rFonts w:eastAsia="Times New Roman" w:cs="Times New Roman"/>
                <w:sz w:val="20"/>
                <w:szCs w:val="20"/>
              </w:rPr>
            </w:pPr>
            <w:r>
              <w:rPr>
                <w:rFonts w:eastAsia="Times New Roman" w:cs="Times New Roman"/>
                <w:color w:val="000000"/>
                <w:sz w:val="20"/>
                <w:szCs w:val="20"/>
              </w:rPr>
              <w:t> </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9F62CC0" w14:textId="77777777" w:rsidR="00D535CE" w:rsidRDefault="00D535CE" w:rsidP="00314C19">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D535CE" w14:paraId="64BC5F52" w14:textId="77777777" w:rsidTr="00D46EB7">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72B94DF"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color w:val="000000"/>
                <w:sz w:val="20"/>
                <w:szCs w:val="20"/>
              </w:rPr>
              <w:t>Jurilovca</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DFAFAD7"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color w:val="000000"/>
                <w:sz w:val="20"/>
                <w:szCs w:val="20"/>
              </w:rPr>
              <w:t>15,37</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075DD0D"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color w:val="000000"/>
                <w:sz w:val="20"/>
                <w:szCs w:val="20"/>
              </w:rPr>
              <w:t>17,66</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4AE187C" w14:textId="77777777" w:rsidR="00D535CE" w:rsidRDefault="00D535CE" w:rsidP="00314C19">
            <w:pPr>
              <w:spacing w:after="0" w:line="240" w:lineRule="auto"/>
              <w:ind w:left="100" w:hanging="43"/>
              <w:rPr>
                <w:rFonts w:eastAsia="Times New Roman" w:cs="Times New Roman"/>
                <w:sz w:val="20"/>
                <w:szCs w:val="20"/>
              </w:rPr>
            </w:pPr>
            <w:r>
              <w:rPr>
                <w:rFonts w:eastAsia="Times New Roman" w:cs="Times New Roman"/>
                <w:color w:val="000000"/>
                <w:sz w:val="20"/>
                <w:szCs w:val="20"/>
              </w:rPr>
              <w:t> </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5EE21F2" w14:textId="77777777" w:rsidR="00D535CE" w:rsidRDefault="00D535CE" w:rsidP="00314C19">
            <w:pPr>
              <w:spacing w:after="0" w:line="240" w:lineRule="auto"/>
              <w:ind w:left="100" w:hanging="90"/>
              <w:rPr>
                <w:rFonts w:eastAsia="Times New Roman" w:cs="Times New Roman"/>
                <w:sz w:val="20"/>
                <w:szCs w:val="20"/>
              </w:rPr>
            </w:pPr>
            <w:r>
              <w:rPr>
                <w:rFonts w:eastAsia="Times New Roman" w:cs="Times New Roman"/>
                <w:color w:val="000000"/>
                <w:sz w:val="20"/>
                <w:szCs w:val="20"/>
              </w:rPr>
              <w:t> </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B98ECAB" w14:textId="77777777" w:rsidR="00D535CE" w:rsidRDefault="00D535CE" w:rsidP="00314C19">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D535CE" w14:paraId="67E9224A" w14:textId="77777777" w:rsidTr="00D46EB7">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9A1A8BA"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color w:val="000000"/>
                <w:sz w:val="20"/>
                <w:szCs w:val="20"/>
              </w:rPr>
              <w:t>Mihai Viteazu</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9D2BC8A"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i/>
                <w:color w:val="000000"/>
                <w:sz w:val="20"/>
                <w:szCs w:val="20"/>
              </w:rPr>
              <w:t>lipsă date</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497D338"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color w:val="000000"/>
                <w:sz w:val="20"/>
                <w:szCs w:val="20"/>
              </w:rPr>
              <w:t>6,98</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F8F0A6C" w14:textId="77777777" w:rsidR="00D535CE" w:rsidRDefault="00D535CE" w:rsidP="00314C19">
            <w:pPr>
              <w:spacing w:after="0" w:line="240" w:lineRule="auto"/>
              <w:ind w:left="100" w:hanging="43"/>
              <w:rPr>
                <w:rFonts w:eastAsia="Times New Roman" w:cs="Times New Roman"/>
                <w:sz w:val="20"/>
                <w:szCs w:val="20"/>
              </w:rPr>
            </w:pPr>
            <w:r>
              <w:rPr>
                <w:rFonts w:eastAsia="Times New Roman" w:cs="Times New Roman"/>
                <w:color w:val="000000"/>
                <w:sz w:val="20"/>
                <w:szCs w:val="20"/>
              </w:rPr>
              <w:t> </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D8FAD79" w14:textId="77777777" w:rsidR="00D535CE" w:rsidRDefault="00D535CE" w:rsidP="00314C19">
            <w:pPr>
              <w:spacing w:after="0" w:line="240" w:lineRule="auto"/>
              <w:ind w:left="100" w:hanging="90"/>
              <w:rPr>
                <w:rFonts w:eastAsia="Times New Roman" w:cs="Times New Roman"/>
                <w:sz w:val="20"/>
                <w:szCs w:val="20"/>
              </w:rPr>
            </w:pPr>
            <w:r>
              <w:rPr>
                <w:rFonts w:eastAsia="Times New Roman" w:cs="Times New Roman"/>
                <w:color w:val="000000"/>
                <w:sz w:val="20"/>
                <w:szCs w:val="20"/>
              </w:rPr>
              <w:t> </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BFEC570" w14:textId="77777777" w:rsidR="00D535CE" w:rsidRDefault="00D535CE" w:rsidP="00314C19">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D535CE" w14:paraId="50038B89" w14:textId="77777777" w:rsidTr="00D46EB7">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5D57175"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color w:val="000000"/>
                <w:sz w:val="20"/>
                <w:szCs w:val="20"/>
              </w:rPr>
              <w:t>Istria</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86E8A05"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i/>
                <w:color w:val="000000"/>
                <w:sz w:val="20"/>
                <w:szCs w:val="20"/>
              </w:rPr>
              <w:t>lipsă date</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3B1A6AC"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i/>
                <w:color w:val="000000"/>
                <w:sz w:val="20"/>
                <w:szCs w:val="20"/>
              </w:rPr>
              <w:t>lipsă date</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15411EA" w14:textId="77777777" w:rsidR="00D535CE" w:rsidRDefault="00D535CE" w:rsidP="00314C19">
            <w:pPr>
              <w:spacing w:after="0" w:line="240" w:lineRule="auto"/>
              <w:ind w:left="100" w:hanging="43"/>
              <w:rPr>
                <w:rFonts w:eastAsia="Times New Roman" w:cs="Times New Roman"/>
                <w:sz w:val="20"/>
                <w:szCs w:val="20"/>
              </w:rPr>
            </w:pPr>
            <w:r>
              <w:rPr>
                <w:rFonts w:eastAsia="Times New Roman" w:cs="Times New Roman"/>
                <w:color w:val="000000"/>
                <w:sz w:val="20"/>
                <w:szCs w:val="20"/>
              </w:rPr>
              <w:t> </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1401A66" w14:textId="77777777" w:rsidR="00D535CE" w:rsidRDefault="00D535CE" w:rsidP="00314C19">
            <w:pPr>
              <w:spacing w:after="0" w:line="240" w:lineRule="auto"/>
              <w:ind w:left="100" w:hanging="90"/>
              <w:rPr>
                <w:rFonts w:eastAsia="Times New Roman" w:cs="Times New Roman"/>
                <w:sz w:val="20"/>
                <w:szCs w:val="20"/>
              </w:rPr>
            </w:pPr>
            <w:r>
              <w:rPr>
                <w:rFonts w:eastAsia="Times New Roman" w:cs="Times New Roman"/>
                <w:color w:val="000000"/>
                <w:sz w:val="20"/>
                <w:szCs w:val="20"/>
              </w:rPr>
              <w:t> </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3416D1C" w14:textId="77777777" w:rsidR="00D535CE" w:rsidRDefault="00D535CE" w:rsidP="00314C19">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D535CE" w14:paraId="7E95100D" w14:textId="77777777" w:rsidTr="00D46EB7">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30CED3C"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color w:val="000000"/>
                <w:sz w:val="20"/>
                <w:szCs w:val="20"/>
              </w:rPr>
              <w:t>Săcele</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1F5EC85"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i/>
                <w:color w:val="000000"/>
                <w:sz w:val="20"/>
                <w:szCs w:val="20"/>
              </w:rPr>
              <w:t>lipsă date</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27F5600"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i/>
                <w:color w:val="000000"/>
                <w:sz w:val="20"/>
                <w:szCs w:val="20"/>
              </w:rPr>
              <w:t>lipsă date</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A1313DF" w14:textId="77777777" w:rsidR="00D535CE" w:rsidRDefault="00D535CE" w:rsidP="00314C19">
            <w:pPr>
              <w:spacing w:after="0" w:line="240" w:lineRule="auto"/>
              <w:ind w:left="100" w:hanging="43"/>
              <w:rPr>
                <w:rFonts w:eastAsia="Times New Roman" w:cs="Times New Roman"/>
                <w:sz w:val="20"/>
                <w:szCs w:val="20"/>
              </w:rPr>
            </w:pPr>
            <w:r>
              <w:rPr>
                <w:rFonts w:eastAsia="Times New Roman" w:cs="Times New Roman"/>
                <w:color w:val="000000"/>
                <w:sz w:val="20"/>
                <w:szCs w:val="20"/>
              </w:rPr>
              <w:t>191,44</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8EE0BA2" w14:textId="77777777" w:rsidR="00D535CE" w:rsidRDefault="00D535CE" w:rsidP="00314C19">
            <w:pPr>
              <w:spacing w:after="0" w:line="240" w:lineRule="auto"/>
              <w:ind w:left="100" w:hanging="90"/>
              <w:rPr>
                <w:rFonts w:eastAsia="Times New Roman" w:cs="Times New Roman"/>
                <w:sz w:val="20"/>
                <w:szCs w:val="20"/>
              </w:rPr>
            </w:pPr>
            <w:r>
              <w:rPr>
                <w:rFonts w:eastAsia="Times New Roman" w:cs="Times New Roman"/>
                <w:color w:val="000000"/>
                <w:sz w:val="20"/>
                <w:szCs w:val="20"/>
              </w:rPr>
              <w:t>501,45</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F411379" w14:textId="77777777" w:rsidR="00D535CE" w:rsidRDefault="00D535CE" w:rsidP="00314C19">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D535CE" w14:paraId="1C9ABCC2" w14:textId="77777777" w:rsidTr="00D46EB7">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795AFBF"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color w:val="000000"/>
                <w:sz w:val="20"/>
                <w:szCs w:val="20"/>
              </w:rPr>
              <w:t>Corbu</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483F0F5"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i/>
                <w:color w:val="000000"/>
                <w:sz w:val="20"/>
                <w:szCs w:val="20"/>
              </w:rPr>
              <w:t>lipsă date</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4BF8DD1"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i/>
                <w:color w:val="000000"/>
                <w:sz w:val="20"/>
                <w:szCs w:val="20"/>
              </w:rPr>
              <w:t>lipsă date</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3B06836" w14:textId="77777777" w:rsidR="00D535CE" w:rsidRDefault="00D535CE" w:rsidP="00314C19">
            <w:pPr>
              <w:spacing w:after="0" w:line="240" w:lineRule="auto"/>
              <w:ind w:left="100" w:hanging="43"/>
              <w:rPr>
                <w:rFonts w:eastAsia="Times New Roman" w:cs="Times New Roman"/>
                <w:sz w:val="20"/>
                <w:szCs w:val="20"/>
              </w:rPr>
            </w:pPr>
            <w:r>
              <w:rPr>
                <w:rFonts w:eastAsia="Times New Roman" w:cs="Times New Roman"/>
                <w:color w:val="000000"/>
                <w:sz w:val="20"/>
                <w:szCs w:val="20"/>
              </w:rPr>
              <w:t> </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19ABEED" w14:textId="77777777" w:rsidR="00D535CE" w:rsidRDefault="00D535CE" w:rsidP="00314C19">
            <w:pPr>
              <w:spacing w:after="0" w:line="240" w:lineRule="auto"/>
              <w:ind w:left="100" w:hanging="90"/>
              <w:rPr>
                <w:rFonts w:eastAsia="Times New Roman" w:cs="Times New Roman"/>
                <w:sz w:val="20"/>
                <w:szCs w:val="20"/>
              </w:rPr>
            </w:pPr>
            <w:r>
              <w:rPr>
                <w:rFonts w:eastAsia="Times New Roman" w:cs="Times New Roman"/>
                <w:color w:val="000000"/>
                <w:sz w:val="20"/>
                <w:szCs w:val="20"/>
              </w:rPr>
              <w:t> </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89B65BD" w14:textId="77777777" w:rsidR="00D535CE" w:rsidRDefault="00D535CE" w:rsidP="00314C19">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D535CE" w14:paraId="1B3CA983" w14:textId="77777777" w:rsidTr="00D46EB7">
        <w:trPr>
          <w:trHeight w:val="391"/>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74821AF"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color w:val="000000"/>
                <w:sz w:val="20"/>
                <w:szCs w:val="20"/>
              </w:rPr>
              <w:t>Năvodari</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5413428"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color w:val="000000"/>
                <w:sz w:val="20"/>
                <w:szCs w:val="20"/>
              </w:rPr>
              <w:t>520,84</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17AA67E"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color w:val="000000"/>
                <w:sz w:val="20"/>
                <w:szCs w:val="20"/>
              </w:rPr>
              <w:t>964,29</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951FFF2" w14:textId="77777777" w:rsidR="00D535CE" w:rsidRDefault="00D535CE" w:rsidP="00314C19">
            <w:pPr>
              <w:spacing w:after="0" w:line="240" w:lineRule="auto"/>
              <w:ind w:left="100" w:hanging="43"/>
              <w:rPr>
                <w:rFonts w:eastAsia="Times New Roman" w:cs="Times New Roman"/>
                <w:sz w:val="20"/>
                <w:szCs w:val="20"/>
              </w:rPr>
            </w:pPr>
            <w:r>
              <w:rPr>
                <w:rFonts w:eastAsia="Times New Roman" w:cs="Times New Roman"/>
                <w:color w:val="000000"/>
                <w:sz w:val="20"/>
                <w:szCs w:val="20"/>
              </w:rPr>
              <w:t>251,22</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9D4CE65" w14:textId="77777777" w:rsidR="00D535CE" w:rsidRDefault="00D535CE" w:rsidP="00314C19">
            <w:pPr>
              <w:spacing w:after="0" w:line="240" w:lineRule="auto"/>
              <w:ind w:left="100" w:hanging="90"/>
              <w:rPr>
                <w:rFonts w:eastAsia="Times New Roman" w:cs="Times New Roman"/>
                <w:sz w:val="20"/>
                <w:szCs w:val="20"/>
              </w:rPr>
            </w:pPr>
            <w:r>
              <w:rPr>
                <w:rFonts w:eastAsia="Times New Roman" w:cs="Times New Roman"/>
                <w:color w:val="000000"/>
                <w:sz w:val="20"/>
                <w:szCs w:val="20"/>
              </w:rPr>
              <w:t>865,48</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3FEA63F" w14:textId="77777777" w:rsidR="00D535CE" w:rsidRDefault="00D535CE" w:rsidP="00314C19">
            <w:pPr>
              <w:spacing w:after="0" w:line="240" w:lineRule="auto"/>
              <w:ind w:left="100" w:hanging="61"/>
              <w:rPr>
                <w:rFonts w:eastAsia="Times New Roman" w:cs="Times New Roman"/>
                <w:sz w:val="20"/>
                <w:szCs w:val="20"/>
              </w:rPr>
            </w:pPr>
            <w:r>
              <w:rPr>
                <w:rFonts w:eastAsia="Times New Roman" w:cs="Times New Roman"/>
                <w:color w:val="000000"/>
                <w:sz w:val="20"/>
                <w:szCs w:val="20"/>
              </w:rPr>
              <w:t>inclusiv zona de activități portuare</w:t>
            </w:r>
          </w:p>
        </w:tc>
      </w:tr>
      <w:tr w:rsidR="00D535CE" w14:paraId="5804F093" w14:textId="77777777" w:rsidTr="00D46EB7">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13FCC47"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color w:val="000000"/>
                <w:sz w:val="20"/>
                <w:szCs w:val="20"/>
              </w:rPr>
              <w:t>Constanța</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78C706D"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color w:val="000000"/>
                <w:sz w:val="20"/>
                <w:szCs w:val="20"/>
              </w:rPr>
              <w:t>630,12</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1C1B4A8"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i/>
                <w:color w:val="000000"/>
                <w:sz w:val="20"/>
                <w:szCs w:val="20"/>
              </w:rPr>
              <w:t>lipsă date</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F3C52B4" w14:textId="77777777" w:rsidR="00D535CE" w:rsidRDefault="00D535CE" w:rsidP="00314C19">
            <w:pPr>
              <w:spacing w:after="0" w:line="240" w:lineRule="auto"/>
              <w:ind w:left="100" w:hanging="43"/>
              <w:rPr>
                <w:rFonts w:eastAsia="Times New Roman" w:cs="Times New Roman"/>
                <w:sz w:val="20"/>
                <w:szCs w:val="20"/>
              </w:rPr>
            </w:pPr>
            <w:r>
              <w:rPr>
                <w:rFonts w:eastAsia="Times New Roman" w:cs="Times New Roman"/>
                <w:color w:val="000000"/>
                <w:sz w:val="20"/>
                <w:szCs w:val="20"/>
              </w:rPr>
              <w:t>673,25</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83DB863" w14:textId="77777777" w:rsidR="00D535CE" w:rsidRDefault="00D535CE" w:rsidP="00314C19">
            <w:pPr>
              <w:spacing w:after="0" w:line="240" w:lineRule="auto"/>
              <w:ind w:left="100" w:hanging="90"/>
              <w:rPr>
                <w:rFonts w:eastAsia="Times New Roman" w:cs="Times New Roman"/>
                <w:sz w:val="20"/>
                <w:szCs w:val="20"/>
              </w:rPr>
            </w:pPr>
            <w:r>
              <w:rPr>
                <w:rFonts w:eastAsia="Times New Roman" w:cs="Times New Roman"/>
                <w:color w:val="000000"/>
                <w:sz w:val="20"/>
                <w:szCs w:val="20"/>
              </w:rPr>
              <w:t> </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2D7B342" w14:textId="77777777" w:rsidR="00D535CE" w:rsidRDefault="00D535CE" w:rsidP="00314C19">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D535CE" w14:paraId="26B45D00" w14:textId="77777777" w:rsidTr="00D46EB7">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08E0C25"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color w:val="000000"/>
                <w:sz w:val="20"/>
                <w:szCs w:val="20"/>
              </w:rPr>
              <w:t>Agigea</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474D1FD"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i/>
                <w:color w:val="000000"/>
                <w:sz w:val="20"/>
                <w:szCs w:val="20"/>
              </w:rPr>
              <w:t>lipsă date</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0A8BBFD"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i/>
                <w:color w:val="000000"/>
                <w:sz w:val="20"/>
                <w:szCs w:val="20"/>
              </w:rPr>
              <w:t>lipsă date</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440B41A" w14:textId="77777777" w:rsidR="00D535CE" w:rsidRDefault="00D535CE" w:rsidP="00314C19">
            <w:pPr>
              <w:spacing w:after="0" w:line="240" w:lineRule="auto"/>
              <w:ind w:left="100" w:hanging="43"/>
              <w:rPr>
                <w:rFonts w:eastAsia="Times New Roman" w:cs="Times New Roman"/>
                <w:sz w:val="20"/>
                <w:szCs w:val="20"/>
              </w:rPr>
            </w:pPr>
            <w:r>
              <w:rPr>
                <w:rFonts w:eastAsia="Times New Roman" w:cs="Times New Roman"/>
                <w:color w:val="000000"/>
                <w:sz w:val="20"/>
                <w:szCs w:val="20"/>
              </w:rPr>
              <w:t> </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149FF18" w14:textId="77777777" w:rsidR="00D535CE" w:rsidRDefault="00D535CE" w:rsidP="00314C19">
            <w:pPr>
              <w:spacing w:after="0" w:line="240" w:lineRule="auto"/>
              <w:ind w:left="100" w:hanging="90"/>
              <w:rPr>
                <w:rFonts w:eastAsia="Times New Roman" w:cs="Times New Roman"/>
                <w:sz w:val="20"/>
                <w:szCs w:val="20"/>
              </w:rPr>
            </w:pPr>
            <w:r>
              <w:rPr>
                <w:rFonts w:eastAsia="Times New Roman" w:cs="Times New Roman"/>
                <w:color w:val="000000"/>
                <w:sz w:val="20"/>
                <w:szCs w:val="20"/>
              </w:rPr>
              <w:t> </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ECC17A7" w14:textId="77777777" w:rsidR="00D535CE" w:rsidRDefault="00D535CE" w:rsidP="00314C19">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D535CE" w14:paraId="4BE04CBE" w14:textId="77777777" w:rsidTr="00D46EB7">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060A23D"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color w:val="000000"/>
                <w:sz w:val="20"/>
                <w:szCs w:val="20"/>
              </w:rPr>
              <w:t>Techirghiol</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63CE4D0"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i/>
                <w:color w:val="000000"/>
                <w:sz w:val="20"/>
                <w:szCs w:val="20"/>
              </w:rPr>
              <w:t>lipsă date</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922D3B5"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i/>
                <w:color w:val="000000"/>
                <w:sz w:val="20"/>
                <w:szCs w:val="20"/>
              </w:rPr>
              <w:t>lipsă date</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8209FEB" w14:textId="77777777" w:rsidR="00D535CE" w:rsidRDefault="00D535CE" w:rsidP="00314C19">
            <w:pPr>
              <w:spacing w:after="0" w:line="240" w:lineRule="auto"/>
              <w:ind w:left="100" w:hanging="43"/>
              <w:rPr>
                <w:rFonts w:eastAsia="Times New Roman" w:cs="Times New Roman"/>
                <w:sz w:val="20"/>
                <w:szCs w:val="20"/>
              </w:rPr>
            </w:pPr>
            <w:r>
              <w:rPr>
                <w:rFonts w:eastAsia="Times New Roman" w:cs="Times New Roman"/>
                <w:color w:val="000000"/>
                <w:sz w:val="20"/>
                <w:szCs w:val="20"/>
              </w:rPr>
              <w:t>9,80</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6A3DA0E" w14:textId="77777777" w:rsidR="00D535CE" w:rsidRDefault="00D535CE" w:rsidP="00314C19">
            <w:pPr>
              <w:spacing w:after="0" w:line="240" w:lineRule="auto"/>
              <w:ind w:left="100" w:hanging="90"/>
              <w:rPr>
                <w:rFonts w:eastAsia="Times New Roman" w:cs="Times New Roman"/>
                <w:sz w:val="20"/>
                <w:szCs w:val="20"/>
              </w:rPr>
            </w:pPr>
            <w:r>
              <w:rPr>
                <w:rFonts w:eastAsia="Times New Roman" w:cs="Times New Roman"/>
                <w:color w:val="000000"/>
                <w:sz w:val="20"/>
                <w:szCs w:val="20"/>
              </w:rPr>
              <w:t>47,52</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6F12333" w14:textId="77777777" w:rsidR="00D535CE" w:rsidRDefault="00D535CE" w:rsidP="00314C19">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D535CE" w14:paraId="05D477B3" w14:textId="77777777" w:rsidTr="00D46EB7">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6ED0078"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color w:val="000000"/>
                <w:sz w:val="20"/>
                <w:szCs w:val="20"/>
              </w:rPr>
              <w:t>Eforie</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D37E790"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color w:val="000000"/>
                <w:sz w:val="20"/>
                <w:szCs w:val="20"/>
              </w:rPr>
              <w:t>61,00</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4BB75C6"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color w:val="000000"/>
                <w:sz w:val="20"/>
                <w:szCs w:val="20"/>
              </w:rPr>
              <w:t>99,50</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6A20D84" w14:textId="77777777" w:rsidR="00D535CE" w:rsidRDefault="00D535CE" w:rsidP="00314C19">
            <w:pPr>
              <w:spacing w:after="0" w:line="240" w:lineRule="auto"/>
              <w:ind w:left="100" w:hanging="43"/>
              <w:rPr>
                <w:rFonts w:eastAsia="Times New Roman" w:cs="Times New Roman"/>
                <w:sz w:val="20"/>
                <w:szCs w:val="20"/>
              </w:rPr>
            </w:pPr>
            <w:r>
              <w:rPr>
                <w:rFonts w:eastAsia="Times New Roman" w:cs="Times New Roman"/>
                <w:color w:val="000000"/>
                <w:sz w:val="20"/>
                <w:szCs w:val="20"/>
              </w:rPr>
              <w:t> </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1ED399A" w14:textId="77777777" w:rsidR="00D535CE" w:rsidRDefault="00D535CE" w:rsidP="00314C19">
            <w:pPr>
              <w:spacing w:after="0" w:line="240" w:lineRule="auto"/>
              <w:ind w:left="100" w:hanging="90"/>
              <w:rPr>
                <w:rFonts w:eastAsia="Times New Roman" w:cs="Times New Roman"/>
                <w:sz w:val="20"/>
                <w:szCs w:val="20"/>
              </w:rPr>
            </w:pPr>
            <w:r>
              <w:rPr>
                <w:rFonts w:eastAsia="Times New Roman" w:cs="Times New Roman"/>
                <w:color w:val="000000"/>
                <w:sz w:val="20"/>
                <w:szCs w:val="20"/>
              </w:rPr>
              <w:t> </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4C788B5" w14:textId="77777777" w:rsidR="00D535CE" w:rsidRDefault="00D535CE" w:rsidP="00314C19">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D535CE" w14:paraId="018A5B32" w14:textId="77777777" w:rsidTr="00D46EB7">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300CFBD"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color w:val="000000"/>
                <w:sz w:val="20"/>
                <w:szCs w:val="20"/>
              </w:rPr>
              <w:t>Tuzla</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12E6AF7"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i/>
                <w:color w:val="000000"/>
                <w:sz w:val="20"/>
                <w:szCs w:val="20"/>
              </w:rPr>
              <w:t>lipsă date</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CCA4F63"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color w:val="000000"/>
                <w:sz w:val="20"/>
                <w:szCs w:val="20"/>
              </w:rPr>
              <w:t>37,50</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85451A5" w14:textId="77777777" w:rsidR="00D535CE" w:rsidRDefault="00D535CE" w:rsidP="00314C19">
            <w:pPr>
              <w:spacing w:after="0" w:line="240" w:lineRule="auto"/>
              <w:ind w:left="100" w:hanging="43"/>
              <w:rPr>
                <w:rFonts w:eastAsia="Times New Roman" w:cs="Times New Roman"/>
                <w:sz w:val="20"/>
                <w:szCs w:val="20"/>
              </w:rPr>
            </w:pPr>
            <w:r>
              <w:rPr>
                <w:rFonts w:eastAsia="Times New Roman" w:cs="Times New Roman"/>
                <w:color w:val="000000"/>
                <w:sz w:val="20"/>
                <w:szCs w:val="20"/>
              </w:rPr>
              <w:t> </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5CD0820" w14:textId="77777777" w:rsidR="00D535CE" w:rsidRDefault="00D535CE" w:rsidP="00314C19">
            <w:pPr>
              <w:spacing w:after="0" w:line="240" w:lineRule="auto"/>
              <w:ind w:left="100" w:hanging="90"/>
              <w:rPr>
                <w:rFonts w:eastAsia="Times New Roman" w:cs="Times New Roman"/>
                <w:sz w:val="20"/>
                <w:szCs w:val="20"/>
              </w:rPr>
            </w:pPr>
            <w:r>
              <w:rPr>
                <w:rFonts w:eastAsia="Times New Roman" w:cs="Times New Roman"/>
                <w:color w:val="000000"/>
                <w:sz w:val="20"/>
                <w:szCs w:val="20"/>
              </w:rPr>
              <w:t> </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5BD7DA7" w14:textId="77777777" w:rsidR="00D535CE" w:rsidRDefault="00D535CE" w:rsidP="00314C19">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D535CE" w14:paraId="60F21027" w14:textId="77777777" w:rsidTr="00D46EB7">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3D93374"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color w:val="000000"/>
                <w:sz w:val="20"/>
                <w:szCs w:val="20"/>
              </w:rPr>
              <w:lastRenderedPageBreak/>
              <w:t>Costinești</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E97BC04"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i/>
                <w:color w:val="000000"/>
                <w:sz w:val="20"/>
                <w:szCs w:val="20"/>
              </w:rPr>
              <w:t>lipsă date</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E14A063"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color w:val="000000"/>
                <w:sz w:val="20"/>
                <w:szCs w:val="20"/>
              </w:rPr>
              <w:t>58,42</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859B744" w14:textId="77777777" w:rsidR="00D535CE" w:rsidRDefault="00D535CE" w:rsidP="00314C19">
            <w:pPr>
              <w:spacing w:after="0" w:line="240" w:lineRule="auto"/>
              <w:ind w:left="100" w:hanging="43"/>
              <w:rPr>
                <w:rFonts w:eastAsia="Times New Roman" w:cs="Times New Roman"/>
                <w:sz w:val="20"/>
                <w:szCs w:val="20"/>
              </w:rPr>
            </w:pPr>
            <w:r>
              <w:rPr>
                <w:rFonts w:eastAsia="Times New Roman" w:cs="Times New Roman"/>
                <w:color w:val="000000"/>
                <w:sz w:val="20"/>
                <w:szCs w:val="20"/>
              </w:rPr>
              <w:t> </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4D87DDD" w14:textId="77777777" w:rsidR="00D535CE" w:rsidRDefault="00D535CE" w:rsidP="00314C19">
            <w:pPr>
              <w:spacing w:after="0" w:line="240" w:lineRule="auto"/>
              <w:ind w:left="100" w:hanging="90"/>
              <w:rPr>
                <w:rFonts w:eastAsia="Times New Roman" w:cs="Times New Roman"/>
                <w:sz w:val="20"/>
                <w:szCs w:val="20"/>
              </w:rPr>
            </w:pPr>
            <w:r>
              <w:rPr>
                <w:rFonts w:eastAsia="Times New Roman" w:cs="Times New Roman"/>
                <w:color w:val="000000"/>
                <w:sz w:val="20"/>
                <w:szCs w:val="20"/>
              </w:rPr>
              <w:t> </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0615475" w14:textId="77777777" w:rsidR="00D535CE" w:rsidRDefault="00D535CE" w:rsidP="00314C19">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D535CE" w14:paraId="52693626" w14:textId="77777777" w:rsidTr="00D46EB7">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162878D"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color w:val="000000"/>
                <w:sz w:val="20"/>
                <w:szCs w:val="20"/>
              </w:rPr>
              <w:t>23 August</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BF70ED3"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i/>
                <w:color w:val="000000"/>
                <w:sz w:val="20"/>
                <w:szCs w:val="20"/>
              </w:rPr>
              <w:t>lipsă date</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000B65A"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i/>
                <w:color w:val="000000"/>
                <w:sz w:val="20"/>
                <w:szCs w:val="20"/>
              </w:rPr>
              <w:t>lipsă date</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66084B8" w14:textId="77777777" w:rsidR="00D535CE" w:rsidRDefault="00D535CE" w:rsidP="00314C19">
            <w:pPr>
              <w:spacing w:after="0" w:line="240" w:lineRule="auto"/>
              <w:ind w:left="100" w:hanging="43"/>
              <w:rPr>
                <w:rFonts w:eastAsia="Times New Roman" w:cs="Times New Roman"/>
                <w:sz w:val="20"/>
                <w:szCs w:val="20"/>
              </w:rPr>
            </w:pPr>
            <w:r>
              <w:rPr>
                <w:rFonts w:eastAsia="Times New Roman" w:cs="Times New Roman"/>
                <w:color w:val="000000"/>
                <w:sz w:val="20"/>
                <w:szCs w:val="20"/>
              </w:rPr>
              <w:t> </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FD06181" w14:textId="77777777" w:rsidR="00D535CE" w:rsidRDefault="00D535CE" w:rsidP="00314C19">
            <w:pPr>
              <w:spacing w:after="0" w:line="240" w:lineRule="auto"/>
              <w:ind w:left="100" w:hanging="90"/>
              <w:rPr>
                <w:rFonts w:eastAsia="Times New Roman" w:cs="Times New Roman"/>
                <w:sz w:val="20"/>
                <w:szCs w:val="20"/>
              </w:rPr>
            </w:pPr>
            <w:r>
              <w:rPr>
                <w:rFonts w:eastAsia="Times New Roman" w:cs="Times New Roman"/>
                <w:color w:val="000000"/>
                <w:sz w:val="20"/>
                <w:szCs w:val="20"/>
              </w:rPr>
              <w:t> </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83989D2" w14:textId="77777777" w:rsidR="00D535CE" w:rsidRDefault="00D535CE" w:rsidP="00314C19">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D535CE" w14:paraId="1F305C16" w14:textId="77777777" w:rsidTr="00D46EB7">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94F2932"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color w:val="000000"/>
                <w:sz w:val="20"/>
                <w:szCs w:val="20"/>
              </w:rPr>
              <w:t>Mangalia</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CEC3163"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color w:val="000000"/>
                <w:sz w:val="20"/>
                <w:szCs w:val="20"/>
              </w:rPr>
              <w:t>143,32</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C2F9514"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color w:val="000000"/>
                <w:sz w:val="20"/>
                <w:szCs w:val="20"/>
              </w:rPr>
              <w:t>163,54</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877129A" w14:textId="77777777" w:rsidR="00D535CE" w:rsidRDefault="00D535CE" w:rsidP="00314C19">
            <w:pPr>
              <w:spacing w:after="0" w:line="240" w:lineRule="auto"/>
              <w:ind w:left="100" w:hanging="43"/>
              <w:rPr>
                <w:rFonts w:eastAsia="Times New Roman" w:cs="Times New Roman"/>
                <w:sz w:val="20"/>
                <w:szCs w:val="20"/>
              </w:rPr>
            </w:pPr>
            <w:r>
              <w:rPr>
                <w:rFonts w:eastAsia="Times New Roman" w:cs="Times New Roman"/>
                <w:color w:val="000000"/>
                <w:sz w:val="20"/>
                <w:szCs w:val="20"/>
              </w:rPr>
              <w:t> </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B11A558" w14:textId="77777777" w:rsidR="00D535CE" w:rsidRDefault="00D535CE" w:rsidP="00314C19">
            <w:pPr>
              <w:spacing w:after="0" w:line="240" w:lineRule="auto"/>
              <w:ind w:left="100" w:hanging="90"/>
              <w:rPr>
                <w:rFonts w:eastAsia="Times New Roman" w:cs="Times New Roman"/>
                <w:sz w:val="20"/>
                <w:szCs w:val="20"/>
              </w:rPr>
            </w:pPr>
            <w:r>
              <w:rPr>
                <w:rFonts w:eastAsia="Times New Roman" w:cs="Times New Roman"/>
                <w:color w:val="000000"/>
                <w:sz w:val="20"/>
                <w:szCs w:val="20"/>
              </w:rPr>
              <w:t> </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F00DD23" w14:textId="77777777" w:rsidR="00D535CE" w:rsidRDefault="00D535CE" w:rsidP="00314C19">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r w:rsidR="00D535CE" w14:paraId="748D909C" w14:textId="77777777" w:rsidTr="00D46EB7">
        <w:trPr>
          <w:trHeight w:val="20"/>
        </w:trPr>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D497FB3"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color w:val="000000"/>
                <w:sz w:val="20"/>
                <w:szCs w:val="20"/>
              </w:rPr>
              <w:t>Limanu</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7B4C959" w14:textId="77777777" w:rsidR="00D535CE" w:rsidRDefault="00D535CE" w:rsidP="00314C19">
            <w:pPr>
              <w:spacing w:after="0" w:line="240" w:lineRule="auto"/>
              <w:ind w:left="100" w:hanging="68"/>
              <w:rPr>
                <w:rFonts w:eastAsia="Times New Roman" w:cs="Times New Roman"/>
                <w:sz w:val="20"/>
                <w:szCs w:val="20"/>
              </w:rPr>
            </w:pPr>
            <w:r>
              <w:rPr>
                <w:rFonts w:eastAsia="Times New Roman" w:cs="Times New Roman"/>
                <w:color w:val="000000"/>
                <w:sz w:val="20"/>
                <w:szCs w:val="20"/>
              </w:rPr>
              <w:t>0,00</w:t>
            </w:r>
          </w:p>
        </w:tc>
        <w:tc>
          <w:tcPr>
            <w:tcW w:w="121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D9D3492" w14:textId="77777777" w:rsidR="00D535CE" w:rsidRDefault="00D535CE" w:rsidP="00314C19">
            <w:pPr>
              <w:spacing w:after="0" w:line="240" w:lineRule="auto"/>
              <w:ind w:left="100" w:hanging="100"/>
              <w:rPr>
                <w:rFonts w:eastAsia="Times New Roman" w:cs="Times New Roman"/>
                <w:sz w:val="20"/>
                <w:szCs w:val="20"/>
              </w:rPr>
            </w:pPr>
            <w:r>
              <w:rPr>
                <w:rFonts w:eastAsia="Times New Roman" w:cs="Times New Roman"/>
                <w:color w:val="000000"/>
                <w:sz w:val="20"/>
                <w:szCs w:val="20"/>
              </w:rPr>
              <w:t>0,00</w:t>
            </w:r>
          </w:p>
        </w:tc>
        <w:tc>
          <w:tcPr>
            <w:tcW w:w="160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2F6ABB0" w14:textId="77777777" w:rsidR="00D535CE" w:rsidRDefault="00D535CE" w:rsidP="00314C19">
            <w:pPr>
              <w:spacing w:after="0" w:line="240" w:lineRule="auto"/>
              <w:ind w:left="100" w:hanging="43"/>
              <w:rPr>
                <w:rFonts w:eastAsia="Times New Roman" w:cs="Times New Roman"/>
                <w:sz w:val="20"/>
                <w:szCs w:val="20"/>
              </w:rPr>
            </w:pPr>
            <w:r>
              <w:rPr>
                <w:rFonts w:eastAsia="Times New Roman" w:cs="Times New Roman"/>
                <w:color w:val="000000"/>
                <w:sz w:val="20"/>
                <w:szCs w:val="20"/>
              </w:rPr>
              <w:t> </w:t>
            </w:r>
          </w:p>
        </w:tc>
        <w:tc>
          <w:tcPr>
            <w:tcW w:w="16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C25794B" w14:textId="77777777" w:rsidR="00D535CE" w:rsidRDefault="00D535CE" w:rsidP="00314C19">
            <w:pPr>
              <w:spacing w:after="0" w:line="240" w:lineRule="auto"/>
              <w:ind w:left="100" w:hanging="90"/>
              <w:rPr>
                <w:rFonts w:eastAsia="Times New Roman" w:cs="Times New Roman"/>
                <w:sz w:val="20"/>
                <w:szCs w:val="20"/>
              </w:rPr>
            </w:pPr>
            <w:r>
              <w:rPr>
                <w:rFonts w:eastAsia="Times New Roman" w:cs="Times New Roman"/>
                <w:color w:val="000000"/>
                <w:sz w:val="20"/>
                <w:szCs w:val="20"/>
              </w:rPr>
              <w:t> </w:t>
            </w:r>
          </w:p>
        </w:tc>
        <w:tc>
          <w:tcPr>
            <w:tcW w:w="178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4AB23EA" w14:textId="77777777" w:rsidR="00D535CE" w:rsidRDefault="00D535CE" w:rsidP="00314C19">
            <w:pPr>
              <w:spacing w:after="0" w:line="240" w:lineRule="auto"/>
              <w:ind w:left="100" w:hanging="61"/>
              <w:rPr>
                <w:rFonts w:eastAsia="Times New Roman" w:cs="Times New Roman"/>
                <w:sz w:val="20"/>
                <w:szCs w:val="20"/>
              </w:rPr>
            </w:pPr>
            <w:r>
              <w:rPr>
                <w:rFonts w:eastAsia="Times New Roman" w:cs="Times New Roman"/>
                <w:color w:val="000000"/>
                <w:sz w:val="20"/>
                <w:szCs w:val="20"/>
              </w:rPr>
              <w:t> </w:t>
            </w:r>
          </w:p>
        </w:tc>
      </w:tr>
    </w:tbl>
    <w:p w14:paraId="75F1B13F" w14:textId="77777777" w:rsidR="00D535CE" w:rsidRDefault="00D535CE" w:rsidP="00D535CE">
      <w:pPr>
        <w:rPr>
          <w:rFonts w:eastAsia="Times New Roman" w:cs="Times New Roman"/>
        </w:rPr>
      </w:pPr>
    </w:p>
    <w:p w14:paraId="5429B266" w14:textId="64508608" w:rsidR="00D535CE" w:rsidRDefault="002036BB" w:rsidP="00D535CE">
      <w:pPr>
        <w:pStyle w:val="Heading4"/>
      </w:pPr>
      <w:bookmarkStart w:id="106" w:name="_Toc169625146"/>
      <w:r>
        <w:t>2.</w:t>
      </w:r>
      <w:r w:rsidR="00D535CE">
        <w:t>4.8.9 Infrastructura de utilități</w:t>
      </w:r>
      <w:bookmarkEnd w:id="106"/>
    </w:p>
    <w:p w14:paraId="5EADDE47" w14:textId="77777777" w:rsidR="00D535CE" w:rsidRDefault="00D535CE" w:rsidP="00416010">
      <w:pPr>
        <w:rPr>
          <w:rFonts w:eastAsia="Times New Roman" w:cs="Times New Roman"/>
          <w:i/>
          <w:color w:val="000000"/>
        </w:rPr>
      </w:pPr>
      <w:r>
        <w:rPr>
          <w:rFonts w:eastAsia="Times New Roman" w:cs="Times New Roman"/>
          <w:i/>
          <w:color w:val="000000"/>
        </w:rPr>
        <w:t>Infrastructura de alimentare cu gaze naturale</w:t>
      </w:r>
    </w:p>
    <w:p w14:paraId="4F3520DC" w14:textId="77777777" w:rsidR="00D535CE" w:rsidRDefault="00D535CE" w:rsidP="00416010">
      <w:pPr>
        <w:ind w:firstLine="567"/>
        <w:rPr>
          <w:rFonts w:eastAsia="Times New Roman" w:cs="Times New Roman"/>
          <w:color w:val="000000"/>
        </w:rPr>
      </w:pPr>
      <w:r>
        <w:rPr>
          <w:rFonts w:eastAsia="Times New Roman" w:cs="Times New Roman"/>
          <w:color w:val="000000"/>
        </w:rPr>
        <w:t>În cadrul rețelei naționale de distribuție de gaze naturale, județele Constanța și Tulcea se află în culoarul 7 de transport internațional: ZB0100-Isaccea-Şendreni și ZB1500-Tranzit-Dobrogea. De asemenea, este de menționat proiectul „Extindere SNT prin realizare conductă de transport gaze naturale de la punct preluare gaze Marea Neagră (zona Vadu) – la conducta Tranzit 1 (zona Grădina)”. Conducta, în lungime totală de aproximativ 24,37 km, este proiectată pentru a transporta gaze naturale de la GTP Vadu la conducta ”Tranzit 1” a Sistemului Naţional de Transmisie a gazelor.</w:t>
      </w:r>
    </w:p>
    <w:p w14:paraId="443A744F" w14:textId="77777777" w:rsidR="00D535CE" w:rsidRDefault="00D535CE" w:rsidP="00416010">
      <w:pPr>
        <w:rPr>
          <w:rFonts w:eastAsia="Times New Roman" w:cs="Times New Roman"/>
          <w:i/>
          <w:color w:val="000000"/>
        </w:rPr>
      </w:pPr>
      <w:r>
        <w:rPr>
          <w:rFonts w:eastAsia="Times New Roman" w:cs="Times New Roman"/>
          <w:i/>
          <w:color w:val="000000"/>
        </w:rPr>
        <w:t>Infrastructura de alimentare cu energie electrică</w:t>
      </w:r>
    </w:p>
    <w:p w14:paraId="118CD31E" w14:textId="77777777" w:rsidR="00D535CE" w:rsidRDefault="00D535CE" w:rsidP="00416010">
      <w:pPr>
        <w:ind w:firstLine="567"/>
        <w:rPr>
          <w:rFonts w:eastAsia="Times New Roman" w:cs="Times New Roman"/>
          <w:color w:val="000000"/>
        </w:rPr>
      </w:pPr>
      <w:r>
        <w:rPr>
          <w:rFonts w:eastAsia="Times New Roman" w:cs="Times New Roman"/>
          <w:color w:val="000000"/>
        </w:rPr>
        <w:t>În județul Constanța, infrastructura majoră de alimentare cu energie electrică este reprezentată de liniile electrice aeriene de 750 kV și 400 kV, 4 stații de transformare 400/110 kV, dintre care una, Constanța Nord, este localizată în zona costieră. În județul Tulcea, stațiile de transformare (Isaccea și Tulcea Vest) sunt situate în afara zonei costiere.</w:t>
      </w:r>
    </w:p>
    <w:p w14:paraId="628BE643" w14:textId="77777777" w:rsidR="00D535CE" w:rsidRDefault="00D535CE" w:rsidP="00416010">
      <w:pPr>
        <w:rPr>
          <w:rFonts w:eastAsia="Times New Roman" w:cs="Times New Roman"/>
        </w:rPr>
      </w:pPr>
      <w:r>
        <w:rPr>
          <w:rFonts w:eastAsia="Times New Roman" w:cs="Times New Roman"/>
          <w:i/>
          <w:color w:val="000000"/>
        </w:rPr>
        <w:t>Infrastructura de alimentare cu apă</w:t>
      </w:r>
    </w:p>
    <w:p w14:paraId="2C0D734E" w14:textId="77777777" w:rsidR="00D535CE" w:rsidRDefault="00D535CE" w:rsidP="00416010">
      <w:pPr>
        <w:ind w:firstLine="567"/>
        <w:rPr>
          <w:rFonts w:eastAsia="Times New Roman" w:cs="Times New Roman"/>
        </w:rPr>
      </w:pPr>
      <w:r>
        <w:rPr>
          <w:rFonts w:eastAsia="Times New Roman" w:cs="Times New Roman"/>
          <w:color w:val="000000"/>
        </w:rPr>
        <w:t>În partea zonei costiere aferentă județului Tulcea, sursele de alimentare sunt atât subterane, cât și de suprafață (Sulina, Sf. Gheorghe). Referitor la orașul Sulina, în sistemul său de alimentare cu apă nu există aducțiune de apă tratată, apa potabilă produsă în stația de tratare fiind distribuită direct din stație, prin intermediul unui castel de apă. Printr-un proiect POS-Mediu, la nivelul orașului Sulina s-au reabilitat sursele de captare, stația de tratare a apei, 19 km de conductă de apă și s-a extins cu 19 km conducta de apă uzată (Consiliul Județean Tulcea, 2021). Din 2015 până în 2019, lungimea conductelor de alimentare cu apă potabilă în orașul Sulina a crescut de la 17 km la 23,9 km.</w:t>
      </w:r>
    </w:p>
    <w:p w14:paraId="1B0D3E72" w14:textId="77777777" w:rsidR="00D535CE" w:rsidRDefault="00D535CE" w:rsidP="00416010">
      <w:pPr>
        <w:ind w:firstLine="567"/>
        <w:rPr>
          <w:rFonts w:eastAsia="Times New Roman" w:cs="Times New Roman"/>
        </w:rPr>
      </w:pPr>
      <w:r>
        <w:rPr>
          <w:rFonts w:eastAsia="Times New Roman" w:cs="Times New Roman"/>
          <w:color w:val="000000"/>
        </w:rPr>
        <w:t>În ceea ce privește capacitatea instalațiilor de a produce apă potabilă, deși la nivel județean s-a înregistrat o tendință de creștere, în orașul Sulina, aceasta a rămas, în 2019, la nivelul celei din 2015, respectiv 730 m</w:t>
      </w:r>
      <w:r>
        <w:rPr>
          <w:rFonts w:eastAsia="Times New Roman" w:cs="Times New Roman"/>
          <w:color w:val="000000"/>
          <w:vertAlign w:val="superscript"/>
        </w:rPr>
        <w:t>3</w:t>
      </w:r>
      <w:r>
        <w:rPr>
          <w:rFonts w:eastAsia="Times New Roman" w:cs="Times New Roman"/>
          <w:color w:val="000000"/>
        </w:rPr>
        <w:t>/zi. Referitor la consumul de apă, valoarea înregistrată în 2019 (209 mii m</w:t>
      </w:r>
      <w:r>
        <w:rPr>
          <w:rFonts w:eastAsia="Times New Roman" w:cs="Times New Roman"/>
          <w:color w:val="000000"/>
          <w:vertAlign w:val="superscript"/>
        </w:rPr>
        <w:t>3</w:t>
      </w:r>
      <w:r>
        <w:rPr>
          <w:rFonts w:eastAsia="Times New Roman" w:cs="Times New Roman"/>
          <w:color w:val="000000"/>
        </w:rPr>
        <w:t>), în orașul Sulina, a fost ușor mai mică comparativ cu 2015 (213 mii m</w:t>
      </w:r>
      <w:r>
        <w:rPr>
          <w:rFonts w:eastAsia="Times New Roman" w:cs="Times New Roman"/>
          <w:color w:val="000000"/>
          <w:vertAlign w:val="superscript"/>
        </w:rPr>
        <w:t>3</w:t>
      </w:r>
      <w:r>
        <w:rPr>
          <w:rFonts w:eastAsia="Times New Roman" w:cs="Times New Roman"/>
          <w:color w:val="000000"/>
        </w:rPr>
        <w:t>), posibil în legătură cu scăderea populației (Consiliul Județean Tulcea, 2021).</w:t>
      </w:r>
    </w:p>
    <w:p w14:paraId="66215D59" w14:textId="77777777" w:rsidR="00D535CE" w:rsidRDefault="00D535CE" w:rsidP="00416010">
      <w:pPr>
        <w:ind w:firstLine="567"/>
        <w:rPr>
          <w:rFonts w:eastAsia="Times New Roman" w:cs="Times New Roman"/>
        </w:rPr>
      </w:pPr>
      <w:r>
        <w:rPr>
          <w:rFonts w:eastAsia="Times New Roman" w:cs="Times New Roman"/>
          <w:color w:val="000000"/>
        </w:rPr>
        <w:t>În judeţul Constanţa, principalul operator, RAJA S.A. Constanța exploatează un număr de 94 de surse de apă subterană, formată din 349 foraje şi 2 surse de apă de suprafaţă (sursa Galeşu, capacitate totală instalată de 14.850 m</w:t>
      </w:r>
      <w:r>
        <w:rPr>
          <w:rFonts w:eastAsia="Times New Roman" w:cs="Times New Roman"/>
          <w:color w:val="000000"/>
          <w:vertAlign w:val="superscript"/>
        </w:rPr>
        <w:t>3</w:t>
      </w:r>
      <w:r>
        <w:rPr>
          <w:rFonts w:eastAsia="Times New Roman" w:cs="Times New Roman"/>
          <w:color w:val="000000"/>
        </w:rPr>
        <w:t xml:space="preserve">/h şi Dealul Vifor, capacitate totală instalată este </w:t>
      </w:r>
      <w:r>
        <w:rPr>
          <w:rFonts w:eastAsia="Times New Roman" w:cs="Times New Roman"/>
          <w:color w:val="000000"/>
        </w:rPr>
        <w:lastRenderedPageBreak/>
        <w:t>de 2.900 m</w:t>
      </w:r>
      <w:r>
        <w:rPr>
          <w:rFonts w:eastAsia="Times New Roman" w:cs="Times New Roman"/>
          <w:color w:val="000000"/>
          <w:vertAlign w:val="superscript"/>
        </w:rPr>
        <w:t>3</w:t>
      </w:r>
      <w:r>
        <w:rPr>
          <w:rFonts w:eastAsia="Times New Roman" w:cs="Times New Roman"/>
          <w:color w:val="000000"/>
        </w:rPr>
        <w:t>/h). Apa brută este tratată în două staţii de tratare (Palas-Constanţa, capacitate totală instalată de 5.750 l/s şi Dealul Vifor-Cernavodă, capacitate totală instalată de 100 l/s). </w:t>
      </w:r>
    </w:p>
    <w:p w14:paraId="2907198B" w14:textId="77777777" w:rsidR="00D535CE" w:rsidRDefault="00D535CE" w:rsidP="00416010">
      <w:pPr>
        <w:ind w:firstLine="567"/>
        <w:rPr>
          <w:rFonts w:eastAsia="Times New Roman" w:cs="Times New Roman"/>
          <w:i/>
          <w:color w:val="000000"/>
        </w:rPr>
      </w:pPr>
      <w:r>
        <w:rPr>
          <w:rFonts w:eastAsia="Times New Roman" w:cs="Times New Roman"/>
          <w:color w:val="000000"/>
        </w:rPr>
        <w:t>La nivelul județului Constanța, lungimea conductelor de distribuție a apei potabile era în 2019 de 3.134 km, în ușoară creștere față de anii precedenți (Consiliul Județean Constanța, 2021). Instalațiile din județul Constanța au produs 1.256.293 m</w:t>
      </w:r>
      <w:r>
        <w:rPr>
          <w:rFonts w:eastAsia="Times New Roman" w:cs="Times New Roman"/>
          <w:color w:val="000000"/>
          <w:vertAlign w:val="superscript"/>
        </w:rPr>
        <w:t>3</w:t>
      </w:r>
      <w:r>
        <w:rPr>
          <w:rFonts w:eastAsia="Times New Roman" w:cs="Times New Roman"/>
          <w:color w:val="000000"/>
        </w:rPr>
        <w:t xml:space="preserve"> de apă potabilă pe zi, în anul 2019, volum mai scăzut comparativ cu perioada 2014-2018 (cea mai mare cantitate fiind produsă în 2014 - 1.303.831 m</w:t>
      </w:r>
      <w:r>
        <w:rPr>
          <w:rFonts w:eastAsia="Times New Roman" w:cs="Times New Roman"/>
          <w:color w:val="000000"/>
          <w:vertAlign w:val="superscript"/>
        </w:rPr>
        <w:t>3</w:t>
      </w:r>
      <w:r>
        <w:rPr>
          <w:rFonts w:eastAsia="Times New Roman" w:cs="Times New Roman"/>
          <w:color w:val="000000"/>
        </w:rPr>
        <w:t>/zi. În ceea ce privește cantitatea distribuită, în 2019 a fost înregistrată cea mai mare cantitate din perioada 2014-2019, și anume 40.968 mii m</w:t>
      </w:r>
      <w:r>
        <w:rPr>
          <w:rFonts w:eastAsia="Times New Roman" w:cs="Times New Roman"/>
          <w:color w:val="000000"/>
          <w:vertAlign w:val="superscript"/>
        </w:rPr>
        <w:t>3</w:t>
      </w:r>
      <w:r>
        <w:rPr>
          <w:rFonts w:eastAsia="Times New Roman" w:cs="Times New Roman"/>
          <w:color w:val="000000"/>
        </w:rPr>
        <w:t xml:space="preserve"> de apă potabilă.</w:t>
      </w:r>
    </w:p>
    <w:p w14:paraId="106BA6CA" w14:textId="77777777" w:rsidR="00D535CE" w:rsidRDefault="00D535CE" w:rsidP="00416010">
      <w:pPr>
        <w:rPr>
          <w:rFonts w:eastAsia="Times New Roman" w:cs="Times New Roman"/>
        </w:rPr>
      </w:pPr>
      <w:r>
        <w:rPr>
          <w:rFonts w:eastAsia="Times New Roman" w:cs="Times New Roman"/>
          <w:i/>
          <w:color w:val="000000"/>
        </w:rPr>
        <w:t>Infrastructura de canalizare și epurare a apelor uzate</w:t>
      </w:r>
    </w:p>
    <w:p w14:paraId="0CEA5D31" w14:textId="77777777" w:rsidR="00D535CE" w:rsidRDefault="00D535CE" w:rsidP="00416010">
      <w:pPr>
        <w:ind w:firstLine="567"/>
        <w:rPr>
          <w:rFonts w:eastAsia="Times New Roman" w:cs="Times New Roman"/>
          <w:color w:val="000000"/>
        </w:rPr>
      </w:pPr>
      <w:r>
        <w:rPr>
          <w:rFonts w:eastAsia="Times New Roman" w:cs="Times New Roman"/>
          <w:color w:val="000000"/>
        </w:rPr>
        <w:t>UAT-urile din RBDD nu au sisteme de canalizare centralizate care să colecteze apele uzate la nivelul întregii localităţi, iar staţiile de epurare existente realizează epurarea mecanică și mecano-biologică a apelor menajere. La nivelul județului Tulcea, sistemul de canalizare a cunoscut o oarecare dezvoltare în perioada 2015-2019, când lungimea totală a conductelor de canalizare a crescut de la 413,9 km la 576,4 km (Consiliul Județean Tulcea, 2021). Această tendință de dezvoltare a infrastructurii de canalizare se remarcă la nivelul tuturor centrelor urbane din județ, inclusiv în orașul Sulina, unde de la o lungime totală a conductelor de canalizare de 17 km, în 2015, s-a ajuns la o lungime totală de 30,6 km, în 2019 (Consiliul Județean Tulcea, 2021). Cu toate acestea însă, infrastructura de canalizare prezintă încă deficiențe de dezvoltare, fiind nevoie investiții majore pentru extinderea rețelei de canalizare în mediul rural, dat fiind faptul că în județul Tulcea doar jumătate dintre localitățile conectate la alimentarea cu apă au și rețea de canalizare.</w:t>
      </w:r>
    </w:p>
    <w:p w14:paraId="1605D10F" w14:textId="7C8A9F4D" w:rsidR="00D535CE" w:rsidRDefault="00D535CE" w:rsidP="00416010">
      <w:pPr>
        <w:ind w:firstLine="567"/>
        <w:rPr>
          <w:rFonts w:eastAsia="Times New Roman" w:cs="Times New Roman"/>
          <w:color w:val="000000"/>
        </w:rPr>
      </w:pPr>
      <w:r>
        <w:rPr>
          <w:rFonts w:eastAsia="Times New Roman" w:cs="Times New Roman"/>
          <w:color w:val="000000"/>
        </w:rPr>
        <w:t xml:space="preserve">Referitor la epurarea apelor uzate, în partea nordică a zonei costiere sunt patru stații de epurarea, la Sulina, Murighiol, Jurilovca și Sfântu Gheorghe. Se remarcă că în toate cele patru stații apele uzate sunt doar parțial epurate (mecanic și biologic), deci reprezintă o potențială presiune asupra emisarilor. Mai mult, în UAT Murighiol și Jurilovca, procente mici din  încărcarea generată la nivel de UAT sunt colectate și epurare (Tabel </w:t>
      </w:r>
      <w:r w:rsidR="00416010">
        <w:rPr>
          <w:rFonts w:eastAsia="Times New Roman" w:cs="Times New Roman"/>
          <w:color w:val="000000"/>
        </w:rPr>
        <w:t>2.</w:t>
      </w:r>
      <w:r>
        <w:rPr>
          <w:rFonts w:eastAsia="Times New Roman" w:cs="Times New Roman"/>
          <w:color w:val="000000"/>
        </w:rPr>
        <w:t>4.8.9.1).</w:t>
      </w:r>
    </w:p>
    <w:p w14:paraId="7831DF06" w14:textId="77777777" w:rsidR="00D535CE" w:rsidRDefault="00D535CE" w:rsidP="00D535CE">
      <w:pPr>
        <w:ind w:firstLine="567"/>
        <w:rPr>
          <w:rFonts w:eastAsia="Times New Roman" w:cs="Times New Roman"/>
          <w:b/>
          <w:color w:val="000000"/>
        </w:rPr>
      </w:pPr>
    </w:p>
    <w:p w14:paraId="2C45DA53" w14:textId="6D0E51BE" w:rsidR="00D535CE" w:rsidRDefault="00D535CE" w:rsidP="00D535CE">
      <w:pPr>
        <w:jc w:val="center"/>
        <w:rPr>
          <w:rFonts w:eastAsia="Times New Roman" w:cs="Times New Roman"/>
        </w:rPr>
      </w:pPr>
      <w:r>
        <w:rPr>
          <w:rFonts w:eastAsia="Times New Roman" w:cs="Times New Roman"/>
          <w:b/>
          <w:color w:val="000000"/>
        </w:rPr>
        <w:t xml:space="preserve">Tabel </w:t>
      </w:r>
      <w:r w:rsidR="00416010">
        <w:rPr>
          <w:rFonts w:eastAsia="Times New Roman" w:cs="Times New Roman"/>
          <w:b/>
          <w:color w:val="000000"/>
        </w:rPr>
        <w:t>2.</w:t>
      </w:r>
      <w:r>
        <w:rPr>
          <w:rFonts w:eastAsia="Times New Roman" w:cs="Times New Roman"/>
          <w:b/>
          <w:color w:val="000000"/>
        </w:rPr>
        <w:t xml:space="preserve">4.8.9.1 Principalele caracteristici ale stațiilor de epurare Sulina, Murighiol și Jurilovca </w:t>
      </w:r>
    </w:p>
    <w:tbl>
      <w:tblPr>
        <w:tblW w:w="9340" w:type="dxa"/>
        <w:tblLayout w:type="fixed"/>
        <w:tblLook w:val="0400" w:firstRow="0" w:lastRow="0" w:firstColumn="0" w:lastColumn="0" w:noHBand="0" w:noVBand="1"/>
      </w:tblPr>
      <w:tblGrid>
        <w:gridCol w:w="1093"/>
        <w:gridCol w:w="1936"/>
        <w:gridCol w:w="1580"/>
        <w:gridCol w:w="1484"/>
        <w:gridCol w:w="2032"/>
        <w:gridCol w:w="1215"/>
      </w:tblGrid>
      <w:tr w:rsidR="00D535CE" w14:paraId="788C4B35" w14:textId="77777777" w:rsidTr="00D46EB7">
        <w:trPr>
          <w:trHeight w:val="20"/>
        </w:trPr>
        <w:tc>
          <w:tcPr>
            <w:tcW w:w="1093"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0ED5606C" w14:textId="77777777" w:rsidR="00D535CE" w:rsidRDefault="00D535CE" w:rsidP="00416010">
            <w:pPr>
              <w:spacing w:after="0" w:line="240" w:lineRule="auto"/>
              <w:ind w:firstLine="0"/>
              <w:rPr>
                <w:rFonts w:eastAsia="Times New Roman" w:cs="Times New Roman"/>
                <w:b/>
                <w:sz w:val="20"/>
                <w:szCs w:val="20"/>
              </w:rPr>
            </w:pPr>
            <w:r>
              <w:rPr>
                <w:rFonts w:eastAsia="Times New Roman" w:cs="Times New Roman"/>
                <w:b/>
                <w:color w:val="000000"/>
                <w:sz w:val="20"/>
                <w:szCs w:val="20"/>
              </w:rPr>
              <w:t>UAT</w:t>
            </w:r>
          </w:p>
        </w:tc>
        <w:tc>
          <w:tcPr>
            <w:tcW w:w="1936"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2AE0C08A" w14:textId="77777777" w:rsidR="00D535CE" w:rsidRDefault="00D535CE" w:rsidP="00416010">
            <w:pPr>
              <w:spacing w:after="0" w:line="240" w:lineRule="auto"/>
              <w:ind w:firstLine="0"/>
              <w:rPr>
                <w:rFonts w:eastAsia="Times New Roman" w:cs="Times New Roman"/>
                <w:b/>
                <w:sz w:val="20"/>
                <w:szCs w:val="20"/>
              </w:rPr>
            </w:pPr>
            <w:r>
              <w:rPr>
                <w:rFonts w:eastAsia="Times New Roman" w:cs="Times New Roman"/>
                <w:b/>
                <w:color w:val="000000"/>
                <w:sz w:val="20"/>
                <w:szCs w:val="20"/>
              </w:rPr>
              <w:t>ID stație</w:t>
            </w:r>
          </w:p>
        </w:tc>
        <w:tc>
          <w:tcPr>
            <w:tcW w:w="1580"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0B47358B" w14:textId="77777777" w:rsidR="00D535CE" w:rsidRDefault="00D535CE" w:rsidP="00416010">
            <w:pPr>
              <w:spacing w:after="0" w:line="240" w:lineRule="auto"/>
              <w:ind w:firstLine="0"/>
              <w:rPr>
                <w:rFonts w:eastAsia="Times New Roman" w:cs="Times New Roman"/>
                <w:b/>
                <w:sz w:val="20"/>
                <w:szCs w:val="20"/>
              </w:rPr>
            </w:pPr>
            <w:r>
              <w:rPr>
                <w:rFonts w:eastAsia="Times New Roman" w:cs="Times New Roman"/>
                <w:b/>
                <w:color w:val="000000"/>
                <w:sz w:val="20"/>
                <w:szCs w:val="20"/>
              </w:rPr>
              <w:t>Operator</w:t>
            </w:r>
          </w:p>
        </w:tc>
        <w:tc>
          <w:tcPr>
            <w:tcW w:w="1484"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45DDCCF1" w14:textId="77777777" w:rsidR="00D535CE" w:rsidRDefault="00D535CE" w:rsidP="00416010">
            <w:pPr>
              <w:spacing w:after="0" w:line="240" w:lineRule="auto"/>
              <w:ind w:firstLine="0"/>
              <w:rPr>
                <w:rFonts w:eastAsia="Times New Roman" w:cs="Times New Roman"/>
                <w:b/>
                <w:sz w:val="20"/>
                <w:szCs w:val="20"/>
              </w:rPr>
            </w:pPr>
            <w:r>
              <w:rPr>
                <w:rFonts w:eastAsia="Times New Roman" w:cs="Times New Roman"/>
                <w:b/>
                <w:color w:val="000000"/>
                <w:sz w:val="20"/>
                <w:szCs w:val="20"/>
              </w:rPr>
              <w:t>Încărcarea generata p.e. la nivelul UAT</w:t>
            </w:r>
          </w:p>
        </w:tc>
        <w:tc>
          <w:tcPr>
            <w:tcW w:w="2032"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690C2346" w14:textId="77777777" w:rsidR="00D535CE" w:rsidRDefault="00D535CE" w:rsidP="00416010">
            <w:pPr>
              <w:spacing w:after="0" w:line="240" w:lineRule="auto"/>
              <w:ind w:firstLine="34"/>
              <w:rPr>
                <w:rFonts w:eastAsia="Times New Roman" w:cs="Times New Roman"/>
                <w:b/>
                <w:sz w:val="20"/>
                <w:szCs w:val="20"/>
              </w:rPr>
            </w:pPr>
            <w:r>
              <w:rPr>
                <w:rFonts w:eastAsia="Times New Roman" w:cs="Times New Roman"/>
                <w:b/>
                <w:color w:val="000000"/>
                <w:sz w:val="20"/>
                <w:szCs w:val="20"/>
              </w:rPr>
              <w:t>Încărcarea colectată și intrată în stație raportat la încărcarea totală (%)</w:t>
            </w:r>
          </w:p>
        </w:tc>
        <w:tc>
          <w:tcPr>
            <w:tcW w:w="1215"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11B21996" w14:textId="77777777" w:rsidR="00D535CE" w:rsidRDefault="00D535CE" w:rsidP="00416010">
            <w:pPr>
              <w:spacing w:after="0" w:line="240" w:lineRule="auto"/>
              <w:ind w:firstLine="0"/>
              <w:rPr>
                <w:rFonts w:eastAsia="Times New Roman" w:cs="Times New Roman"/>
                <w:b/>
                <w:sz w:val="20"/>
                <w:szCs w:val="20"/>
              </w:rPr>
            </w:pPr>
            <w:r>
              <w:rPr>
                <w:rFonts w:eastAsia="Times New Roman" w:cs="Times New Roman"/>
                <w:b/>
                <w:color w:val="000000"/>
                <w:sz w:val="20"/>
                <w:szCs w:val="20"/>
              </w:rPr>
              <w:t>Tip de tratare</w:t>
            </w:r>
          </w:p>
        </w:tc>
      </w:tr>
      <w:tr w:rsidR="00D535CE" w14:paraId="0B9C467B" w14:textId="77777777" w:rsidTr="00D46EB7">
        <w:trPr>
          <w:trHeight w:val="20"/>
        </w:trPr>
        <w:tc>
          <w:tcPr>
            <w:tcW w:w="10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2E278A" w14:textId="77777777" w:rsidR="00D535CE" w:rsidRDefault="00D535CE" w:rsidP="00416010">
            <w:pPr>
              <w:spacing w:after="0" w:line="240" w:lineRule="auto"/>
              <w:ind w:firstLine="0"/>
              <w:rPr>
                <w:rFonts w:eastAsia="Times New Roman" w:cs="Times New Roman"/>
                <w:sz w:val="20"/>
                <w:szCs w:val="20"/>
              </w:rPr>
            </w:pPr>
            <w:r>
              <w:rPr>
                <w:rFonts w:eastAsia="Times New Roman" w:cs="Times New Roman"/>
                <w:color w:val="000000"/>
                <w:sz w:val="20"/>
                <w:szCs w:val="20"/>
              </w:rPr>
              <w:t>Sulina </w:t>
            </w:r>
          </w:p>
        </w:tc>
        <w:tc>
          <w:tcPr>
            <w:tcW w:w="19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AFB991" w14:textId="77777777" w:rsidR="00D535CE" w:rsidRDefault="00D535CE" w:rsidP="00416010">
            <w:pPr>
              <w:spacing w:after="0" w:line="240" w:lineRule="auto"/>
              <w:ind w:firstLine="0"/>
              <w:rPr>
                <w:rFonts w:eastAsia="Times New Roman" w:cs="Times New Roman"/>
                <w:sz w:val="20"/>
                <w:szCs w:val="20"/>
              </w:rPr>
            </w:pPr>
            <w:r>
              <w:rPr>
                <w:rFonts w:eastAsia="Times New Roman" w:cs="Times New Roman"/>
                <w:color w:val="000000"/>
                <w:sz w:val="20"/>
                <w:szCs w:val="20"/>
              </w:rPr>
              <w:t>ROWP_159776_01</w:t>
            </w:r>
          </w:p>
        </w:tc>
        <w:tc>
          <w:tcPr>
            <w:tcW w:w="1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6EC0C1" w14:textId="77777777" w:rsidR="00D535CE" w:rsidRDefault="00D535CE" w:rsidP="00416010">
            <w:pPr>
              <w:spacing w:after="0" w:line="240" w:lineRule="auto"/>
              <w:ind w:firstLine="0"/>
              <w:rPr>
                <w:rFonts w:eastAsia="Times New Roman" w:cs="Times New Roman"/>
                <w:sz w:val="20"/>
                <w:szCs w:val="20"/>
              </w:rPr>
            </w:pPr>
            <w:r>
              <w:rPr>
                <w:rFonts w:eastAsia="Times New Roman" w:cs="Times New Roman"/>
                <w:color w:val="000000"/>
                <w:sz w:val="20"/>
                <w:szCs w:val="20"/>
              </w:rPr>
              <w:t>Aquaserv SA</w:t>
            </w:r>
          </w:p>
        </w:tc>
        <w:tc>
          <w:tcPr>
            <w:tcW w:w="14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E54DC1" w14:textId="77777777" w:rsidR="00D535CE" w:rsidRDefault="00D535CE" w:rsidP="00416010">
            <w:pPr>
              <w:spacing w:after="0" w:line="240" w:lineRule="auto"/>
              <w:ind w:firstLine="0"/>
              <w:jc w:val="center"/>
              <w:rPr>
                <w:rFonts w:eastAsia="Times New Roman" w:cs="Times New Roman"/>
                <w:sz w:val="20"/>
                <w:szCs w:val="20"/>
              </w:rPr>
            </w:pPr>
            <w:r>
              <w:rPr>
                <w:rFonts w:eastAsia="Times New Roman" w:cs="Times New Roman"/>
                <w:color w:val="000000"/>
                <w:sz w:val="20"/>
                <w:szCs w:val="20"/>
              </w:rPr>
              <w:t>5.000</w:t>
            </w:r>
          </w:p>
        </w:tc>
        <w:tc>
          <w:tcPr>
            <w:tcW w:w="20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E4D450" w14:textId="77777777" w:rsidR="00D535CE" w:rsidRDefault="00D535CE" w:rsidP="00416010">
            <w:pPr>
              <w:spacing w:after="0" w:line="240" w:lineRule="auto"/>
              <w:ind w:firstLine="34"/>
              <w:jc w:val="center"/>
              <w:rPr>
                <w:rFonts w:eastAsia="Times New Roman" w:cs="Times New Roman"/>
                <w:sz w:val="20"/>
                <w:szCs w:val="20"/>
              </w:rPr>
            </w:pPr>
            <w:r>
              <w:rPr>
                <w:rFonts w:eastAsia="Times New Roman" w:cs="Times New Roman"/>
                <w:color w:val="000000"/>
                <w:sz w:val="20"/>
                <w:szCs w:val="20"/>
              </w:rPr>
              <w:t>81,0</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B1BA89" w14:textId="77777777" w:rsidR="00D535CE" w:rsidRDefault="00D535CE" w:rsidP="00416010">
            <w:pPr>
              <w:spacing w:after="0" w:line="240" w:lineRule="auto"/>
              <w:ind w:firstLine="0"/>
              <w:rPr>
                <w:rFonts w:eastAsia="Times New Roman" w:cs="Times New Roman"/>
                <w:sz w:val="20"/>
                <w:szCs w:val="20"/>
              </w:rPr>
            </w:pPr>
            <w:r>
              <w:rPr>
                <w:rFonts w:eastAsia="Times New Roman" w:cs="Times New Roman"/>
                <w:color w:val="000000"/>
                <w:sz w:val="20"/>
                <w:szCs w:val="20"/>
              </w:rPr>
              <w:t>primar</w:t>
            </w:r>
          </w:p>
          <w:p w14:paraId="7E4DD975" w14:textId="77777777" w:rsidR="00D535CE" w:rsidRDefault="00D535CE" w:rsidP="00416010">
            <w:pPr>
              <w:spacing w:after="0" w:line="240" w:lineRule="auto"/>
              <w:ind w:firstLine="0"/>
              <w:rPr>
                <w:rFonts w:eastAsia="Times New Roman" w:cs="Times New Roman"/>
                <w:sz w:val="20"/>
                <w:szCs w:val="20"/>
              </w:rPr>
            </w:pPr>
            <w:r>
              <w:rPr>
                <w:rFonts w:eastAsia="Times New Roman" w:cs="Times New Roman"/>
                <w:color w:val="000000"/>
                <w:sz w:val="20"/>
                <w:szCs w:val="20"/>
              </w:rPr>
              <w:t>secundar</w:t>
            </w:r>
          </w:p>
        </w:tc>
      </w:tr>
      <w:tr w:rsidR="00D535CE" w14:paraId="73F0D2DA" w14:textId="77777777" w:rsidTr="00D46EB7">
        <w:trPr>
          <w:trHeight w:val="20"/>
        </w:trPr>
        <w:tc>
          <w:tcPr>
            <w:tcW w:w="10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48A298" w14:textId="77777777" w:rsidR="00D535CE" w:rsidRDefault="00D535CE" w:rsidP="00416010">
            <w:pPr>
              <w:spacing w:after="0" w:line="240" w:lineRule="auto"/>
              <w:ind w:firstLine="0"/>
              <w:rPr>
                <w:rFonts w:eastAsia="Times New Roman" w:cs="Times New Roman"/>
                <w:sz w:val="20"/>
                <w:szCs w:val="20"/>
              </w:rPr>
            </w:pPr>
            <w:r>
              <w:rPr>
                <w:rFonts w:eastAsia="Times New Roman" w:cs="Times New Roman"/>
                <w:color w:val="000000"/>
                <w:sz w:val="20"/>
                <w:szCs w:val="20"/>
              </w:rPr>
              <w:t>Murighiol</w:t>
            </w:r>
          </w:p>
        </w:tc>
        <w:tc>
          <w:tcPr>
            <w:tcW w:w="19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9266C0" w14:textId="77777777" w:rsidR="00D535CE" w:rsidRDefault="00D535CE" w:rsidP="00416010">
            <w:pPr>
              <w:spacing w:after="0" w:line="240" w:lineRule="auto"/>
              <w:ind w:firstLine="0"/>
              <w:rPr>
                <w:rFonts w:eastAsia="Times New Roman" w:cs="Times New Roman"/>
                <w:sz w:val="20"/>
                <w:szCs w:val="20"/>
              </w:rPr>
            </w:pPr>
            <w:r>
              <w:rPr>
                <w:rFonts w:eastAsia="Times New Roman" w:cs="Times New Roman"/>
                <w:color w:val="000000"/>
                <w:sz w:val="20"/>
                <w:szCs w:val="20"/>
              </w:rPr>
              <w:t>ROWP_160920_01</w:t>
            </w:r>
          </w:p>
        </w:tc>
        <w:tc>
          <w:tcPr>
            <w:tcW w:w="1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7CC32B" w14:textId="77777777" w:rsidR="00D535CE" w:rsidRDefault="00D535CE" w:rsidP="00416010">
            <w:pPr>
              <w:spacing w:after="0" w:line="240" w:lineRule="auto"/>
              <w:ind w:firstLine="0"/>
              <w:rPr>
                <w:rFonts w:eastAsia="Times New Roman" w:cs="Times New Roman"/>
                <w:sz w:val="20"/>
                <w:szCs w:val="20"/>
              </w:rPr>
            </w:pPr>
            <w:r>
              <w:rPr>
                <w:rFonts w:eastAsia="Times New Roman" w:cs="Times New Roman"/>
                <w:color w:val="000000"/>
                <w:sz w:val="20"/>
                <w:szCs w:val="20"/>
              </w:rPr>
              <w:t>SC Utilități si Servicii Publice Murighiol</w:t>
            </w:r>
          </w:p>
        </w:tc>
        <w:tc>
          <w:tcPr>
            <w:tcW w:w="14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582649" w14:textId="77777777" w:rsidR="00D535CE" w:rsidRDefault="00D535CE" w:rsidP="00416010">
            <w:pPr>
              <w:spacing w:after="0" w:line="240" w:lineRule="auto"/>
              <w:ind w:firstLine="0"/>
              <w:jc w:val="center"/>
              <w:rPr>
                <w:rFonts w:eastAsia="Times New Roman" w:cs="Times New Roman"/>
                <w:sz w:val="20"/>
                <w:szCs w:val="20"/>
              </w:rPr>
            </w:pPr>
            <w:r>
              <w:rPr>
                <w:rFonts w:eastAsia="Times New Roman" w:cs="Times New Roman"/>
                <w:color w:val="000000"/>
                <w:sz w:val="20"/>
                <w:szCs w:val="20"/>
              </w:rPr>
              <w:t>3.217</w:t>
            </w:r>
          </w:p>
        </w:tc>
        <w:tc>
          <w:tcPr>
            <w:tcW w:w="20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C173F1" w14:textId="77777777" w:rsidR="00D535CE" w:rsidRDefault="00D535CE" w:rsidP="00416010">
            <w:pPr>
              <w:spacing w:after="0" w:line="240" w:lineRule="auto"/>
              <w:ind w:firstLine="34"/>
              <w:jc w:val="center"/>
              <w:rPr>
                <w:rFonts w:eastAsia="Times New Roman" w:cs="Times New Roman"/>
                <w:sz w:val="20"/>
                <w:szCs w:val="20"/>
              </w:rPr>
            </w:pPr>
            <w:r>
              <w:rPr>
                <w:rFonts w:eastAsia="Times New Roman" w:cs="Times New Roman"/>
                <w:color w:val="000000"/>
                <w:sz w:val="20"/>
                <w:szCs w:val="20"/>
              </w:rPr>
              <w:t>11,1</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89D1F3" w14:textId="77777777" w:rsidR="00D535CE" w:rsidRDefault="00D535CE" w:rsidP="00416010">
            <w:pPr>
              <w:spacing w:after="0" w:line="240" w:lineRule="auto"/>
              <w:ind w:firstLine="0"/>
              <w:rPr>
                <w:rFonts w:eastAsia="Times New Roman" w:cs="Times New Roman"/>
                <w:sz w:val="20"/>
                <w:szCs w:val="20"/>
              </w:rPr>
            </w:pPr>
            <w:r>
              <w:rPr>
                <w:rFonts w:eastAsia="Times New Roman" w:cs="Times New Roman"/>
                <w:color w:val="000000"/>
                <w:sz w:val="20"/>
                <w:szCs w:val="20"/>
              </w:rPr>
              <w:t>primar</w:t>
            </w:r>
          </w:p>
          <w:p w14:paraId="7C48123E" w14:textId="77777777" w:rsidR="00D535CE" w:rsidRDefault="00D535CE" w:rsidP="00416010">
            <w:pPr>
              <w:spacing w:after="0" w:line="240" w:lineRule="auto"/>
              <w:ind w:firstLine="0"/>
              <w:rPr>
                <w:rFonts w:eastAsia="Times New Roman" w:cs="Times New Roman"/>
                <w:sz w:val="20"/>
                <w:szCs w:val="20"/>
              </w:rPr>
            </w:pPr>
            <w:r>
              <w:rPr>
                <w:rFonts w:eastAsia="Times New Roman" w:cs="Times New Roman"/>
                <w:color w:val="000000"/>
                <w:sz w:val="20"/>
                <w:szCs w:val="20"/>
              </w:rPr>
              <w:t>secundar</w:t>
            </w:r>
          </w:p>
        </w:tc>
      </w:tr>
      <w:tr w:rsidR="00D535CE" w14:paraId="37EC1BD5" w14:textId="77777777" w:rsidTr="00D46EB7">
        <w:trPr>
          <w:trHeight w:val="20"/>
        </w:trPr>
        <w:tc>
          <w:tcPr>
            <w:tcW w:w="10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D5EF8D" w14:textId="77777777" w:rsidR="00D535CE" w:rsidRDefault="00D535CE" w:rsidP="00416010">
            <w:pPr>
              <w:spacing w:after="0" w:line="240" w:lineRule="auto"/>
              <w:ind w:firstLine="0"/>
              <w:rPr>
                <w:rFonts w:eastAsia="Times New Roman" w:cs="Times New Roman"/>
                <w:sz w:val="20"/>
                <w:szCs w:val="20"/>
              </w:rPr>
            </w:pPr>
            <w:r>
              <w:rPr>
                <w:rFonts w:eastAsia="Times New Roman" w:cs="Times New Roman"/>
                <w:color w:val="000000"/>
                <w:sz w:val="20"/>
                <w:szCs w:val="20"/>
              </w:rPr>
              <w:lastRenderedPageBreak/>
              <w:t>Jurilovca</w:t>
            </w:r>
          </w:p>
        </w:tc>
        <w:tc>
          <w:tcPr>
            <w:tcW w:w="19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53E5E4" w14:textId="77777777" w:rsidR="00D535CE" w:rsidRDefault="00D535CE" w:rsidP="00416010">
            <w:pPr>
              <w:spacing w:after="0" w:line="240" w:lineRule="auto"/>
              <w:ind w:firstLine="0"/>
              <w:rPr>
                <w:rFonts w:eastAsia="Times New Roman" w:cs="Times New Roman"/>
                <w:sz w:val="20"/>
                <w:szCs w:val="20"/>
              </w:rPr>
            </w:pPr>
            <w:r>
              <w:rPr>
                <w:rFonts w:eastAsia="Times New Roman" w:cs="Times New Roman"/>
                <w:color w:val="000000"/>
                <w:sz w:val="20"/>
                <w:szCs w:val="20"/>
              </w:rPr>
              <w:t>ROWP_160653_01</w:t>
            </w:r>
          </w:p>
        </w:tc>
        <w:tc>
          <w:tcPr>
            <w:tcW w:w="1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A7246F" w14:textId="77777777" w:rsidR="00D535CE" w:rsidRDefault="00D535CE" w:rsidP="00416010">
            <w:pPr>
              <w:spacing w:after="0" w:line="240" w:lineRule="auto"/>
              <w:ind w:firstLine="0"/>
              <w:rPr>
                <w:rFonts w:eastAsia="Times New Roman" w:cs="Times New Roman"/>
                <w:sz w:val="20"/>
                <w:szCs w:val="20"/>
              </w:rPr>
            </w:pPr>
            <w:r>
              <w:rPr>
                <w:rFonts w:eastAsia="Times New Roman" w:cs="Times New Roman"/>
                <w:color w:val="000000"/>
                <w:sz w:val="20"/>
                <w:szCs w:val="20"/>
              </w:rPr>
              <w:t>Primăria Jurilovca</w:t>
            </w:r>
          </w:p>
        </w:tc>
        <w:tc>
          <w:tcPr>
            <w:tcW w:w="14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2D9089" w14:textId="77777777" w:rsidR="00D535CE" w:rsidRDefault="00D535CE" w:rsidP="00416010">
            <w:pPr>
              <w:spacing w:after="0" w:line="240" w:lineRule="auto"/>
              <w:ind w:firstLine="0"/>
              <w:jc w:val="center"/>
              <w:rPr>
                <w:rFonts w:eastAsia="Times New Roman" w:cs="Times New Roman"/>
                <w:sz w:val="20"/>
                <w:szCs w:val="20"/>
              </w:rPr>
            </w:pPr>
            <w:r>
              <w:rPr>
                <w:rFonts w:eastAsia="Times New Roman" w:cs="Times New Roman"/>
                <w:color w:val="000000"/>
                <w:sz w:val="20"/>
                <w:szCs w:val="20"/>
              </w:rPr>
              <w:t>3.935</w:t>
            </w:r>
          </w:p>
        </w:tc>
        <w:tc>
          <w:tcPr>
            <w:tcW w:w="20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0ECC49" w14:textId="77777777" w:rsidR="00D535CE" w:rsidRDefault="00D535CE" w:rsidP="00416010">
            <w:pPr>
              <w:spacing w:after="0" w:line="240" w:lineRule="auto"/>
              <w:ind w:firstLine="34"/>
              <w:jc w:val="center"/>
              <w:rPr>
                <w:rFonts w:eastAsia="Times New Roman" w:cs="Times New Roman"/>
                <w:sz w:val="20"/>
                <w:szCs w:val="20"/>
              </w:rPr>
            </w:pPr>
            <w:r>
              <w:rPr>
                <w:rFonts w:eastAsia="Times New Roman" w:cs="Times New Roman"/>
                <w:color w:val="000000"/>
                <w:sz w:val="20"/>
                <w:szCs w:val="20"/>
              </w:rPr>
              <w:t>30,0</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BFD14F" w14:textId="77777777" w:rsidR="00D535CE" w:rsidRDefault="00D535CE" w:rsidP="00416010">
            <w:pPr>
              <w:spacing w:after="0" w:line="240" w:lineRule="auto"/>
              <w:ind w:firstLine="0"/>
              <w:rPr>
                <w:rFonts w:eastAsia="Times New Roman" w:cs="Times New Roman"/>
                <w:sz w:val="20"/>
                <w:szCs w:val="20"/>
              </w:rPr>
            </w:pPr>
            <w:r>
              <w:rPr>
                <w:rFonts w:eastAsia="Times New Roman" w:cs="Times New Roman"/>
                <w:color w:val="000000"/>
                <w:sz w:val="20"/>
                <w:szCs w:val="20"/>
              </w:rPr>
              <w:t>primar</w:t>
            </w:r>
          </w:p>
          <w:p w14:paraId="64CD6D6F" w14:textId="77777777" w:rsidR="00D535CE" w:rsidRDefault="00D535CE" w:rsidP="00416010">
            <w:pPr>
              <w:spacing w:after="0" w:line="240" w:lineRule="auto"/>
              <w:ind w:firstLine="0"/>
              <w:rPr>
                <w:rFonts w:eastAsia="Times New Roman" w:cs="Times New Roman"/>
                <w:sz w:val="20"/>
                <w:szCs w:val="20"/>
              </w:rPr>
            </w:pPr>
            <w:r>
              <w:rPr>
                <w:rFonts w:eastAsia="Times New Roman" w:cs="Times New Roman"/>
                <w:color w:val="000000"/>
                <w:sz w:val="20"/>
                <w:szCs w:val="20"/>
              </w:rPr>
              <w:t>secundar</w:t>
            </w:r>
          </w:p>
        </w:tc>
      </w:tr>
      <w:tr w:rsidR="00D535CE" w14:paraId="311D66D7" w14:textId="77777777" w:rsidTr="00D46EB7">
        <w:trPr>
          <w:trHeight w:val="20"/>
        </w:trPr>
        <w:tc>
          <w:tcPr>
            <w:tcW w:w="10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F4926B" w14:textId="77777777" w:rsidR="00D535CE" w:rsidRDefault="00D535CE" w:rsidP="00416010">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Sfântu Gheorghe</w:t>
            </w:r>
          </w:p>
        </w:tc>
        <w:tc>
          <w:tcPr>
            <w:tcW w:w="19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A1FD1E" w14:textId="77777777" w:rsidR="00D535CE" w:rsidRDefault="00D535CE" w:rsidP="00416010">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ROWP_161240_01</w:t>
            </w:r>
          </w:p>
        </w:tc>
        <w:tc>
          <w:tcPr>
            <w:tcW w:w="1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78579D" w14:textId="77777777" w:rsidR="00D535CE" w:rsidRDefault="00D535CE" w:rsidP="00416010">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Primăria Sfântu Gheorghe</w:t>
            </w:r>
          </w:p>
        </w:tc>
        <w:tc>
          <w:tcPr>
            <w:tcW w:w="14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C61BA5" w14:textId="77777777" w:rsidR="00D535CE" w:rsidRDefault="00D535CE" w:rsidP="00416010">
            <w:pPr>
              <w:spacing w:after="0" w:line="240" w:lineRule="auto"/>
              <w:ind w:firstLine="0"/>
              <w:jc w:val="center"/>
              <w:rPr>
                <w:rFonts w:eastAsia="Times New Roman" w:cs="Times New Roman"/>
                <w:color w:val="000000"/>
                <w:sz w:val="20"/>
                <w:szCs w:val="20"/>
              </w:rPr>
            </w:pPr>
            <w:r>
              <w:rPr>
                <w:rFonts w:eastAsia="Times New Roman" w:cs="Times New Roman"/>
                <w:color w:val="000000"/>
                <w:sz w:val="20"/>
                <w:szCs w:val="20"/>
              </w:rPr>
              <w:t>639</w:t>
            </w:r>
          </w:p>
        </w:tc>
        <w:tc>
          <w:tcPr>
            <w:tcW w:w="20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1F5B4A" w14:textId="77777777" w:rsidR="00D535CE" w:rsidRDefault="00D535CE" w:rsidP="00416010">
            <w:pPr>
              <w:spacing w:after="0" w:line="240" w:lineRule="auto"/>
              <w:ind w:firstLine="34"/>
              <w:jc w:val="center"/>
              <w:rPr>
                <w:rFonts w:eastAsia="Times New Roman" w:cs="Times New Roman"/>
                <w:color w:val="000000"/>
                <w:sz w:val="20"/>
                <w:szCs w:val="20"/>
              </w:rPr>
            </w:pPr>
            <w:r>
              <w:rPr>
                <w:rFonts w:eastAsia="Times New Roman" w:cs="Times New Roman"/>
                <w:color w:val="000000"/>
                <w:sz w:val="20"/>
                <w:szCs w:val="20"/>
              </w:rPr>
              <w:t>19.33</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FDF143" w14:textId="77777777" w:rsidR="00D535CE" w:rsidRDefault="00D535CE" w:rsidP="00416010">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primar</w:t>
            </w:r>
          </w:p>
        </w:tc>
      </w:tr>
    </w:tbl>
    <w:p w14:paraId="4FFF153B" w14:textId="77777777" w:rsidR="00D535CE" w:rsidRDefault="00D535CE" w:rsidP="00416010">
      <w:pPr>
        <w:spacing w:after="0"/>
        <w:ind w:firstLine="0"/>
        <w:rPr>
          <w:sz w:val="20"/>
          <w:szCs w:val="20"/>
        </w:rPr>
      </w:pPr>
      <w:r>
        <w:rPr>
          <w:color w:val="000000"/>
          <w:sz w:val="18"/>
          <w:szCs w:val="18"/>
        </w:rPr>
        <w:t xml:space="preserve">surse: ANAR și Agenția Europeană de Mediu (2020) </w:t>
      </w:r>
      <w:hyperlink r:id="rId62">
        <w:r>
          <w:rPr>
            <w:color w:val="1155CC"/>
            <w:sz w:val="18"/>
            <w:szCs w:val="18"/>
            <w:u w:val="single"/>
          </w:rPr>
          <w:t>https://tableau-public.discomap.eea.europa.eu/views/Agglomerations</w:t>
        </w:r>
      </w:hyperlink>
      <w:r>
        <w:rPr>
          <w:color w:val="000000"/>
          <w:sz w:val="20"/>
          <w:szCs w:val="20"/>
        </w:rPr>
        <w:t> </w:t>
      </w:r>
    </w:p>
    <w:p w14:paraId="07DE4B15" w14:textId="77777777" w:rsidR="00D535CE" w:rsidRDefault="00D535CE" w:rsidP="00D535CE"/>
    <w:p w14:paraId="75F32584" w14:textId="77777777" w:rsidR="00D535CE" w:rsidRDefault="00D535CE" w:rsidP="00416010">
      <w:pPr>
        <w:spacing w:before="0"/>
        <w:ind w:firstLine="567"/>
        <w:rPr>
          <w:rFonts w:eastAsia="Times New Roman" w:cs="Times New Roman"/>
          <w:color w:val="000000"/>
        </w:rPr>
      </w:pPr>
      <w:r>
        <w:rPr>
          <w:rFonts w:eastAsia="Times New Roman" w:cs="Times New Roman"/>
          <w:color w:val="000000"/>
        </w:rPr>
        <w:t xml:space="preserve">Din punct de vedere al colectării și epurării apelor uzate, situația stă mult mai bine în județul Constanța. UAT-urile din județul Constanța însumează o lungime de 1.591,3 km de conducte de canalizare (anul 2019), față de 1.432,8 km de conducte de canalizare, din anul 2014. </w:t>
      </w:r>
    </w:p>
    <w:p w14:paraId="0BF31E56" w14:textId="7C976802" w:rsidR="00D535CE" w:rsidRDefault="00D535CE" w:rsidP="00416010">
      <w:pPr>
        <w:spacing w:before="0"/>
        <w:ind w:firstLine="567"/>
        <w:rPr>
          <w:rFonts w:eastAsia="Times New Roman" w:cs="Times New Roman"/>
          <w:color w:val="000000"/>
        </w:rPr>
      </w:pPr>
      <w:r>
        <w:rPr>
          <w:rFonts w:eastAsia="Times New Roman" w:cs="Times New Roman"/>
          <w:color w:val="000000"/>
        </w:rPr>
        <w:t xml:space="preserve">În partea sudică a zonei costiere, aferentă județului Constanța, există șase stații de epurare a apelor uzate, în fiecare dintre acestea realizându-se epurarea primară, secundară și terțiară. Cinci dintre aceste stații deservesc unul sau mai multe UAT-uri (Tabel 2.4.8.9.2), iar cea de a șasea deservește strict portul Constanța. </w:t>
      </w:r>
    </w:p>
    <w:p w14:paraId="08DF7395" w14:textId="77777777" w:rsidR="00D535CE" w:rsidRDefault="00D535CE" w:rsidP="00416010">
      <w:pPr>
        <w:spacing w:before="0"/>
        <w:ind w:firstLine="567"/>
        <w:rPr>
          <w:rFonts w:eastAsia="Times New Roman" w:cs="Times New Roman"/>
          <w:color w:val="000000"/>
        </w:rPr>
      </w:pPr>
      <w:r>
        <w:rPr>
          <w:rFonts w:eastAsia="Times New Roman" w:cs="Times New Roman"/>
          <w:color w:val="000000"/>
        </w:rPr>
        <w:t>UAT Constanța este deservit de două stații de epurare a apei uzate, respectiv Constanța Sud și Constanța Nord, care colectează și epurează apele uzate în proporție de 100 %. Stația de epurare a apei uzate Constanța-Sud, cea mai mare din zona costieră, deservește circa 70 % din populația municipiului Constanța. Staţia de epurare Constanţa-Nord asigură capacitatea de epurare a apelor uzate pentru zona de nord a municipiului Constanța, dar și pentru stațiunea Mamaia, tratând, în principal, ape uzate menajere. Apele epurate sunt deversate printr-o conductă în mare, la circa 4 km de țărm. Portul Constanța este deservit de propria stație de epurare, situată la dana 79 (în vecinătatea platformei terminalului de produse petroliere), cu o capacitate de 814.000 m</w:t>
      </w:r>
      <w:r>
        <w:rPr>
          <w:rFonts w:eastAsia="Times New Roman" w:cs="Times New Roman"/>
          <w:color w:val="000000"/>
          <w:vertAlign w:val="superscript"/>
        </w:rPr>
        <w:t>3</w:t>
      </w:r>
      <w:r>
        <w:rPr>
          <w:rFonts w:eastAsia="Times New Roman" w:cs="Times New Roman"/>
          <w:color w:val="000000"/>
        </w:rPr>
        <w:t>/an, cu mult peste nevoile actuale ale Portului Constanţa.</w:t>
      </w:r>
    </w:p>
    <w:p w14:paraId="7F61C04A" w14:textId="77777777" w:rsidR="00D535CE" w:rsidRDefault="00D535CE" w:rsidP="00416010">
      <w:pPr>
        <w:spacing w:before="0"/>
        <w:ind w:firstLine="567"/>
        <w:rPr>
          <w:rFonts w:eastAsia="Times New Roman" w:cs="Times New Roman"/>
          <w:color w:val="000000"/>
        </w:rPr>
      </w:pPr>
      <w:r>
        <w:rPr>
          <w:rFonts w:eastAsia="Times New Roman" w:cs="Times New Roman"/>
          <w:color w:val="000000"/>
        </w:rPr>
        <w:t>Stația de epurare SC Rompetrol Rafinare S.A deservește UAT-urile Năvodari, Corbu și Lumina (cea din urmă UAT este situată în afara zonei costiere). Categoriile de ape uzate care ajung la stația de epurare includ: apa menajeră (inclusiv din instalaţiile Rompetrol Energy și din localitățile Năvodari și Corbu); apa meteorică; apa din sistemul de răcire și apă impură din punct de vedere chimic. Toate apele uzate (chimice, meteorice și menajere) de pe amplasament sunt direcționate către stația de epurare finală. Apa tratată este evacuată prin Pârâul Buhaz, în Marea Neagră. Conform datelor furnizate de Agenția Europeană de Mediu pentru 2020, rata de colectare și epurare a apei uzate din UAT Corbu este de doar 5,4 % (încărcarea colectată și epurată fiind 307 p.e, iar cea generată la de 5.689 p.e). În UAT Năvodari, rata de colectare și epurare a apei uzate este de 86,73 % (încărcarea generată la nivel de UAT - 50.866 p.e, iar cea colectată și epurată - 44.116 p.e.).</w:t>
      </w:r>
    </w:p>
    <w:p w14:paraId="641ADAAE" w14:textId="77777777" w:rsidR="00D535CE" w:rsidRDefault="00D535CE" w:rsidP="00416010">
      <w:pPr>
        <w:spacing w:before="0"/>
        <w:ind w:firstLine="567"/>
        <w:rPr>
          <w:rFonts w:eastAsia="Times New Roman" w:cs="Times New Roman"/>
          <w:color w:val="000000"/>
        </w:rPr>
      </w:pPr>
      <w:r>
        <w:rPr>
          <w:rFonts w:eastAsia="Times New Roman" w:cs="Times New Roman"/>
          <w:color w:val="000000"/>
        </w:rPr>
        <w:t xml:space="preserve">UAT Agigea este deservită de stația de epurare Eforie Sud, la fel ca și UAT-urile Eforie, Techirghiol, Tuzla și Costinești. Dacă în UAT-urile Eforie și Costinești, rata de colectare și epurare a apei uzate este 100 % (încărcarea colectată și epurată în Eforie - 50.004 p.e, iar în Costinești - 7.291 p.e), în celelalte UAT-uri deservite, ratele de colectare și epurare a apelor uzate au fost 38 % în Agigea (încărcarea generată - 6.486 p.e., iar cea colectată și epurată - 2.445 p.e), 30 % în Tuzla (încărcarea generată - 6.566 p.e., iar cea colectată și epurată - 1.970 </w:t>
      </w:r>
      <w:r>
        <w:rPr>
          <w:rFonts w:eastAsia="Times New Roman" w:cs="Times New Roman"/>
          <w:color w:val="000000"/>
        </w:rPr>
        <w:lastRenderedPageBreak/>
        <w:t>p.e.) și 66 % în Techirghiol (încărcarea generată - 7.795 p.e., iar cea colectată și epurată - 5.145 p.e.). Apele epurate sunt evacuate în Marea Neagră printr-o conductă de 2 km.</w:t>
      </w:r>
    </w:p>
    <w:p w14:paraId="75443287" w14:textId="77777777" w:rsidR="00D535CE" w:rsidRDefault="00D535CE" w:rsidP="00416010">
      <w:pPr>
        <w:spacing w:before="0"/>
        <w:ind w:firstLine="567"/>
        <w:rPr>
          <w:rFonts w:eastAsia="Times New Roman" w:cs="Times New Roman"/>
          <w:color w:val="000000"/>
        </w:rPr>
      </w:pPr>
      <w:r>
        <w:rPr>
          <w:rFonts w:eastAsia="Times New Roman" w:cs="Times New Roman"/>
          <w:color w:val="000000"/>
        </w:rPr>
        <w:t>La nivelul UAT Mangalia, colectarea și epurarea apelor uzate se realizează în proporție de 97 % încărcarea generată - 85.925 p.e., iar cea colectată și epurată - 82.571 p.e.), în timp ce la nivelul UAT Limanu, în proporție de 68 % (încărcarea generată - 12.725 p.e., iar cea colectată și epurată - 8.653 p.e).</w:t>
      </w:r>
    </w:p>
    <w:p w14:paraId="545365C5" w14:textId="77777777" w:rsidR="00D535CE" w:rsidRDefault="00D535CE" w:rsidP="00D535CE">
      <w:pPr>
        <w:ind w:firstLine="567"/>
      </w:pPr>
    </w:p>
    <w:p w14:paraId="1E7412CE" w14:textId="1D1A6F30" w:rsidR="00D535CE" w:rsidRDefault="00D535CE" w:rsidP="00416010">
      <w:pPr>
        <w:spacing w:before="0" w:after="0"/>
        <w:jc w:val="center"/>
        <w:rPr>
          <w:rFonts w:eastAsia="Times New Roman" w:cs="Times New Roman"/>
        </w:rPr>
      </w:pPr>
      <w:bookmarkStart w:id="107" w:name="_heading=h.3dy6vkm" w:colFirst="0" w:colLast="0"/>
      <w:bookmarkEnd w:id="107"/>
      <w:r>
        <w:rPr>
          <w:rFonts w:eastAsia="Times New Roman" w:cs="Times New Roman"/>
          <w:b/>
          <w:color w:val="000000"/>
        </w:rPr>
        <w:t>Tabel 2.4.8.9.2 Caracteristici ale principalelor stațiilor de epurare din partea central-sudică a zonei costiere</w:t>
      </w:r>
    </w:p>
    <w:tbl>
      <w:tblPr>
        <w:tblW w:w="9339" w:type="dxa"/>
        <w:tblLayout w:type="fixed"/>
        <w:tblLook w:val="0400" w:firstRow="0" w:lastRow="0" w:firstColumn="0" w:lastColumn="0" w:noHBand="0" w:noVBand="1"/>
      </w:tblPr>
      <w:tblGrid>
        <w:gridCol w:w="2028"/>
        <w:gridCol w:w="1525"/>
        <w:gridCol w:w="1215"/>
        <w:gridCol w:w="1105"/>
        <w:gridCol w:w="2177"/>
        <w:gridCol w:w="1289"/>
      </w:tblGrid>
      <w:tr w:rsidR="00D535CE" w14:paraId="1C79A6AC" w14:textId="77777777" w:rsidTr="00D46EB7">
        <w:trPr>
          <w:trHeight w:val="20"/>
        </w:trPr>
        <w:tc>
          <w:tcPr>
            <w:tcW w:w="2028"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66023350"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b/>
                <w:color w:val="000000"/>
                <w:sz w:val="20"/>
                <w:szCs w:val="20"/>
              </w:rPr>
              <w:t>Stație epurare/ID stație</w:t>
            </w:r>
          </w:p>
        </w:tc>
        <w:tc>
          <w:tcPr>
            <w:tcW w:w="1525"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7D777307"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b/>
                <w:color w:val="000000"/>
                <w:sz w:val="20"/>
                <w:szCs w:val="20"/>
              </w:rPr>
              <w:t>Operator</w:t>
            </w:r>
          </w:p>
        </w:tc>
        <w:tc>
          <w:tcPr>
            <w:tcW w:w="1215"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6A84D41E"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b/>
                <w:color w:val="000000"/>
                <w:sz w:val="20"/>
                <w:szCs w:val="20"/>
              </w:rPr>
              <w:t>Capacitate</w:t>
            </w:r>
          </w:p>
          <w:p w14:paraId="04CA776A" w14:textId="77777777" w:rsidR="00D535CE" w:rsidRDefault="00D535CE" w:rsidP="00D535CE">
            <w:pPr>
              <w:spacing w:before="0" w:after="0" w:line="240" w:lineRule="auto"/>
              <w:jc w:val="center"/>
              <w:rPr>
                <w:rFonts w:eastAsia="Times New Roman" w:cs="Times New Roman"/>
                <w:sz w:val="20"/>
                <w:szCs w:val="20"/>
              </w:rPr>
            </w:pPr>
            <w:r>
              <w:rPr>
                <w:rFonts w:eastAsia="Times New Roman" w:cs="Times New Roman"/>
                <w:b/>
                <w:color w:val="000000"/>
                <w:sz w:val="20"/>
                <w:szCs w:val="20"/>
              </w:rPr>
              <w:t>p.e</w:t>
            </w:r>
          </w:p>
        </w:tc>
        <w:tc>
          <w:tcPr>
            <w:tcW w:w="1105"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6653E24A"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b/>
                <w:color w:val="000000"/>
                <w:sz w:val="20"/>
                <w:szCs w:val="20"/>
              </w:rPr>
              <w:t>Încărcare intrată</w:t>
            </w:r>
          </w:p>
          <w:p w14:paraId="3B1D2758" w14:textId="77777777" w:rsidR="00D535CE" w:rsidRDefault="00D535CE" w:rsidP="00D535CE">
            <w:pPr>
              <w:spacing w:before="0" w:after="0" w:line="240" w:lineRule="auto"/>
              <w:jc w:val="center"/>
              <w:rPr>
                <w:rFonts w:eastAsia="Times New Roman" w:cs="Times New Roman"/>
                <w:sz w:val="20"/>
                <w:szCs w:val="20"/>
              </w:rPr>
            </w:pPr>
            <w:r>
              <w:rPr>
                <w:rFonts w:eastAsia="Times New Roman" w:cs="Times New Roman"/>
                <w:b/>
                <w:color w:val="000000"/>
                <w:sz w:val="20"/>
                <w:szCs w:val="20"/>
              </w:rPr>
              <w:t>p.e.</w:t>
            </w:r>
          </w:p>
        </w:tc>
        <w:tc>
          <w:tcPr>
            <w:tcW w:w="2177"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687B3B79"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b/>
                <w:color w:val="000000"/>
                <w:sz w:val="20"/>
                <w:szCs w:val="20"/>
              </w:rPr>
              <w:t>Q epurare a stației (mc ape uzate epurate/zi) </w:t>
            </w:r>
          </w:p>
        </w:tc>
        <w:tc>
          <w:tcPr>
            <w:tcW w:w="1289"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tcPr>
          <w:p w14:paraId="5AA58F5C"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b/>
                <w:color w:val="000000"/>
                <w:sz w:val="20"/>
                <w:szCs w:val="20"/>
              </w:rPr>
              <w:t>Aglomeraredeservită</w:t>
            </w:r>
          </w:p>
        </w:tc>
      </w:tr>
      <w:tr w:rsidR="00D535CE" w14:paraId="587FA3C8" w14:textId="77777777" w:rsidTr="00D46EB7">
        <w:trPr>
          <w:trHeight w:val="20"/>
        </w:trPr>
        <w:tc>
          <w:tcPr>
            <w:tcW w:w="20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FBDDB2"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ROWPI_10508_01</w:t>
            </w:r>
          </w:p>
        </w:tc>
        <w:tc>
          <w:tcPr>
            <w:tcW w:w="15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749489"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SC Rompetrol Rafinare SA</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731F51"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50.866</w:t>
            </w:r>
          </w:p>
        </w:tc>
        <w:tc>
          <w:tcPr>
            <w:tcW w:w="11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854536"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44.166</w:t>
            </w:r>
          </w:p>
        </w:tc>
        <w:tc>
          <w:tcPr>
            <w:tcW w:w="21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BCF9D8"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date nedisponibile</w:t>
            </w:r>
          </w:p>
        </w:tc>
        <w:tc>
          <w:tcPr>
            <w:tcW w:w="12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C9830C"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Năvodari</w:t>
            </w:r>
          </w:p>
          <w:p w14:paraId="3CB54A50" w14:textId="77777777" w:rsidR="00D535CE" w:rsidRDefault="00D535CE" w:rsidP="00D535CE">
            <w:pPr>
              <w:spacing w:before="0" w:after="0" w:line="240" w:lineRule="auto"/>
              <w:ind w:firstLine="0"/>
              <w:rPr>
                <w:rFonts w:eastAsia="Times New Roman" w:cs="Times New Roman"/>
                <w:color w:val="000000"/>
                <w:sz w:val="20"/>
                <w:szCs w:val="20"/>
              </w:rPr>
            </w:pPr>
            <w:r>
              <w:rPr>
                <w:rFonts w:eastAsia="Times New Roman" w:cs="Times New Roman"/>
                <w:color w:val="000000"/>
                <w:sz w:val="20"/>
                <w:szCs w:val="20"/>
              </w:rPr>
              <w:t>Corbu</w:t>
            </w:r>
          </w:p>
          <w:p w14:paraId="11F0A892"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Lumina</w:t>
            </w:r>
          </w:p>
        </w:tc>
      </w:tr>
      <w:tr w:rsidR="00D535CE" w14:paraId="439CEB72" w14:textId="77777777" w:rsidTr="00D46EB7">
        <w:trPr>
          <w:trHeight w:val="20"/>
        </w:trPr>
        <w:tc>
          <w:tcPr>
            <w:tcW w:w="20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BE03E9" w14:textId="182160CD"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Constanța</w:t>
            </w:r>
            <w:r>
              <w:rPr>
                <w:rFonts w:eastAsia="Times New Roman" w:cs="Times New Roman"/>
                <w:sz w:val="20"/>
                <w:szCs w:val="20"/>
              </w:rPr>
              <w:t xml:space="preserve"> </w:t>
            </w:r>
            <w:r>
              <w:rPr>
                <w:rFonts w:eastAsia="Times New Roman" w:cs="Times New Roman"/>
                <w:color w:val="000000"/>
                <w:sz w:val="20"/>
                <w:szCs w:val="20"/>
              </w:rPr>
              <w:t>Sud</w:t>
            </w:r>
          </w:p>
          <w:p w14:paraId="33A8CDD9"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RO2CT_59</w:t>
            </w:r>
          </w:p>
        </w:tc>
        <w:tc>
          <w:tcPr>
            <w:tcW w:w="15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EDCD41"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RAJA SA</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E82522"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451.600</w:t>
            </w:r>
          </w:p>
        </w:tc>
        <w:tc>
          <w:tcPr>
            <w:tcW w:w="11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E56032"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399.748</w:t>
            </w:r>
          </w:p>
        </w:tc>
        <w:tc>
          <w:tcPr>
            <w:tcW w:w="21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A825A5"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276.480 </w:t>
            </w:r>
          </w:p>
        </w:tc>
        <w:tc>
          <w:tcPr>
            <w:tcW w:w="12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B90FB8"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Constanța</w:t>
            </w:r>
          </w:p>
        </w:tc>
      </w:tr>
      <w:tr w:rsidR="00D535CE" w14:paraId="470B8D8E" w14:textId="77777777" w:rsidTr="00D46EB7">
        <w:trPr>
          <w:trHeight w:val="20"/>
        </w:trPr>
        <w:tc>
          <w:tcPr>
            <w:tcW w:w="20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0159F0"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Constanța Nord</w:t>
            </w:r>
          </w:p>
          <w:p w14:paraId="2CE4511D"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RO2CT_510</w:t>
            </w:r>
          </w:p>
        </w:tc>
        <w:tc>
          <w:tcPr>
            <w:tcW w:w="15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088200"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RAJA SA</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702A3E"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255.000</w:t>
            </w:r>
          </w:p>
        </w:tc>
        <w:tc>
          <w:tcPr>
            <w:tcW w:w="11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116A1B"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197.411</w:t>
            </w:r>
          </w:p>
        </w:tc>
        <w:tc>
          <w:tcPr>
            <w:tcW w:w="21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2088FD"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165.888 </w:t>
            </w:r>
          </w:p>
        </w:tc>
        <w:tc>
          <w:tcPr>
            <w:tcW w:w="12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34436D"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Constanța</w:t>
            </w:r>
          </w:p>
        </w:tc>
      </w:tr>
      <w:tr w:rsidR="00D535CE" w14:paraId="4973BAF5" w14:textId="77777777" w:rsidTr="00D46EB7">
        <w:trPr>
          <w:trHeight w:val="20"/>
        </w:trPr>
        <w:tc>
          <w:tcPr>
            <w:tcW w:w="20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425C13"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Eforie Sud RO2CT_511</w:t>
            </w:r>
          </w:p>
        </w:tc>
        <w:tc>
          <w:tcPr>
            <w:tcW w:w="15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D3166E"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RAJA SA</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101F0E"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140.000</w:t>
            </w:r>
          </w:p>
        </w:tc>
        <w:tc>
          <w:tcPr>
            <w:tcW w:w="11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840C31"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64.209</w:t>
            </w:r>
          </w:p>
        </w:tc>
        <w:tc>
          <w:tcPr>
            <w:tcW w:w="21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D47ECE"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43.200</w:t>
            </w:r>
          </w:p>
        </w:tc>
        <w:tc>
          <w:tcPr>
            <w:tcW w:w="12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118EDC"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Agigea</w:t>
            </w:r>
          </w:p>
          <w:p w14:paraId="42A26896"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Eforie</w:t>
            </w:r>
          </w:p>
          <w:p w14:paraId="6B931416"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Techirghiol</w:t>
            </w:r>
          </w:p>
          <w:p w14:paraId="047688C8"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Tuzla</w:t>
            </w:r>
          </w:p>
          <w:p w14:paraId="526A0CA3"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Costinești</w:t>
            </w:r>
          </w:p>
        </w:tc>
      </w:tr>
      <w:tr w:rsidR="00D535CE" w14:paraId="4D630E2B" w14:textId="77777777" w:rsidTr="00D46EB7">
        <w:trPr>
          <w:trHeight w:val="20"/>
        </w:trPr>
        <w:tc>
          <w:tcPr>
            <w:tcW w:w="20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D81880"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Mangalia</w:t>
            </w:r>
          </w:p>
          <w:p w14:paraId="3830DBFD"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RO2CT_56</w:t>
            </w:r>
          </w:p>
        </w:tc>
        <w:tc>
          <w:tcPr>
            <w:tcW w:w="15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744B8E"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RAJA SA</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836DD7"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110.000</w:t>
            </w:r>
          </w:p>
        </w:tc>
        <w:tc>
          <w:tcPr>
            <w:tcW w:w="11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19901E"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94.310</w:t>
            </w:r>
          </w:p>
        </w:tc>
        <w:tc>
          <w:tcPr>
            <w:tcW w:w="21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BAC5E3"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77.760</w:t>
            </w:r>
          </w:p>
        </w:tc>
        <w:tc>
          <w:tcPr>
            <w:tcW w:w="12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465A06"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Mangalia</w:t>
            </w:r>
          </w:p>
          <w:p w14:paraId="6EF879BC"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Limanu</w:t>
            </w:r>
          </w:p>
        </w:tc>
      </w:tr>
    </w:tbl>
    <w:p w14:paraId="234F0B0B" w14:textId="77777777" w:rsidR="00D535CE" w:rsidRDefault="00D535CE" w:rsidP="00D535CE">
      <w:pPr>
        <w:ind w:firstLine="0"/>
        <w:rPr>
          <w:rFonts w:eastAsia="Times New Roman" w:cs="Times New Roman"/>
          <w:color w:val="000000"/>
          <w:sz w:val="20"/>
          <w:szCs w:val="20"/>
        </w:rPr>
      </w:pPr>
      <w:r>
        <w:rPr>
          <w:rFonts w:eastAsia="Times New Roman" w:cs="Times New Roman"/>
          <w:color w:val="000000"/>
          <w:sz w:val="20"/>
          <w:szCs w:val="20"/>
        </w:rPr>
        <w:t xml:space="preserve">sursa: Agenția Europeană de Mediu (2018) </w:t>
      </w:r>
      <w:hyperlink r:id="rId63">
        <w:r>
          <w:rPr>
            <w:rFonts w:eastAsia="Times New Roman" w:cs="Times New Roman"/>
            <w:color w:val="0000FF"/>
            <w:sz w:val="20"/>
            <w:szCs w:val="20"/>
            <w:u w:val="single"/>
          </w:rPr>
          <w:t>https://tableaupublic.discomap.eea.europa.eu/views/Agglomerations</w:t>
        </w:r>
      </w:hyperlink>
      <w:r>
        <w:rPr>
          <w:rFonts w:eastAsia="Times New Roman" w:cs="Times New Roman"/>
          <w:color w:val="000000"/>
          <w:sz w:val="20"/>
          <w:szCs w:val="20"/>
        </w:rPr>
        <w:t> </w:t>
      </w:r>
    </w:p>
    <w:p w14:paraId="23F18275" w14:textId="3D86F0CE" w:rsidR="00D535CE" w:rsidRPr="00D535CE" w:rsidRDefault="00D535CE" w:rsidP="00D535CE">
      <w:pPr>
        <w:rPr>
          <w:rFonts w:eastAsia="Times New Roman" w:cs="Times New Roman"/>
        </w:rPr>
      </w:pPr>
      <w:r>
        <w:rPr>
          <w:rFonts w:eastAsia="Times New Roman" w:cs="Times New Roman"/>
          <w:color w:val="000000"/>
          <w:sz w:val="20"/>
          <w:szCs w:val="20"/>
        </w:rPr>
        <w:t xml:space="preserve"> </w:t>
      </w:r>
    </w:p>
    <w:p w14:paraId="032678AE" w14:textId="4FC38F78" w:rsidR="00D535CE" w:rsidRDefault="00D535CE" w:rsidP="00D535CE">
      <w:pPr>
        <w:ind w:firstLine="567"/>
        <w:rPr>
          <w:rFonts w:eastAsia="Times New Roman" w:cs="Times New Roman"/>
          <w:color w:val="000000"/>
        </w:rPr>
      </w:pPr>
      <w:r>
        <w:rPr>
          <w:rFonts w:eastAsia="Times New Roman" w:cs="Times New Roman"/>
          <w:color w:val="000000"/>
        </w:rPr>
        <w:t xml:space="preserve">Referitor la tendințe, Tabelul 2.4.8.9.3 prezintă volumele de apă uzată epurată </w:t>
      </w:r>
      <w:r>
        <w:rPr>
          <w:rFonts w:eastAsia="Times New Roman" w:cs="Times New Roman"/>
        </w:rPr>
        <w:t>și</w:t>
      </w:r>
      <w:r>
        <w:rPr>
          <w:rFonts w:eastAsia="Times New Roman" w:cs="Times New Roman"/>
          <w:color w:val="000000"/>
        </w:rPr>
        <w:t xml:space="preserve"> evacuată, exprimate în mc/an, pentru perioada 2015-2021. </w:t>
      </w:r>
    </w:p>
    <w:p w14:paraId="75F06B32" w14:textId="77777777" w:rsidR="00D535CE" w:rsidRDefault="00D535CE" w:rsidP="00D535CE">
      <w:pPr>
        <w:ind w:firstLine="567"/>
      </w:pPr>
    </w:p>
    <w:p w14:paraId="234D6204" w14:textId="6491D6C7" w:rsidR="00D535CE" w:rsidRDefault="00D535CE" w:rsidP="00D535CE">
      <w:pPr>
        <w:jc w:val="center"/>
        <w:rPr>
          <w:rFonts w:eastAsia="Times New Roman" w:cs="Times New Roman"/>
        </w:rPr>
      </w:pPr>
      <w:bookmarkStart w:id="108" w:name="_heading=h.1t3h5sf" w:colFirst="0" w:colLast="0"/>
      <w:bookmarkEnd w:id="108"/>
      <w:r>
        <w:rPr>
          <w:rFonts w:eastAsia="Times New Roman" w:cs="Times New Roman"/>
          <w:b/>
          <w:color w:val="000000"/>
        </w:rPr>
        <w:t>Tabel 2.4.8.9.3 Total apă uzată epurată evacuată (mc/an) (</w:t>
      </w:r>
      <w:r>
        <w:rPr>
          <w:rFonts w:eastAsia="Times New Roman" w:cs="Times New Roman"/>
          <w:i/>
          <w:color w:val="000000"/>
        </w:rPr>
        <w:t>sursa: ANAR – ABADL</w:t>
      </w:r>
      <w:r>
        <w:rPr>
          <w:rFonts w:eastAsia="Times New Roman" w:cs="Times New Roman"/>
          <w:color w:val="000000"/>
        </w:rPr>
        <w:t>)</w:t>
      </w:r>
    </w:p>
    <w:tbl>
      <w:tblPr>
        <w:tblW w:w="9340" w:type="dxa"/>
        <w:tblLayout w:type="fixed"/>
        <w:tblLook w:val="0400" w:firstRow="0" w:lastRow="0" w:firstColumn="0" w:lastColumn="0" w:noHBand="0" w:noVBand="1"/>
      </w:tblPr>
      <w:tblGrid>
        <w:gridCol w:w="1390"/>
        <w:gridCol w:w="1100"/>
        <w:gridCol w:w="1150"/>
        <w:gridCol w:w="1150"/>
        <w:gridCol w:w="1150"/>
        <w:gridCol w:w="1100"/>
        <w:gridCol w:w="1150"/>
        <w:gridCol w:w="1150"/>
      </w:tblGrid>
      <w:tr w:rsidR="00D535CE" w14:paraId="5F07E771" w14:textId="77777777" w:rsidTr="00D46EB7">
        <w:trPr>
          <w:trHeight w:val="254"/>
        </w:trPr>
        <w:tc>
          <w:tcPr>
            <w:tcW w:w="139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B5FFCE"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b/>
                <w:color w:val="000000"/>
                <w:sz w:val="20"/>
                <w:szCs w:val="20"/>
              </w:rPr>
              <w:t>Stația de epurare</w:t>
            </w:r>
          </w:p>
        </w:tc>
        <w:tc>
          <w:tcPr>
            <w:tcW w:w="7950" w:type="dxa"/>
            <w:gridSpan w:val="7"/>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235F32" w14:textId="77777777" w:rsidR="00D535CE" w:rsidRDefault="00D535CE" w:rsidP="00D535CE">
            <w:pPr>
              <w:spacing w:before="0" w:after="0" w:line="240" w:lineRule="auto"/>
              <w:jc w:val="center"/>
              <w:rPr>
                <w:rFonts w:eastAsia="Times New Roman" w:cs="Times New Roman"/>
                <w:sz w:val="20"/>
                <w:szCs w:val="20"/>
              </w:rPr>
            </w:pPr>
            <w:r>
              <w:rPr>
                <w:rFonts w:eastAsia="Times New Roman" w:cs="Times New Roman"/>
                <w:b/>
                <w:color w:val="000000"/>
                <w:sz w:val="20"/>
                <w:szCs w:val="20"/>
              </w:rPr>
              <w:t>Total apă uzată epurată evacuată (mc/an)</w:t>
            </w:r>
          </w:p>
        </w:tc>
      </w:tr>
      <w:tr w:rsidR="00D535CE" w14:paraId="624E7315" w14:textId="77777777" w:rsidTr="00D46EB7">
        <w:trPr>
          <w:trHeight w:val="306"/>
        </w:trPr>
        <w:tc>
          <w:tcPr>
            <w:tcW w:w="13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46B191" w14:textId="77777777" w:rsidR="00D535CE" w:rsidRDefault="00D535CE" w:rsidP="00D535CE">
            <w:pPr>
              <w:widowControl w:val="0"/>
              <w:pBdr>
                <w:top w:val="nil"/>
                <w:left w:val="nil"/>
                <w:bottom w:val="nil"/>
                <w:right w:val="nil"/>
                <w:between w:val="nil"/>
              </w:pBdr>
              <w:spacing w:before="0" w:after="0"/>
              <w:rPr>
                <w:rFonts w:eastAsia="Times New Roman" w:cs="Times New Roman"/>
                <w:sz w:val="20"/>
                <w:szCs w:val="20"/>
              </w:rPr>
            </w:pPr>
          </w:p>
        </w:tc>
        <w:tc>
          <w:tcPr>
            <w:tcW w:w="1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16E783"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b/>
                <w:color w:val="000000"/>
                <w:sz w:val="20"/>
                <w:szCs w:val="20"/>
              </w:rPr>
              <w:t>2015</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BC4C48"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b/>
                <w:color w:val="000000"/>
                <w:sz w:val="20"/>
                <w:szCs w:val="20"/>
              </w:rPr>
              <w:t>2016</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C728C5"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b/>
                <w:color w:val="000000"/>
                <w:sz w:val="20"/>
                <w:szCs w:val="20"/>
              </w:rPr>
              <w:t>2017</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73D367"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b/>
                <w:color w:val="000000"/>
                <w:sz w:val="20"/>
                <w:szCs w:val="20"/>
              </w:rPr>
              <w:t>2018</w:t>
            </w:r>
          </w:p>
        </w:tc>
        <w:tc>
          <w:tcPr>
            <w:tcW w:w="1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81D4FC"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b/>
                <w:color w:val="000000"/>
                <w:sz w:val="20"/>
                <w:szCs w:val="20"/>
              </w:rPr>
              <w:t>2019</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D494B9"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b/>
                <w:color w:val="000000"/>
                <w:sz w:val="20"/>
                <w:szCs w:val="20"/>
              </w:rPr>
              <w:t>2020</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5A5A7E"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b/>
                <w:color w:val="000000"/>
                <w:sz w:val="20"/>
                <w:szCs w:val="20"/>
              </w:rPr>
              <w:t>2021</w:t>
            </w:r>
          </w:p>
        </w:tc>
      </w:tr>
      <w:tr w:rsidR="00D535CE" w14:paraId="4FD4E159" w14:textId="77777777" w:rsidTr="00D46EB7">
        <w:tc>
          <w:tcPr>
            <w:tcW w:w="1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A1C843"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Constanța Sud</w:t>
            </w:r>
          </w:p>
        </w:tc>
        <w:tc>
          <w:tcPr>
            <w:tcW w:w="1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8CB82A"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26.591.816</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81E69F"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28.798.570 </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79208E"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25.011.318 </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E2A34D"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24.197.129 </w:t>
            </w:r>
          </w:p>
        </w:tc>
        <w:tc>
          <w:tcPr>
            <w:tcW w:w="1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9FB843"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24.197.129</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6C9C6A"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23.027.058 </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B93938"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24.695.403 </w:t>
            </w:r>
          </w:p>
        </w:tc>
      </w:tr>
      <w:tr w:rsidR="00D535CE" w14:paraId="1069E18E" w14:textId="77777777" w:rsidTr="00D46EB7">
        <w:tc>
          <w:tcPr>
            <w:tcW w:w="1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D60287"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Constanța Nord</w:t>
            </w:r>
          </w:p>
        </w:tc>
        <w:tc>
          <w:tcPr>
            <w:tcW w:w="1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2BBDCD"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19.792.754</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1D2342"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19.352.704</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DE8740"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20.161.454 </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F767C9"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20.990.841</w:t>
            </w:r>
          </w:p>
        </w:tc>
        <w:tc>
          <w:tcPr>
            <w:tcW w:w="1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555313"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20.990.841</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60DD8F"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20.181.161</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20B919"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22.827.831</w:t>
            </w:r>
          </w:p>
        </w:tc>
      </w:tr>
      <w:tr w:rsidR="00D535CE" w14:paraId="2490A2A7" w14:textId="77777777" w:rsidTr="00D46EB7">
        <w:tc>
          <w:tcPr>
            <w:tcW w:w="1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FEC686"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Eforie Sud</w:t>
            </w:r>
          </w:p>
        </w:tc>
        <w:tc>
          <w:tcPr>
            <w:tcW w:w="1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12D686"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3.768.976</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BCB655"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4.035.806</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ABCB33"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4.070.906</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9F21CB"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4.356.029 </w:t>
            </w:r>
          </w:p>
        </w:tc>
        <w:tc>
          <w:tcPr>
            <w:tcW w:w="1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E0406A"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4.356.029</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13E9EA"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4.002.283 </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0193D2"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4.799.524</w:t>
            </w:r>
          </w:p>
        </w:tc>
      </w:tr>
      <w:tr w:rsidR="00D535CE" w14:paraId="174BB32B" w14:textId="77777777" w:rsidTr="00D46EB7">
        <w:tc>
          <w:tcPr>
            <w:tcW w:w="1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BC9F75"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lastRenderedPageBreak/>
              <w:t>Petromidia</w:t>
            </w:r>
          </w:p>
        </w:tc>
        <w:tc>
          <w:tcPr>
            <w:tcW w:w="1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3E2D95"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6.074.767</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67A46A"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6.581.703</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1B56F1"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7.507.022</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E32C9F"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7.320.987</w:t>
            </w:r>
          </w:p>
        </w:tc>
        <w:tc>
          <w:tcPr>
            <w:tcW w:w="1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33BE22"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6.647.871</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11E72E"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7.031.122</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DEBED4"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8.670092</w:t>
            </w:r>
          </w:p>
        </w:tc>
      </w:tr>
      <w:tr w:rsidR="00D535CE" w14:paraId="42D81927" w14:textId="77777777" w:rsidTr="00D46EB7">
        <w:tc>
          <w:tcPr>
            <w:tcW w:w="1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253E87"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Mangalia</w:t>
            </w:r>
          </w:p>
        </w:tc>
        <w:tc>
          <w:tcPr>
            <w:tcW w:w="1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DCACF2"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4.530.912</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E3629A"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4.950.735</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4AB1F9"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5.010.949</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9A5308"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5.422.679 </w:t>
            </w:r>
          </w:p>
        </w:tc>
        <w:tc>
          <w:tcPr>
            <w:tcW w:w="1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702EDF"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5.422.679</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C32076"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5.554.729</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C14DF1"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5.897.776</w:t>
            </w:r>
          </w:p>
        </w:tc>
      </w:tr>
      <w:tr w:rsidR="00D535CE" w14:paraId="2D2EFE3C" w14:textId="77777777" w:rsidTr="00D46EB7">
        <w:tc>
          <w:tcPr>
            <w:tcW w:w="1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49B7B8"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Jurilovca</w:t>
            </w:r>
          </w:p>
        </w:tc>
        <w:tc>
          <w:tcPr>
            <w:tcW w:w="1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1A03C7" w14:textId="77777777" w:rsidR="00D535CE" w:rsidRDefault="00D535CE" w:rsidP="00D535CE">
            <w:pPr>
              <w:spacing w:before="0" w:after="0" w:line="240" w:lineRule="auto"/>
              <w:rPr>
                <w:rFonts w:eastAsia="Times New Roman" w:cs="Times New Roman"/>
                <w:sz w:val="20"/>
                <w:szCs w:val="20"/>
              </w:rPr>
            </w:pP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0FE5E7" w14:textId="77777777" w:rsidR="00D535CE" w:rsidRDefault="00D535CE" w:rsidP="00D535CE">
            <w:pPr>
              <w:spacing w:before="0" w:after="0" w:line="240" w:lineRule="auto"/>
              <w:rPr>
                <w:rFonts w:eastAsia="Times New Roman" w:cs="Times New Roman"/>
                <w:sz w:val="20"/>
                <w:szCs w:val="20"/>
              </w:rPr>
            </w:pP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F38504" w14:textId="77777777" w:rsidR="00D535CE" w:rsidRDefault="00D535CE" w:rsidP="00D535CE">
            <w:pPr>
              <w:spacing w:before="0" w:after="0" w:line="240" w:lineRule="auto"/>
              <w:rPr>
                <w:rFonts w:eastAsia="Times New Roman" w:cs="Times New Roman"/>
                <w:sz w:val="20"/>
                <w:szCs w:val="20"/>
              </w:rPr>
            </w:pP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42C9D6"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12.630</w:t>
            </w:r>
          </w:p>
        </w:tc>
        <w:tc>
          <w:tcPr>
            <w:tcW w:w="1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45F95A"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59.200</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7BA6AC"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32.182</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B5D811"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24.439</w:t>
            </w:r>
          </w:p>
        </w:tc>
      </w:tr>
      <w:tr w:rsidR="00D535CE" w14:paraId="63CF2597" w14:textId="77777777" w:rsidTr="00D46EB7">
        <w:tc>
          <w:tcPr>
            <w:tcW w:w="1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DC1996"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Sulina</w:t>
            </w:r>
          </w:p>
        </w:tc>
        <w:tc>
          <w:tcPr>
            <w:tcW w:w="1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CE8EDE" w14:textId="77777777" w:rsidR="00D535CE" w:rsidRDefault="00D535CE" w:rsidP="00D535CE">
            <w:pPr>
              <w:spacing w:before="0" w:after="0" w:line="240" w:lineRule="auto"/>
              <w:rPr>
                <w:rFonts w:eastAsia="Times New Roman" w:cs="Times New Roman"/>
                <w:sz w:val="20"/>
                <w:szCs w:val="20"/>
              </w:rPr>
            </w:pP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4BD2C1" w14:textId="77777777" w:rsidR="00D535CE" w:rsidRDefault="00D535CE" w:rsidP="00D535CE">
            <w:pPr>
              <w:spacing w:before="0" w:after="0" w:line="240" w:lineRule="auto"/>
              <w:rPr>
                <w:rFonts w:eastAsia="Times New Roman" w:cs="Times New Roman"/>
                <w:sz w:val="20"/>
                <w:szCs w:val="20"/>
              </w:rPr>
            </w:pP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E13CD6" w14:textId="77777777" w:rsidR="00D535CE" w:rsidRDefault="00D535CE" w:rsidP="00D535CE">
            <w:pPr>
              <w:spacing w:before="0" w:after="0" w:line="240" w:lineRule="auto"/>
              <w:rPr>
                <w:rFonts w:eastAsia="Times New Roman" w:cs="Times New Roman"/>
                <w:sz w:val="20"/>
                <w:szCs w:val="20"/>
              </w:rPr>
            </w:pP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E7A7FF"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45.854</w:t>
            </w:r>
          </w:p>
        </w:tc>
        <w:tc>
          <w:tcPr>
            <w:tcW w:w="1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24BBB4"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56.120</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41A89B"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58.630</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EE0F56" w14:textId="77777777" w:rsidR="00D535CE" w:rsidRDefault="00D535CE" w:rsidP="00D535CE">
            <w:pPr>
              <w:spacing w:before="0" w:after="0" w:line="240" w:lineRule="auto"/>
              <w:ind w:firstLine="0"/>
              <w:rPr>
                <w:rFonts w:eastAsia="Times New Roman" w:cs="Times New Roman"/>
                <w:sz w:val="20"/>
                <w:szCs w:val="20"/>
              </w:rPr>
            </w:pPr>
            <w:r>
              <w:rPr>
                <w:rFonts w:eastAsia="Times New Roman" w:cs="Times New Roman"/>
                <w:color w:val="000000"/>
                <w:sz w:val="20"/>
                <w:szCs w:val="20"/>
              </w:rPr>
              <w:t>95.277</w:t>
            </w:r>
          </w:p>
        </w:tc>
      </w:tr>
    </w:tbl>
    <w:p w14:paraId="1CE1F969" w14:textId="77777777" w:rsidR="00D535CE" w:rsidRDefault="00D535CE" w:rsidP="00D535CE">
      <w:pPr>
        <w:rPr>
          <w:color w:val="000000"/>
        </w:rPr>
      </w:pPr>
      <w:r>
        <w:rPr>
          <w:color w:val="000000"/>
        </w:rPr>
        <w:t> </w:t>
      </w:r>
    </w:p>
    <w:p w14:paraId="2429E5AC" w14:textId="272CD362" w:rsidR="00D535CE" w:rsidRDefault="00D535CE" w:rsidP="00D535CE">
      <w:pPr>
        <w:pStyle w:val="Heading4"/>
        <w:spacing w:before="0" w:after="120"/>
      </w:pPr>
      <w:bookmarkStart w:id="109" w:name="_Toc169625147"/>
      <w:r>
        <w:t>2.4.8.10 Gestionarea deșeurilor</w:t>
      </w:r>
      <w:bookmarkEnd w:id="109"/>
    </w:p>
    <w:p w14:paraId="765CB79F" w14:textId="77777777" w:rsidR="00D535CE" w:rsidRDefault="00D535CE" w:rsidP="00D535CE">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În partea nordică a zonei costiere, aferentă județului Tulcea, colectarea deșeurilor municipale este realizată de doi operatori de salubritate, și anume SC JT GRUP SRL, în marea majoritate a localităților, și SC Utilități Publice Murighiol SRL, în Murighiol (populația deservită - circa 3.500 locuitori), conform datelor furnizate de AJPM Tulcea (2021).</w:t>
      </w:r>
    </w:p>
    <w:p w14:paraId="5DFD3B2E" w14:textId="77777777" w:rsidR="00D535CE" w:rsidRDefault="00D535CE" w:rsidP="00D535CE">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Deșeurile reciclabile sunt colectate de către SC JT Grup SRL și sunt trimise la stația de sortare a deșeurilor reciclabile (în municipiul Tulcea) unde se sortează pe categorii, se balotează (după caz) și se expediază către fabricile de reciclare. Într-o mică măsură se realizează și la Sulina şi Sf. Gheorghe o sortare manuală a deşeurilor depozitate pentru recuperarea deşeurilor reciclabile de tip PET, cât şi a deşeurilor metalice. Stația de sortare de la Sulina deservește UAT-urile Sulina și C.A. Rosetti (7000 tone /an), iar cea de la Sf. Gheorghe deservește doar UAT cu același nume (30 tone/an). Aceste stații sunt și stații de transfer (capacități de 2.700 tone/an, respectiv 125 tone/an), aici fiind dirijat fluxul de deșeuri verzi mixte și a celor stradale către depozitul Mihai Bravu (situat în afara zonei costiere).</w:t>
      </w:r>
    </w:p>
    <w:p w14:paraId="56D44D9E" w14:textId="77777777" w:rsidR="00D535CE" w:rsidRDefault="00D535CE" w:rsidP="00D535CE">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Referitor la deșeuri biodegradabile, în prezent, în judeţul Tulcea nu se realizează o colectare separată a deşeurilor organice din deşeurile municipale generate, ponderea cea mai mare în material biodegradabil fiind deţinută de cantităţile de deşeuri colectate în mediul rural. În cursul anului 2016 a fost realizat, în comuna Jurilovca, un depozit pentru colectarea gunoiului de grajd de la populația locală (în cadrul proiectului „Controlul Integrat al Poluării cu Nutrienţi” Finanţare Adiţională (INPCP-AF) PROGRAM COMPETITIV DE FINANŢARE „Investiţii la Nivelul Comunităţilor Locale pentru Reducerea Poluării cu Nutrienţi”. Cantitatea colectată în 2020 (241 tone) a fost semnificativ mai scăzută comparativ cu anii precedenți (2019 - 632 tone, 2018 - 2.096 tone și 2017 - 967 tone) conform datelor furnizate de AJPM Tulcea (2021).</w:t>
      </w:r>
    </w:p>
    <w:p w14:paraId="29B2948B" w14:textId="77777777" w:rsidR="00D535CE" w:rsidRDefault="00D535CE" w:rsidP="00D535CE">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În partea sudică a zonei costiere, cantitățile de deșeuri generate sunt semnificativ mai ridicate. Depozitele de deșeuri din zona situate strict în zona costieră sunt:</w:t>
      </w:r>
    </w:p>
    <w:p w14:paraId="42F972C9" w14:textId="77777777" w:rsidR="00D535CE" w:rsidRDefault="00D535CE" w:rsidP="00D535CE">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w:t>
      </w:r>
      <w:r>
        <w:rPr>
          <w:rFonts w:eastAsia="Times New Roman" w:cs="Times New Roman"/>
          <w:color w:val="000000"/>
        </w:rPr>
        <w:tab/>
        <w:t xml:space="preserve">depozitul din incinta portului Constanța (administrat de S.C. IRIDEX GROUP IMPORT EXPORT BUCUREȘTI), unde cantitatea de deșeuri menajere și industriale depozitate este de aproximativ 6.000 t/ an. Depozitul deservește cu precădere zona portului, deșeurile depozitate aici provenind de la nave și alte diverse activități portuare. În imediata vecinătate a acestui depozit se află și un incinerator tip H.P 1250 (capacitate estimată de 300 kg/h) unde ar trebui să fie incinerate două categorii de deșeuri, respectiv deșeuri sanitare (cantitate estimată de 350 t/an) și deșeuri infectate de la nave (cantitate estimată de 44 t/an), în conformitate cu prevederile Ordonantei 42/2004 și ale H.G.1218 din 2005 privind constituirea </w:t>
      </w:r>
      <w:r>
        <w:rPr>
          <w:rFonts w:eastAsia="Times New Roman" w:cs="Times New Roman"/>
          <w:color w:val="000000"/>
        </w:rPr>
        <w:lastRenderedPageBreak/>
        <w:t>Comandamentului Antiepizootic Central (CN APM, 2015). Acest incinerator nu a fost și nici nu este funcțional.</w:t>
      </w:r>
    </w:p>
    <w:p w14:paraId="76B55E23" w14:textId="77777777" w:rsidR="00D535CE" w:rsidRDefault="00D535CE" w:rsidP="00D535CE">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w:t>
      </w:r>
      <w:r>
        <w:rPr>
          <w:rFonts w:eastAsia="Times New Roman" w:cs="Times New Roman"/>
          <w:color w:val="000000"/>
        </w:rPr>
        <w:tab/>
        <w:t>depozitul pentru deșeuri nepericuloase din cadrul Centrului de Management al Deșeurilor de la Costinești (operator S.C. IRIDEX SALUBRIZARE S.R.L). La Centrul de Management Integrat al Deșeurilor din localitatea Costinești sunt gestionate anual o cantitate de peste 100.000 tone deșeuri nepericuloase, și anume deșeuri municipale amestecate (deșeuri menajere), deșeuri biodegradabile, deșeuri din construcții și demolări, deșeuri stradale, deșeuri de ambalaje (reciclabil) și deșeuri nepericuloase de la alte instalații de tratare a reziduurilor. În depozit se realizeaza sortarea manuală a deșeurilor pentru recuperarea celor reciclabile, urmată de balotarea și împachetarea deșeurilor care urmează sa fie depozitate. Capacitatea totală a depozitului este de 1.200.000 m</w:t>
      </w:r>
      <w:r>
        <w:rPr>
          <w:rFonts w:eastAsia="Times New Roman" w:cs="Times New Roman"/>
          <w:color w:val="000000"/>
          <w:vertAlign w:val="superscript"/>
        </w:rPr>
        <w:t>3</w:t>
      </w:r>
      <w:r>
        <w:rPr>
          <w:rFonts w:eastAsia="Times New Roman" w:cs="Times New Roman"/>
          <w:color w:val="000000"/>
        </w:rPr>
        <w:t xml:space="preserve">. </w:t>
      </w:r>
    </w:p>
    <w:p w14:paraId="26E94BBE" w14:textId="77777777" w:rsidR="00D535CE" w:rsidRDefault="00D535CE" w:rsidP="00D535CE">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w:t>
      </w:r>
      <w:r>
        <w:rPr>
          <w:rFonts w:eastAsia="Times New Roman" w:cs="Times New Roman"/>
          <w:color w:val="000000"/>
        </w:rPr>
        <w:tab/>
        <w:t>depozit pentru deșeuri nepericuloase Mangalia-Albești. Depozitul ecologic de deșeuri menajere și industriale, amplasat în Albesti (Mangalia), deservește aproximativ 50.000 de locuitori. Capacitatea de depozitare a celulei noi este de 65.500 m3. În depozit se realizează sortarea manuală a deșeurilor pentru recuperarea celor reciclabile.</w:t>
      </w:r>
    </w:p>
    <w:p w14:paraId="5F0B8892" w14:textId="77777777" w:rsidR="00D535CE" w:rsidRDefault="00D535CE" w:rsidP="00D535CE">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Pe lângă aceste depozite, în localitatea Luminița există un depozit pentru nămoluri provenite din stațiile de epurare, administrat de RAJA S.A., și realizat într-o alveolă a unei fostei cariere de piatră.</w:t>
      </w:r>
    </w:p>
    <w:p w14:paraId="58832CFE" w14:textId="77777777" w:rsidR="00D535CE" w:rsidRDefault="00D535CE" w:rsidP="00D535CE">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Referitor la municipiul Constanța, deșeurile menajere și asimilabilele acestore sunt transportate în vederea depozitării la rampa ecologică amplasată pe raza administrativă a orașului Ovidiu, situată în afara zonei costiere.</w:t>
      </w:r>
    </w:p>
    <w:p w14:paraId="3B61F1F4" w14:textId="77777777" w:rsidR="00D535CE" w:rsidRDefault="00D535CE" w:rsidP="00D535CE">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În zona de studiu există trei stații de sortare, la Constanța (capacitate 23.000 t/an), Corbu (capacitate 450 t/an) și Costinești (capacitate (50.000 t/an) și o stație de tratare mecano-biologică a deșeurilor, la Costinești (capacitate 70.000 t/an).</w:t>
      </w:r>
    </w:p>
    <w:p w14:paraId="378BE3C6" w14:textId="77777777" w:rsidR="00D535CE" w:rsidRDefault="00D535CE" w:rsidP="00D535CE">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Referitor la transportul deșeurilor, în zona de studiu erau avizați în 2020 un număr de 23 de operatori, repartizați după cum urmează: 16 în municipiul Constanța, 4 în orașul Năvodari, 2 în comuna Agigea și 1 în comuna Techirghiol (Consiliul Județean Constanța, 2021).</w:t>
      </w:r>
    </w:p>
    <w:p w14:paraId="0CADFD5F" w14:textId="5D341C06" w:rsidR="00D535CE" w:rsidRDefault="00D535CE" w:rsidP="00D535CE">
      <w:pPr>
        <w:pStyle w:val="Heading4"/>
      </w:pPr>
      <w:bookmarkStart w:id="110" w:name="_Toc169625148"/>
      <w:r>
        <w:t>2.4.8.11 Dragare și construcții hidrotehnice</w:t>
      </w:r>
      <w:bookmarkEnd w:id="110"/>
    </w:p>
    <w:p w14:paraId="09DDE235" w14:textId="77777777" w:rsidR="00D535CE" w:rsidRDefault="00D535CE" w:rsidP="00D535CE">
      <w:pPr>
        <w:pBdr>
          <w:top w:val="nil"/>
          <w:left w:val="nil"/>
          <w:bottom w:val="nil"/>
          <w:right w:val="nil"/>
          <w:between w:val="nil"/>
        </w:pBdr>
        <w:spacing w:before="0"/>
        <w:ind w:firstLine="540"/>
        <w:rPr>
          <w:rFonts w:eastAsia="Times New Roman" w:cs="Times New Roman"/>
          <w:color w:val="000000"/>
        </w:rPr>
      </w:pPr>
      <w:r>
        <w:rPr>
          <w:rFonts w:eastAsia="Times New Roman" w:cs="Times New Roman"/>
          <w:color w:val="000000"/>
        </w:rPr>
        <w:t>În cazul porturilor maritime, lucrările de dragare sunt necesare pentru eliminarea limitărilor de pescaj în interiorul porturilor; îmbunătățirea manevrelor sigure și a condițiilor de navigație; creșterea eficienței operatorilor prin evitarea operațiunilor de umplere și manipulare dublă; și consolidarea poziției actuale a porturilor în regiunea Mării Negre și a sistemului european de transport. </w:t>
      </w:r>
    </w:p>
    <w:p w14:paraId="203BC3AD" w14:textId="77777777" w:rsidR="00D535CE" w:rsidRDefault="00D535CE" w:rsidP="00D535CE">
      <w:pPr>
        <w:pBdr>
          <w:top w:val="nil"/>
          <w:left w:val="nil"/>
          <w:bottom w:val="nil"/>
          <w:right w:val="nil"/>
          <w:between w:val="nil"/>
        </w:pBdr>
        <w:spacing w:before="0"/>
        <w:ind w:firstLine="540"/>
        <w:rPr>
          <w:rFonts w:eastAsia="Times New Roman" w:cs="Times New Roman"/>
          <w:color w:val="000000"/>
        </w:rPr>
      </w:pPr>
      <w:r>
        <w:rPr>
          <w:rFonts w:eastAsia="Times New Roman" w:cs="Times New Roman"/>
          <w:color w:val="000000"/>
        </w:rPr>
        <w:t>În cazul portului Constanța, în prezent, este în implementare proiectul „Modernizarea infrastructurii portuare prin asigurarea creșterii adâncimii canalelor și bazinelor și a siguranței navigației în Portul Constanța”, finanțat prin POIM 2014-2020, Axa prioritară 1, Obiectiv specific 1.3-Creșterea utilizării căilor navigabile și a porturilor situate în rețeaua centrală TEN-T. Proiectul prevede lucrări de dragare în 17 zone portuare pentru a aduce la nivelul proiectat adâncimile apei din bazinele și șenalul de acces din Portul Constanța.</w:t>
      </w:r>
    </w:p>
    <w:p w14:paraId="2FCE9512" w14:textId="77777777" w:rsidR="00D535CE" w:rsidRDefault="00D535CE" w:rsidP="00D535CE">
      <w:pPr>
        <w:pBdr>
          <w:top w:val="nil"/>
          <w:left w:val="nil"/>
          <w:bottom w:val="nil"/>
          <w:right w:val="nil"/>
          <w:between w:val="nil"/>
        </w:pBdr>
        <w:spacing w:before="0"/>
        <w:ind w:firstLine="540"/>
        <w:rPr>
          <w:rFonts w:eastAsia="Times New Roman" w:cs="Times New Roman"/>
          <w:color w:val="000000"/>
        </w:rPr>
      </w:pPr>
      <w:r>
        <w:rPr>
          <w:rFonts w:eastAsia="Times New Roman" w:cs="Times New Roman"/>
          <w:color w:val="000000"/>
        </w:rPr>
        <w:lastRenderedPageBreak/>
        <w:t xml:space="preserve">În porturile Midia și Mangalia, adâncimea apei la dane și accesul în acvatoriul porturilor sunt principalii factori restrictivi pentru operare. Această situație a apărut din cauza întârzierii investițiilor pentru lucrările de dragare și a dus la o scădere semnificativă a eficienței operațiunilor determinate de dificultățile de primire/intrare a navelor mai mari. </w:t>
      </w:r>
    </w:p>
    <w:p w14:paraId="2339A97C" w14:textId="77777777" w:rsidR="00D535CE" w:rsidRDefault="00D535CE" w:rsidP="00D535CE">
      <w:pPr>
        <w:pBdr>
          <w:top w:val="nil"/>
          <w:left w:val="nil"/>
          <w:bottom w:val="nil"/>
          <w:right w:val="nil"/>
          <w:between w:val="nil"/>
        </w:pBdr>
        <w:spacing w:before="0"/>
        <w:ind w:firstLine="20"/>
        <w:rPr>
          <w:rFonts w:eastAsia="Times New Roman" w:cs="Times New Roman"/>
          <w:color w:val="000000"/>
        </w:rPr>
      </w:pPr>
      <w:r>
        <w:rPr>
          <w:rFonts w:eastAsia="Times New Roman" w:cs="Times New Roman"/>
          <w:color w:val="000000"/>
        </w:rPr>
        <w:t>Modificările hidrotehnice din partea nordică a zonei costiere, aferentă Deltei Dunării, au avut ca scop îmbunătăţirea condiţiilor de navigaţie pe Dunăre, accesului navelor din mare spre teritoriu, precum şi asigurarea unor condiţii hidrologice optime pentru habitate acvatice naturale, precum și pentru exploatarea resurselor naturale din interiorul deltei. Până în prezent au fost reprofilate prin lucrări de dragare și decolmatare peste 328 km de canale și renaturare suprafețe de 15.712 ha ale amenajărilor agricole și piscicole abandonate, ineficiente economic.</w:t>
      </w:r>
    </w:p>
    <w:p w14:paraId="7627BAA2" w14:textId="77777777" w:rsidR="00D535CE" w:rsidRDefault="00D535CE" w:rsidP="00D535CE">
      <w:pPr>
        <w:pBdr>
          <w:top w:val="nil"/>
          <w:left w:val="nil"/>
          <w:bottom w:val="nil"/>
          <w:right w:val="nil"/>
          <w:between w:val="nil"/>
        </w:pBdr>
        <w:spacing w:before="0"/>
        <w:ind w:firstLine="540"/>
        <w:rPr>
          <w:rFonts w:eastAsia="Times New Roman" w:cs="Times New Roman"/>
          <w:color w:val="000000"/>
        </w:rPr>
      </w:pPr>
      <w:r>
        <w:rPr>
          <w:rFonts w:eastAsia="Times New Roman" w:cs="Times New Roman"/>
          <w:color w:val="000000"/>
        </w:rPr>
        <w:t xml:space="preserve">În ceea ce privește structurile hidrotehnice de protecție costieră de pe întreg litoralul românesc, în prezent, se află în plină desfășurare execuția proiectului ”Reducerea eroziunii costiere – Faza II (2014-2020). Perimetre: 2 Mai, Mangalia (Saturn, Balta Mangalia, Venus, Cap Aurora, Jupiter, Neptun, Olimp), </w:t>
      </w:r>
      <w:sdt>
        <w:sdtPr>
          <w:tag w:val="goog_rdk_45"/>
          <w:id w:val="1308515926"/>
        </w:sdtPr>
        <w:sdtContent>
          <w:r>
            <w:rPr>
              <w:rFonts w:eastAsia="Times New Roman" w:cs="Times New Roman"/>
              <w:color w:val="000000"/>
            </w:rPr>
            <w:t>Costinești</w:t>
          </w:r>
        </w:sdtContent>
      </w:sdt>
      <w:r>
        <w:rPr>
          <w:rFonts w:eastAsia="Times New Roman" w:cs="Times New Roman"/>
          <w:color w:val="000000"/>
        </w:rPr>
        <w:t xml:space="preserve">, Eforie Sud, Eforie Centru, Agigea, Port Tomis – Constanța Port, Mamaia Centru, Mamaia Nord, Stăvilar Edighiol, Stăvilar Periboina)” care are ca obiect reabilitarea întregului sector sudic al litoralului prin modificarea dimensiunilor celulelor de plaje (îndepărtarea unor structuri existente și execuția unor structuri noi), precum și lucrări de înnisipări ale plajelor. </w:t>
      </w:r>
    </w:p>
    <w:p w14:paraId="6D2FC8B8" w14:textId="77777777" w:rsidR="00D535CE" w:rsidRDefault="00D535CE" w:rsidP="00D535CE">
      <w:pPr>
        <w:rPr>
          <w:rFonts w:eastAsia="Times New Roman" w:cs="Times New Roman"/>
          <w:sz w:val="28"/>
          <w:u w:val="single"/>
        </w:rPr>
      </w:pPr>
    </w:p>
    <w:p w14:paraId="4FB48B5E" w14:textId="258CE60D" w:rsidR="00416010" w:rsidRDefault="00416010" w:rsidP="00416010">
      <w:pPr>
        <w:pStyle w:val="Heading2"/>
      </w:pPr>
      <w:bookmarkStart w:id="111" w:name="_Toc150501471"/>
      <w:bookmarkStart w:id="112" w:name="_Toc169625149"/>
      <w:r>
        <w:t>2.5. Presiunile și impactul acestora asupra zonei costiere:</w:t>
      </w:r>
      <w:bookmarkEnd w:id="111"/>
      <w:bookmarkEnd w:id="112"/>
    </w:p>
    <w:p w14:paraId="5C536D56" w14:textId="29623972" w:rsidR="00416010" w:rsidRDefault="00416010" w:rsidP="00416010">
      <w:pPr>
        <w:pStyle w:val="Heading3"/>
      </w:pPr>
      <w:bookmarkStart w:id="113" w:name="_heading=h.2u6wntf" w:colFirst="0" w:colLast="0"/>
      <w:bookmarkStart w:id="114" w:name="_Toc150501472"/>
      <w:bookmarkStart w:id="115" w:name="_Toc169625150"/>
      <w:bookmarkEnd w:id="113"/>
      <w:r>
        <w:t>2.5.1 Hazarde naturale și impactul lor asupra componentelor de mediu și socio-economice</w:t>
      </w:r>
      <w:bookmarkEnd w:id="114"/>
      <w:bookmarkEnd w:id="115"/>
      <w:r>
        <w:t xml:space="preserve"> </w:t>
      </w:r>
    </w:p>
    <w:p w14:paraId="0796746E" w14:textId="77777777" w:rsidR="00416010" w:rsidRDefault="00416010" w:rsidP="00416010">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Consecințele schimbărilor climatice, determinate de creșterea concentrațiilor gazelor cu efect de seră, sunt observate atât la nivel global cât și la nivel regional și local. Cele mai evidente manifestări sunt creșterea temperaturii aerului, urmată de modificări ale cantității de precipitații, creșterea nivelului mării, modificări în regimurile termic și salin al mării, îngheț și creșterea frecvenței și intensității fenomenelor extreme.</w:t>
      </w:r>
    </w:p>
    <w:p w14:paraId="31FD60ED" w14:textId="77777777" w:rsidR="00416010" w:rsidRDefault="00416010" w:rsidP="00416010">
      <w:pPr>
        <w:pBdr>
          <w:top w:val="nil"/>
          <w:left w:val="nil"/>
          <w:bottom w:val="nil"/>
          <w:right w:val="nil"/>
          <w:between w:val="nil"/>
        </w:pBdr>
        <w:spacing w:before="0"/>
        <w:ind w:firstLine="567"/>
        <w:rPr>
          <w:rFonts w:eastAsia="Times New Roman" w:cs="Times New Roman"/>
          <w:color w:val="000000"/>
        </w:rPr>
      </w:pPr>
      <w:r>
        <w:rPr>
          <w:rFonts w:eastAsia="Times New Roman" w:cs="Times New Roman"/>
          <w:b/>
          <w:i/>
          <w:color w:val="000000"/>
        </w:rPr>
        <w:t>Temperatura aerului și precipitații</w:t>
      </w:r>
      <w:r>
        <w:rPr>
          <w:rFonts w:eastAsia="Times New Roman" w:cs="Times New Roman"/>
          <w:color w:val="000000"/>
        </w:rPr>
        <w:t xml:space="preserve"> - scenarii climatice (sursa: Administrația Națională de Meteorologie)</w:t>
      </w:r>
    </w:p>
    <w:p w14:paraId="607C2A14" w14:textId="0541C76A" w:rsidR="00416010" w:rsidRDefault="00416010" w:rsidP="00416010">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În condițiile schimbărilor climatice, temperatura aerului va crește, cu magnitudine diferită în funcție de orizontul de timp și tipul de scenariu de emisii al gazelor cu efect de seră, conform ansamblului de 5 modele climatice regionale folosit. În toate cazurile, creșterile vor fi mai mici în zona costieră comparativ cu celelalte regiuni ale țării, datorită influenței Mării Negre (Fig. 2.5.1.1).</w:t>
      </w:r>
    </w:p>
    <w:p w14:paraId="16673422" w14:textId="77777777" w:rsidR="00416010" w:rsidRDefault="00416010" w:rsidP="00416010">
      <w:pPr>
        <w:pBdr>
          <w:top w:val="nil"/>
          <w:left w:val="nil"/>
          <w:bottom w:val="nil"/>
          <w:right w:val="nil"/>
          <w:between w:val="nil"/>
        </w:pBdr>
        <w:ind w:firstLine="567"/>
        <w:rPr>
          <w:rFonts w:eastAsia="Times New Roman" w:cs="Times New Roman"/>
          <w:color w:val="000000"/>
        </w:rPr>
      </w:pPr>
    </w:p>
    <w:p w14:paraId="1047C14A" w14:textId="77777777" w:rsidR="00416010" w:rsidRDefault="00416010" w:rsidP="00416010">
      <w:pPr>
        <w:pBdr>
          <w:top w:val="nil"/>
          <w:left w:val="nil"/>
          <w:bottom w:val="nil"/>
          <w:right w:val="nil"/>
          <w:between w:val="nil"/>
        </w:pBdr>
        <w:ind w:firstLine="567"/>
        <w:rPr>
          <w:rFonts w:eastAsia="Times New Roman" w:cs="Times New Roman"/>
          <w:color w:val="000000"/>
        </w:rPr>
      </w:pPr>
      <w:r>
        <w:rPr>
          <w:rFonts w:eastAsia="Times New Roman" w:cs="Times New Roman"/>
          <w:color w:val="000000"/>
        </w:rPr>
        <w:lastRenderedPageBreak/>
        <w:t xml:space="preserve"> </w:t>
      </w:r>
      <w:r>
        <w:rPr>
          <w:rFonts w:eastAsia="Times New Roman" w:cs="Times New Roman"/>
          <w:noProof/>
          <w:color w:val="000000"/>
        </w:rPr>
        <w:drawing>
          <wp:inline distT="0" distB="0" distL="0" distR="0" wp14:anchorId="131B7AE4" wp14:editId="20462644">
            <wp:extent cx="4590415" cy="3495040"/>
            <wp:effectExtent l="0" t="0" r="0" b="0"/>
            <wp:docPr id="214140193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4"/>
                    <a:srcRect/>
                    <a:stretch>
                      <a:fillRect/>
                    </a:stretch>
                  </pic:blipFill>
                  <pic:spPr>
                    <a:xfrm>
                      <a:off x="0" y="0"/>
                      <a:ext cx="4590415" cy="3495040"/>
                    </a:xfrm>
                    <a:prstGeom prst="rect">
                      <a:avLst/>
                    </a:prstGeom>
                    <a:ln/>
                  </pic:spPr>
                </pic:pic>
              </a:graphicData>
            </a:graphic>
          </wp:inline>
        </w:drawing>
      </w:r>
    </w:p>
    <w:p w14:paraId="2BCEEB8E" w14:textId="478BEFD2" w:rsidR="00416010" w:rsidRDefault="00416010" w:rsidP="00416010">
      <w:pPr>
        <w:pBdr>
          <w:top w:val="nil"/>
          <w:left w:val="nil"/>
          <w:bottom w:val="nil"/>
          <w:right w:val="nil"/>
          <w:between w:val="nil"/>
        </w:pBdr>
        <w:ind w:firstLine="567"/>
        <w:jc w:val="center"/>
        <w:rPr>
          <w:rFonts w:eastAsia="Times New Roman" w:cs="Times New Roman"/>
          <w:b/>
          <w:color w:val="000000"/>
        </w:rPr>
      </w:pPr>
      <w:r>
        <w:rPr>
          <w:rFonts w:eastAsia="Times New Roman" w:cs="Times New Roman"/>
          <w:b/>
          <w:color w:val="000000"/>
        </w:rPr>
        <w:t xml:space="preserve">Fig. 2.5.1.1 </w:t>
      </w:r>
      <w:r>
        <w:rPr>
          <w:rFonts w:eastAsia="Times New Roman" w:cs="Times New Roman"/>
          <w:b/>
        </w:rPr>
        <w:t>Proiecțiile</w:t>
      </w:r>
      <w:r>
        <w:rPr>
          <w:rFonts w:eastAsia="Times New Roman" w:cs="Times New Roman"/>
          <w:b/>
          <w:color w:val="000000"/>
        </w:rPr>
        <w:t xml:space="preserve"> creșterilor medii anuale ale temperaturii aerului (°C) la înălțimea de 2 m, în regiunea de interes, pentru perioada 2021-2050 (stânga) și 2071-2100 (dreapta) față de intervalul de referință 1971-2000, în condițiile scenariilor climatice ale concentrațiilor globale medii (RCP 4.5) (sus) și ridicate (RCP 8.5) (jos) ale gazelor cu efect de seră (sursa: ANM)</w:t>
      </w:r>
    </w:p>
    <w:p w14:paraId="3C2F7EDA" w14:textId="77777777" w:rsidR="00416010" w:rsidRDefault="00416010" w:rsidP="00416010">
      <w:pPr>
        <w:pBdr>
          <w:top w:val="nil"/>
          <w:left w:val="nil"/>
          <w:bottom w:val="nil"/>
          <w:right w:val="nil"/>
          <w:between w:val="nil"/>
        </w:pBdr>
        <w:ind w:firstLine="567"/>
        <w:jc w:val="center"/>
        <w:rPr>
          <w:rFonts w:eastAsia="Times New Roman" w:cs="Times New Roman"/>
          <w:b/>
          <w:color w:val="000000"/>
        </w:rPr>
      </w:pPr>
    </w:p>
    <w:p w14:paraId="052249FD" w14:textId="5E7C1B9C" w:rsidR="00416010" w:rsidRDefault="00416010" w:rsidP="00416010">
      <w:pPr>
        <w:pBdr>
          <w:top w:val="nil"/>
          <w:left w:val="nil"/>
          <w:bottom w:val="nil"/>
          <w:right w:val="nil"/>
          <w:between w:val="nil"/>
        </w:pBdr>
        <w:ind w:firstLine="567"/>
        <w:rPr>
          <w:rFonts w:eastAsia="Times New Roman" w:cs="Times New Roman"/>
          <w:color w:val="000000"/>
        </w:rPr>
      </w:pPr>
      <w:r>
        <w:rPr>
          <w:rFonts w:eastAsia="Times New Roman" w:cs="Times New Roman"/>
          <w:color w:val="000000"/>
        </w:rPr>
        <w:t xml:space="preserve">Conform aceluiași ansamblu de 5 modele climatice regionale folosit, în condițiile schimbărilor climatice, cantitățile medii de precipitații, vara, se vor reduce, mai puternic spre sfârșitul secolului în condițiile scenariului cu cele mai ridicate emisii de gaze cu efect de seră la nivel global (cu peste 20 % față de intervalul de referință 1971-2000; Fig. 2.5.1.2). Pentru proiecția 2021-2050, reducerea precipitațiilor în vară, în condițiile scenariului cu cele mai ridicate concentrații ale gazelor cu efect de seră este semnificativ mai mică (8-12 %). </w:t>
      </w:r>
    </w:p>
    <w:p w14:paraId="0F7D2BC1" w14:textId="5A3C2515" w:rsidR="00416010" w:rsidRDefault="00416010" w:rsidP="00416010">
      <w:pPr>
        <w:pBdr>
          <w:top w:val="nil"/>
          <w:left w:val="nil"/>
          <w:bottom w:val="nil"/>
          <w:right w:val="nil"/>
          <w:between w:val="nil"/>
        </w:pBdr>
        <w:ind w:firstLine="567"/>
        <w:rPr>
          <w:rFonts w:eastAsia="Times New Roman" w:cs="Times New Roman"/>
          <w:color w:val="000000"/>
        </w:rPr>
      </w:pPr>
      <w:r>
        <w:rPr>
          <w:rFonts w:eastAsia="Times New Roman" w:cs="Times New Roman"/>
          <w:color w:val="000000"/>
        </w:rPr>
        <w:t xml:space="preserve">Iarna, există un semnal de creștere moderată a cantității medii de precipitații (în medie cu până la 12 % față de intervalul de referință 1971-2000; Fig. 2.5.1.3). Pentru proiecția 2021-2050, creșterea precipitațiilor în perioada de iarnă, în condițiile scenariului concentrații globale medii ale gazelor cu efect de seră, este estimată la circa 3-5 %, în timp ce în scenariul celui mai ridicat nivel al concentrațiilor gazelor cu efect de seră, această creștere a precipitațiilor se dublează. Creșterea cantității de precipitații, determinată de schimbările climatice, reprezintă un factor favorizant pentru producerea fenomenului de eroziune. </w:t>
      </w:r>
    </w:p>
    <w:p w14:paraId="50045178" w14:textId="77777777" w:rsidR="00416010" w:rsidRDefault="00416010" w:rsidP="00416010">
      <w:pPr>
        <w:pBdr>
          <w:top w:val="nil"/>
          <w:left w:val="nil"/>
          <w:bottom w:val="nil"/>
          <w:right w:val="nil"/>
          <w:between w:val="nil"/>
        </w:pBdr>
        <w:ind w:firstLine="567"/>
        <w:rPr>
          <w:rFonts w:eastAsia="Times New Roman" w:cs="Times New Roman"/>
          <w:color w:val="000000"/>
        </w:rPr>
      </w:pPr>
    </w:p>
    <w:p w14:paraId="50B657F0" w14:textId="77777777" w:rsidR="00416010" w:rsidRDefault="00416010" w:rsidP="00416010">
      <w:pPr>
        <w:pBdr>
          <w:top w:val="nil"/>
          <w:left w:val="nil"/>
          <w:bottom w:val="nil"/>
          <w:right w:val="nil"/>
          <w:between w:val="nil"/>
        </w:pBdr>
        <w:ind w:firstLine="567"/>
        <w:jc w:val="center"/>
        <w:rPr>
          <w:rFonts w:eastAsia="Times New Roman" w:cs="Times New Roman"/>
          <w:color w:val="000000"/>
        </w:rPr>
      </w:pPr>
      <w:r>
        <w:rPr>
          <w:rFonts w:eastAsia="Times New Roman" w:cs="Times New Roman"/>
          <w:noProof/>
          <w:color w:val="000000"/>
        </w:rPr>
        <w:lastRenderedPageBreak/>
        <w:drawing>
          <wp:inline distT="0" distB="0" distL="0" distR="0" wp14:anchorId="3E36C356" wp14:editId="55F0A2C4">
            <wp:extent cx="4676140" cy="3780790"/>
            <wp:effectExtent l="0" t="0" r="0" b="0"/>
            <wp:docPr id="214140193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5"/>
                    <a:srcRect/>
                    <a:stretch>
                      <a:fillRect/>
                    </a:stretch>
                  </pic:blipFill>
                  <pic:spPr>
                    <a:xfrm>
                      <a:off x="0" y="0"/>
                      <a:ext cx="4676140" cy="3780790"/>
                    </a:xfrm>
                    <a:prstGeom prst="rect">
                      <a:avLst/>
                    </a:prstGeom>
                    <a:ln/>
                  </pic:spPr>
                </pic:pic>
              </a:graphicData>
            </a:graphic>
          </wp:inline>
        </w:drawing>
      </w:r>
    </w:p>
    <w:p w14:paraId="7E5868E0" w14:textId="506788AB" w:rsidR="00416010" w:rsidRDefault="00416010" w:rsidP="00416010">
      <w:pPr>
        <w:pBdr>
          <w:top w:val="nil"/>
          <w:left w:val="nil"/>
          <w:bottom w:val="nil"/>
          <w:right w:val="nil"/>
          <w:between w:val="nil"/>
        </w:pBdr>
        <w:ind w:firstLine="567"/>
        <w:jc w:val="center"/>
        <w:rPr>
          <w:rFonts w:eastAsia="Times New Roman" w:cs="Times New Roman"/>
          <w:b/>
          <w:color w:val="000000"/>
        </w:rPr>
      </w:pPr>
      <w:r>
        <w:rPr>
          <w:rFonts w:eastAsia="Times New Roman" w:cs="Times New Roman"/>
          <w:b/>
          <w:color w:val="000000"/>
        </w:rPr>
        <w:t>Fig. 2.5.1.2 Proiecțiile diferențelor medii ale cantității de precipitații de vară (%), în regiunea de interes, pentru perioada 2021-2050 (stânga) și 2071-2100 (dreapta) față de intervalul de referință 1971- 2000, în condițiile scenariilor climatice ale concentrațiilor globale medii (RCP 4.5) (sus) și ridicate (RCP 8.5) (jos) ale gazelor cu efect de seră (</w:t>
      </w:r>
      <w:r>
        <w:rPr>
          <w:rFonts w:eastAsia="Times New Roman" w:cs="Times New Roman"/>
          <w:b/>
          <w:i/>
          <w:color w:val="000000"/>
        </w:rPr>
        <w:t>sursa: ANM)</w:t>
      </w:r>
    </w:p>
    <w:p w14:paraId="20BC5FA6" w14:textId="77777777" w:rsidR="00416010" w:rsidRDefault="00416010" w:rsidP="00416010">
      <w:pPr>
        <w:pBdr>
          <w:top w:val="nil"/>
          <w:left w:val="nil"/>
          <w:bottom w:val="nil"/>
          <w:right w:val="nil"/>
          <w:between w:val="nil"/>
        </w:pBdr>
        <w:rPr>
          <w:rFonts w:eastAsia="Times New Roman" w:cs="Times New Roman"/>
          <w:i/>
          <w:color w:val="000000"/>
        </w:rPr>
      </w:pPr>
    </w:p>
    <w:p w14:paraId="75AE29F6" w14:textId="77777777" w:rsidR="00416010" w:rsidRDefault="00416010" w:rsidP="00416010">
      <w:pPr>
        <w:pBdr>
          <w:top w:val="nil"/>
          <w:left w:val="nil"/>
          <w:bottom w:val="nil"/>
          <w:right w:val="nil"/>
          <w:between w:val="nil"/>
        </w:pBdr>
        <w:spacing w:before="0"/>
        <w:rPr>
          <w:rFonts w:eastAsia="Times New Roman" w:cs="Times New Roman"/>
          <w:i/>
          <w:color w:val="000000"/>
        </w:rPr>
      </w:pPr>
      <w:r>
        <w:rPr>
          <w:rFonts w:eastAsia="Times New Roman" w:cs="Times New Roman"/>
          <w:i/>
          <w:color w:val="000000"/>
        </w:rPr>
        <w:t>Inundații</w:t>
      </w:r>
    </w:p>
    <w:p w14:paraId="358CA739" w14:textId="77777777" w:rsidR="00416010" w:rsidRDefault="00416010" w:rsidP="00416010">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Deși nivelul precipitațiilor este redus, iar proiecțiile diferențelor medii ale cantităților de preecipitații pentru perioada 2021-2050, în condițiile scenariului climatic ale concentrațiilor globale medii (RCP 4.5) nu indică modificări considerabile, în zona costieră există, totuși, riscul de inundații semnificative ca urmare a ploilor torențiale cu aspect de vijelie. Astfel, se pot înregistra cantități importante de precipitații în intervale scurte de timp, ce pot avea consecințe catastrofale uneori depășind valorile istorice cunoscute. Așa s-a întâmplat în 28 august 2004, în județul Constanța, când cantităţile mari de precipitaţii căzute într-un timp relativ scurt, combinate cu scurgerile de versanţii şi a reţelelor de canalizare subdimensionate, au provocat inundaţii puternice afectând 6 localităţi din zona costieră (Constanța, Năvodari, Eforie, Techirghiol, Agigea și Tuzla), conform Inspectoratul pentru Situații de Urgență „DOBROGEA” al județului Constanța (2018).</w:t>
      </w:r>
    </w:p>
    <w:p w14:paraId="6FF7FC10" w14:textId="77777777" w:rsidR="00416010" w:rsidRDefault="00416010" w:rsidP="00416010">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 xml:space="preserve">Cel mai important astfel de eveniment în zona costieră, catalogat ca fiind istoric, s-a produs în septembrie 2005, la Costinești, când o viitură a distrus locuinţe din fostul sat Schitu. S-au înregistrat pagube materiale prin distrugerea rambleului de cale ferată pe o lungime de circa 1,5 km (rambleu ce a obturat de fapt cursul văii torenţiale), a numeroase drumuri de acces, case şi moteluri, terase şi restaurante. S-au înregistrat şi pierderi de vieţi omeneşti. Cu această </w:t>
      </w:r>
      <w:r>
        <w:rPr>
          <w:rFonts w:eastAsia="Times New Roman" w:cs="Times New Roman"/>
          <w:color w:val="000000"/>
        </w:rPr>
        <w:lastRenderedPageBreak/>
        <w:t xml:space="preserve">ocazie o mare parte din lacul Costineşti a redevenit golf prin spălarea perisipului şi a zonei de plajă pe o lungime de circa 2 km. </w:t>
      </w:r>
    </w:p>
    <w:p w14:paraId="178DE129" w14:textId="77777777" w:rsidR="00416010" w:rsidRDefault="00416010" w:rsidP="00416010">
      <w:pPr>
        <w:pBdr>
          <w:top w:val="nil"/>
          <w:left w:val="nil"/>
          <w:bottom w:val="nil"/>
          <w:right w:val="nil"/>
          <w:between w:val="nil"/>
        </w:pBdr>
        <w:ind w:firstLine="567"/>
        <w:rPr>
          <w:rFonts w:eastAsia="Times New Roman" w:cs="Times New Roman"/>
          <w:color w:val="000000"/>
        </w:rPr>
      </w:pPr>
    </w:p>
    <w:p w14:paraId="39039260" w14:textId="77777777" w:rsidR="00416010" w:rsidRDefault="00416010" w:rsidP="00416010">
      <w:pPr>
        <w:pBdr>
          <w:top w:val="nil"/>
          <w:left w:val="nil"/>
          <w:bottom w:val="nil"/>
          <w:right w:val="nil"/>
          <w:between w:val="nil"/>
        </w:pBdr>
        <w:ind w:firstLine="567"/>
        <w:jc w:val="center"/>
        <w:rPr>
          <w:rFonts w:eastAsia="Times New Roman" w:cs="Times New Roman"/>
          <w:color w:val="000000"/>
        </w:rPr>
      </w:pPr>
      <w:r>
        <w:rPr>
          <w:rFonts w:eastAsia="Times New Roman" w:cs="Times New Roman"/>
          <w:noProof/>
          <w:color w:val="000000"/>
        </w:rPr>
        <w:drawing>
          <wp:inline distT="0" distB="0" distL="0" distR="0" wp14:anchorId="0BA121F5" wp14:editId="3FA064EF">
            <wp:extent cx="4666615" cy="3799840"/>
            <wp:effectExtent l="0" t="0" r="0" b="0"/>
            <wp:docPr id="214140193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6"/>
                    <a:srcRect/>
                    <a:stretch>
                      <a:fillRect/>
                    </a:stretch>
                  </pic:blipFill>
                  <pic:spPr>
                    <a:xfrm>
                      <a:off x="0" y="0"/>
                      <a:ext cx="4666615" cy="3799840"/>
                    </a:xfrm>
                    <a:prstGeom prst="rect">
                      <a:avLst/>
                    </a:prstGeom>
                    <a:ln/>
                  </pic:spPr>
                </pic:pic>
              </a:graphicData>
            </a:graphic>
          </wp:inline>
        </w:drawing>
      </w:r>
    </w:p>
    <w:p w14:paraId="5913345B" w14:textId="2EF2F37F" w:rsidR="00416010" w:rsidRDefault="00416010" w:rsidP="00416010">
      <w:pPr>
        <w:pBdr>
          <w:top w:val="nil"/>
          <w:left w:val="nil"/>
          <w:bottom w:val="nil"/>
          <w:right w:val="nil"/>
          <w:between w:val="nil"/>
        </w:pBdr>
        <w:ind w:firstLine="567"/>
        <w:jc w:val="center"/>
        <w:rPr>
          <w:rFonts w:eastAsia="Times New Roman" w:cs="Times New Roman"/>
          <w:b/>
          <w:color w:val="000000"/>
        </w:rPr>
      </w:pPr>
      <w:r>
        <w:rPr>
          <w:rFonts w:eastAsia="Times New Roman" w:cs="Times New Roman"/>
          <w:b/>
          <w:color w:val="000000"/>
        </w:rPr>
        <w:t>Fig. 2.5.1.3 Proiecțiile diferențelor medii ale cantității de precipitații de iarnă (%), în regiunea de interes, pentru perioada 2021-2050 (stânga) și 2071-2100 (dreapta) față de intervalul de referință 1971- 2000, în condițiile scenariilor climatice ale concentrațiilor globale medii (RCP 4.5) (sus) și ridicate (RCP 8.5) (jos) ale gazelor cu efect de seră (</w:t>
      </w:r>
      <w:r>
        <w:rPr>
          <w:rFonts w:eastAsia="Times New Roman" w:cs="Times New Roman"/>
          <w:b/>
          <w:i/>
          <w:color w:val="000000"/>
        </w:rPr>
        <w:t>sursa: ANM</w:t>
      </w:r>
      <w:r>
        <w:rPr>
          <w:rFonts w:eastAsia="Times New Roman" w:cs="Times New Roman"/>
          <w:b/>
          <w:color w:val="000000"/>
        </w:rPr>
        <w:t>)</w:t>
      </w:r>
    </w:p>
    <w:p w14:paraId="50CC6BD6" w14:textId="77777777" w:rsidR="00416010" w:rsidRDefault="00416010" w:rsidP="00416010">
      <w:pPr>
        <w:pBdr>
          <w:top w:val="nil"/>
          <w:left w:val="nil"/>
          <w:bottom w:val="nil"/>
          <w:right w:val="nil"/>
          <w:between w:val="nil"/>
        </w:pBdr>
        <w:spacing w:before="0"/>
        <w:ind w:firstLine="567"/>
        <w:jc w:val="center"/>
        <w:rPr>
          <w:rFonts w:eastAsia="Times New Roman" w:cs="Times New Roman"/>
          <w:b/>
          <w:color w:val="000000"/>
        </w:rPr>
      </w:pPr>
    </w:p>
    <w:p w14:paraId="4D51D658" w14:textId="77777777" w:rsidR="00416010" w:rsidRDefault="00416010" w:rsidP="00416010">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Raportul de evaluare preliminară a riscului la inundații, elaborat de ABADL evidențiază zonele de risc semnificativ la inundații din spațiul hidrografic Dobrogea. În zona costieră, zonele cu risc semnificativ la inundații, cu sursă fluvială, conform ABADL, sunt:</w:t>
      </w:r>
    </w:p>
    <w:p w14:paraId="5798D37F" w14:textId="77777777" w:rsidR="00416010" w:rsidRDefault="00416010" w:rsidP="00416010">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w:t>
      </w:r>
      <w:r>
        <w:rPr>
          <w:rFonts w:eastAsia="Times New Roman" w:cs="Times New Roman"/>
          <w:color w:val="000000"/>
        </w:rPr>
        <w:tab/>
        <w:t>sector litoral localitatea Mamaia-lacul Razim;</w:t>
      </w:r>
    </w:p>
    <w:p w14:paraId="1CF68DB3" w14:textId="77777777" w:rsidR="00416010" w:rsidRDefault="00416010" w:rsidP="00416010">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w:t>
      </w:r>
      <w:r>
        <w:rPr>
          <w:rFonts w:eastAsia="Times New Roman" w:cs="Times New Roman"/>
          <w:color w:val="000000"/>
        </w:rPr>
        <w:tab/>
        <w:t>sector litoral localitatea Costinești-localitatea Mangalia;</w:t>
      </w:r>
    </w:p>
    <w:p w14:paraId="39A6C858" w14:textId="77777777" w:rsidR="00416010" w:rsidRDefault="00416010" w:rsidP="00416010">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w:t>
      </w:r>
      <w:r>
        <w:rPr>
          <w:rFonts w:eastAsia="Times New Roman" w:cs="Times New Roman"/>
          <w:color w:val="000000"/>
        </w:rPr>
        <w:tab/>
        <w:t>râul Casimcea;</w:t>
      </w:r>
    </w:p>
    <w:p w14:paraId="4E60BA46" w14:textId="77777777" w:rsidR="00416010" w:rsidRDefault="00416010" w:rsidP="00416010">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w:t>
      </w:r>
      <w:r>
        <w:rPr>
          <w:rFonts w:eastAsia="Times New Roman" w:cs="Times New Roman"/>
          <w:color w:val="000000"/>
        </w:rPr>
        <w:tab/>
        <w:t>râul valea Albești.</w:t>
      </w:r>
    </w:p>
    <w:p w14:paraId="6FD6F541" w14:textId="77777777" w:rsidR="00416010" w:rsidRDefault="00416010" w:rsidP="00416010">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Aceste inundații se formează datorită depășirii capacității de transport a albiei, iar în cazul sectorului litoral localitatea Mamaia - lacul Razim și depăşirii infrastructurii de apărare. Consecințele se manifestă asupra sănătății umane, comunităților, infrastructurii de orice fel, surselor de poluare (în sectorul litoral Costinești-Mangalia), obiectivelor culturale activități economice și utilizarea terenurilor (sectoarele Casimcea și Albești).</w:t>
      </w:r>
    </w:p>
    <w:p w14:paraId="248BB90C" w14:textId="77777777" w:rsidR="00416010" w:rsidRDefault="00416010" w:rsidP="00416010">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lastRenderedPageBreak/>
        <w:t xml:space="preserve"> De asemenea, în Planul de Management al Riscului la Inundații al A.B.A. Dobrogea-Litoral, ciclul II de implementare a Directivei Inundații 2007/60/CE 60/CE, sunt incluse ca și zone de risc semnificativ la inundații și localitățile Corbu, Constanța, Eforie și Costinești. Sursa, în cazul acestor localități este inundarea pluvială, consecințele manifestându-se asupra sănătății umane, comunităților, infrastructurii de orice natură, zonelor protejate (biodiversitate și habitate), obiectivelor culturale, utilizării terenurilor și activităților economice (agricultură, industrie, turism, transporturi, pescuit, etc.).</w:t>
      </w:r>
    </w:p>
    <w:p w14:paraId="1F46D3B5" w14:textId="77777777" w:rsidR="00416010" w:rsidRDefault="00416010" w:rsidP="00416010">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 xml:space="preserve">Principala problemă în ceea ce privește protecția populației și infrastructurii din localități o constituie inexistența (în unele localități rurale) sau subdimensionarea rețelei de colectare a apelor, a sistemelor de canale de desecare, precum și a stațiilor de pompare. Una dintre principale cauze pentru subdimensionarea rețelei de canalizare este legată de dezvoltarea urbană necontrolată, construcțiile spațiilor destinate locuirii sau activităților de turism nu au fost, întotdeauna însoțite și de actualizarea infrastructurii de canalizare. De asemenea, o altă problemă ar putea deriva din nerealizarea periodică a lucrărilor de mentenanță a infrastructurilor existente de protecţie împotriva inundaţiilor, a lucrărilor de întreținere a albiilor cursurilor de apă și eliminarea blocajelor, obstacolelor pe cursurile de apă. </w:t>
      </w:r>
    </w:p>
    <w:p w14:paraId="7B349221" w14:textId="77777777" w:rsidR="00416010" w:rsidRDefault="00416010" w:rsidP="00416010">
      <w:pPr>
        <w:pBdr>
          <w:top w:val="nil"/>
          <w:left w:val="nil"/>
          <w:bottom w:val="nil"/>
          <w:right w:val="nil"/>
          <w:between w:val="nil"/>
        </w:pBdr>
        <w:spacing w:before="0"/>
        <w:rPr>
          <w:rFonts w:eastAsia="Times New Roman" w:cs="Times New Roman"/>
          <w:i/>
          <w:color w:val="000000"/>
        </w:rPr>
      </w:pPr>
      <w:r>
        <w:rPr>
          <w:rFonts w:eastAsia="Times New Roman" w:cs="Times New Roman"/>
          <w:i/>
          <w:color w:val="000000"/>
        </w:rPr>
        <w:t>Seceta</w:t>
      </w:r>
    </w:p>
    <w:p w14:paraId="2AD6F1DA" w14:textId="6AD4F5DA" w:rsidR="00416010" w:rsidRDefault="00416010" w:rsidP="00416010">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În “Studiul pentru elaborarea Strategiei Naționale privind Prevenirea și Combaterea Deșertificării și Degradării Terenurilor 2019-2030”, elaborat la cererea Ministerului Mediului, Apelor și Pădurilor, au fost identificate zonele susceptibile la procesele de degradare a terenurilor și deșertificare. Conform acestui studiu, în zona costieră, UAT-urile din Delta Dunării aparțin zonei cu o susceptibilitate extrem de mare la deșertificare (Delta Dunării fiind singura zonă din România încadrată în această categorie), în timp ce sudul zoneii costiere este încadrat la categoria zone cu susceptibilitate mare. Proiecţiile climatice pentru perioadele 2021-2050 şi 2071-2100 estimează o menținere a condițiilor actuale de aridizare în sud-estul României (Fig 2.5.1.4).</w:t>
      </w:r>
    </w:p>
    <w:p w14:paraId="13090766" w14:textId="77777777" w:rsidR="00416010" w:rsidRDefault="00416010" w:rsidP="00416010">
      <w:pPr>
        <w:pBdr>
          <w:top w:val="nil"/>
          <w:left w:val="nil"/>
          <w:bottom w:val="nil"/>
          <w:right w:val="nil"/>
          <w:between w:val="nil"/>
        </w:pBdr>
        <w:ind w:firstLine="567"/>
        <w:rPr>
          <w:rFonts w:eastAsia="Times New Roman" w:cs="Times New Roman"/>
          <w:color w:val="000000"/>
        </w:rPr>
      </w:pPr>
    </w:p>
    <w:p w14:paraId="5C6D874E" w14:textId="77777777" w:rsidR="00416010" w:rsidRDefault="00416010" w:rsidP="00416010">
      <w:pPr>
        <w:pBdr>
          <w:top w:val="nil"/>
          <w:left w:val="nil"/>
          <w:bottom w:val="nil"/>
          <w:right w:val="nil"/>
          <w:between w:val="nil"/>
        </w:pBdr>
        <w:jc w:val="center"/>
        <w:rPr>
          <w:rFonts w:eastAsia="Times New Roman" w:cs="Times New Roman"/>
          <w:color w:val="000000"/>
        </w:rPr>
      </w:pPr>
      <w:r>
        <w:rPr>
          <w:rFonts w:eastAsia="Times New Roman" w:cs="Times New Roman"/>
          <w:noProof/>
          <w:color w:val="000000"/>
        </w:rPr>
        <w:drawing>
          <wp:inline distT="0" distB="0" distL="0" distR="0" wp14:anchorId="074CEFC2" wp14:editId="2D968B2B">
            <wp:extent cx="5563949" cy="2941697"/>
            <wp:effectExtent l="0" t="0" r="0" b="0"/>
            <wp:docPr id="214140193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7"/>
                    <a:srcRect/>
                    <a:stretch>
                      <a:fillRect/>
                    </a:stretch>
                  </pic:blipFill>
                  <pic:spPr>
                    <a:xfrm>
                      <a:off x="0" y="0"/>
                      <a:ext cx="5563949" cy="2941697"/>
                    </a:xfrm>
                    <a:prstGeom prst="rect">
                      <a:avLst/>
                    </a:prstGeom>
                    <a:ln/>
                  </pic:spPr>
                </pic:pic>
              </a:graphicData>
            </a:graphic>
          </wp:inline>
        </w:drawing>
      </w:r>
    </w:p>
    <w:p w14:paraId="70EC9E77" w14:textId="77777777" w:rsidR="00416010" w:rsidRDefault="00416010" w:rsidP="00416010">
      <w:pPr>
        <w:pBdr>
          <w:top w:val="nil"/>
          <w:left w:val="nil"/>
          <w:bottom w:val="nil"/>
          <w:right w:val="nil"/>
          <w:between w:val="nil"/>
        </w:pBdr>
        <w:ind w:firstLine="567"/>
        <w:jc w:val="center"/>
        <w:rPr>
          <w:rFonts w:eastAsia="Times New Roman" w:cs="Times New Roman"/>
          <w:b/>
          <w:color w:val="000000"/>
        </w:rPr>
      </w:pPr>
      <w:r>
        <w:rPr>
          <w:rFonts w:eastAsia="Times New Roman" w:cs="Times New Roman"/>
          <w:b/>
          <w:color w:val="000000"/>
        </w:rPr>
        <w:lastRenderedPageBreak/>
        <w:t>Fig. 5.1.4 Evoluțiile proiecțiilor indicelui Palmer de severitate a secetei (PDSI) și ale tendințelor liniare asociate (linie albastră punctată) mediate la nivelul bazinului Dunării, pentru intervalul octombrie¬-aprilie (stânga) și mai-septembrie (dreapta) în condițiile scenariilor climatice de concentrațiilor globale medii (RCP 4.5) (sus) și ridicate (RCP 8.5) (jos) ale gazelor cu efect de seră (</w:t>
      </w:r>
      <w:r>
        <w:rPr>
          <w:rFonts w:eastAsia="Times New Roman" w:cs="Times New Roman"/>
          <w:b/>
          <w:i/>
          <w:color w:val="000000"/>
        </w:rPr>
        <w:t>sursa: ANM</w:t>
      </w:r>
      <w:r>
        <w:rPr>
          <w:rFonts w:eastAsia="Times New Roman" w:cs="Times New Roman"/>
          <w:b/>
          <w:color w:val="000000"/>
        </w:rPr>
        <w:t>)</w:t>
      </w:r>
    </w:p>
    <w:p w14:paraId="408820FC" w14:textId="77777777" w:rsidR="00416010" w:rsidRDefault="00416010" w:rsidP="00416010">
      <w:pPr>
        <w:ind w:firstLine="567"/>
        <w:rPr>
          <w:rFonts w:eastAsia="Times New Roman" w:cs="Times New Roman"/>
          <w:color w:val="000000"/>
        </w:rPr>
      </w:pPr>
    </w:p>
    <w:p w14:paraId="416630CC" w14:textId="77777777" w:rsidR="00416010" w:rsidRDefault="00416010" w:rsidP="00416010">
      <w:pPr>
        <w:spacing w:before="0"/>
        <w:ind w:firstLine="567"/>
        <w:rPr>
          <w:rFonts w:eastAsia="Times New Roman" w:cs="Times New Roman"/>
        </w:rPr>
      </w:pPr>
      <w:r>
        <w:rPr>
          <w:rFonts w:eastAsia="Times New Roman" w:cs="Times New Roman"/>
          <w:color w:val="000000"/>
        </w:rPr>
        <w:t xml:space="preserve">Principalele amenințări legate de gestionarea inadecvată a secetei în zona costieră sunt legate atât de reducerea resurselor de sol, cât și modificarea însușirilor fizice, chimice, mineralogice și biologice ale acestuia. Modificarea (în sens de aridizare) a regimului de umiditate a solului are drept consecinţă reducerea semnificativă a ponderii fazei lichide şi încetinirea / stoparea majorităţii proceselor fizice, biologice, biochimice şi chimice. </w:t>
      </w:r>
    </w:p>
    <w:p w14:paraId="086AE65E" w14:textId="77777777" w:rsidR="00416010" w:rsidRDefault="00416010" w:rsidP="00416010">
      <w:pPr>
        <w:spacing w:before="0"/>
        <w:ind w:firstLine="567"/>
        <w:rPr>
          <w:rFonts w:eastAsia="Times New Roman" w:cs="Times New Roman"/>
        </w:rPr>
      </w:pPr>
      <w:r>
        <w:rPr>
          <w:rFonts w:eastAsia="Times New Roman" w:cs="Times New Roman"/>
          <w:color w:val="000000"/>
        </w:rPr>
        <w:t xml:space="preserve">O altă amenințare legată de secetă și, în special de deșertificare, se referă la apele de suprafață și cele subterane al căror nivel poate fi serios afectat. Un exemplu în acest sens îl reprezintă secarea lacului Nuntași, în vara anului 2020, datorită secetei accentuată, dar favorizată și de dezinteresul autorităților în a asigura reconectarea cu lacurile Sinoe și Istria. Din cauza secetei hidrologice, acviferele de mică adâncime în Dobrogea de Nord pot suferi scăderi temporare sau permanente ale suprafeţelor piezometrice sub </w:t>
      </w:r>
      <w:r>
        <w:rPr>
          <w:rFonts w:eastAsia="Times New Roman" w:cs="Times New Roman"/>
        </w:rPr>
        <w:t>minimele</w:t>
      </w:r>
      <w:r>
        <w:rPr>
          <w:rFonts w:eastAsia="Times New Roman" w:cs="Times New Roman"/>
          <w:color w:val="000000"/>
        </w:rPr>
        <w:t xml:space="preserve"> istorice, ca urmare a variaţiilor sezoniere, semnificative pentru acviferele freatice.</w:t>
      </w:r>
    </w:p>
    <w:p w14:paraId="081458FA" w14:textId="77777777" w:rsidR="00416010" w:rsidRDefault="00416010" w:rsidP="00416010">
      <w:pPr>
        <w:spacing w:before="0" w:line="257" w:lineRule="auto"/>
        <w:rPr>
          <w:rFonts w:eastAsia="Times New Roman" w:cs="Times New Roman"/>
          <w:b/>
          <w:i/>
          <w:color w:val="000000"/>
        </w:rPr>
      </w:pPr>
      <w:r>
        <w:rPr>
          <w:rFonts w:eastAsia="Times New Roman" w:cs="Times New Roman"/>
          <w:b/>
          <w:i/>
          <w:color w:val="000000"/>
        </w:rPr>
        <w:t>Fenomene meteorologice extreme</w:t>
      </w:r>
    </w:p>
    <w:p w14:paraId="0FA62479" w14:textId="77777777" w:rsidR="00416010" w:rsidRDefault="00416010" w:rsidP="00416010">
      <w:pPr>
        <w:spacing w:before="0" w:line="257" w:lineRule="auto"/>
        <w:ind w:firstLine="567"/>
        <w:rPr>
          <w:rFonts w:eastAsia="Times New Roman" w:cs="Times New Roman"/>
          <w:color w:val="000000"/>
        </w:rPr>
      </w:pPr>
      <w:r>
        <w:rPr>
          <w:rFonts w:eastAsia="Times New Roman" w:cs="Times New Roman"/>
          <w:color w:val="000000"/>
        </w:rPr>
        <w:t>În contextul încălzirii globale, schimbările în regimul climatic la nivel național sunt influențate și de condițiile regionale. Datele furnizate de ANM arată că schimbările referitoare la regimului termic atmosferic, precum și precipitațiile medii, apar împreună cu modificări ale statisticilor fenomenelor meteorologice extreme. Frecvența și intensitatea acestor fenomene meteorologice extreme au crescut semnificativ la nivelul României, astfel, în anul 2021 au fost emise de către ANM cele mai multe mesaje pentru fenomene meteorologice periculoase la nivel național (167).</w:t>
      </w:r>
    </w:p>
    <w:p w14:paraId="73D1EB87" w14:textId="7518F773" w:rsidR="00416010" w:rsidRDefault="00416010" w:rsidP="00416010">
      <w:pPr>
        <w:spacing w:before="0" w:line="257" w:lineRule="auto"/>
        <w:ind w:firstLine="567"/>
        <w:rPr>
          <w:rFonts w:eastAsia="Times New Roman" w:cs="Times New Roman"/>
          <w:color w:val="000000"/>
        </w:rPr>
      </w:pPr>
      <w:r>
        <w:rPr>
          <w:rFonts w:eastAsia="Times New Roman" w:cs="Times New Roman"/>
          <w:color w:val="000000"/>
        </w:rPr>
        <w:t>Datele furnizate de ANM pentru zona costieră arată cel mai ridicat număr mediu anual de zile cu vînt tare și cu viscol la Sulina și cel mai mare număr mediu anual de zile cu vijelie la Constanța (Tabele 2.5.1.1 – 2.5.1.3). Este de remarcat numărul ridicat de zile cu vânt tare înregistrate la Sulina inclusiv pe perioada verii, comparativ cu celelalte stații unde acesta a fost nesemnificativ (Tabel 2.5.1.1).</w:t>
      </w:r>
    </w:p>
    <w:p w14:paraId="57459560" w14:textId="77777777" w:rsidR="00416010" w:rsidRDefault="00416010" w:rsidP="00416010">
      <w:pPr>
        <w:spacing w:after="0"/>
      </w:pPr>
    </w:p>
    <w:p w14:paraId="23805D1E" w14:textId="59D9E00D" w:rsidR="00416010" w:rsidRDefault="00416010" w:rsidP="00416010">
      <w:pPr>
        <w:spacing w:after="0"/>
        <w:ind w:left="1038" w:right="799"/>
        <w:jc w:val="center"/>
        <w:rPr>
          <w:rFonts w:eastAsia="Times New Roman" w:cs="Times New Roman"/>
        </w:rPr>
      </w:pPr>
      <w:bookmarkStart w:id="116" w:name="_heading=h.19c6y18" w:colFirst="0" w:colLast="0"/>
      <w:bookmarkEnd w:id="116"/>
      <w:r>
        <w:rPr>
          <w:rFonts w:eastAsia="Times New Roman" w:cs="Times New Roman"/>
          <w:b/>
          <w:color w:val="000000"/>
        </w:rPr>
        <w:t>Tabel 2.5.1.1 Număr total lunar multianual de zile cu vânt tare - perioada 1991-2020 (sursa; ANM)</w:t>
      </w:r>
    </w:p>
    <w:tbl>
      <w:tblPr>
        <w:tblW w:w="8798" w:type="dxa"/>
        <w:tblLayout w:type="fixed"/>
        <w:tblLook w:val="0400" w:firstRow="0" w:lastRow="0" w:firstColumn="0" w:lastColumn="0" w:noHBand="0" w:noVBand="1"/>
      </w:tblPr>
      <w:tblGrid>
        <w:gridCol w:w="1436"/>
        <w:gridCol w:w="580"/>
        <w:gridCol w:w="500"/>
        <w:gridCol w:w="580"/>
        <w:gridCol w:w="572"/>
        <w:gridCol w:w="480"/>
        <w:gridCol w:w="540"/>
        <w:gridCol w:w="538"/>
        <w:gridCol w:w="680"/>
        <w:gridCol w:w="540"/>
        <w:gridCol w:w="480"/>
        <w:gridCol w:w="540"/>
        <w:gridCol w:w="598"/>
        <w:gridCol w:w="734"/>
      </w:tblGrid>
      <w:tr w:rsidR="00416010" w14:paraId="5D207394" w14:textId="77777777" w:rsidTr="00416010">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E810831" w14:textId="77777777" w:rsidR="00416010" w:rsidRDefault="00416010" w:rsidP="00416010">
            <w:pPr>
              <w:spacing w:after="0" w:line="240" w:lineRule="auto"/>
              <w:ind w:left="300" w:right="60" w:firstLine="0"/>
              <w:rPr>
                <w:rFonts w:eastAsia="Times New Roman" w:cs="Times New Roman"/>
                <w:sz w:val="20"/>
                <w:szCs w:val="20"/>
              </w:rPr>
            </w:pPr>
            <w:r>
              <w:rPr>
                <w:rFonts w:eastAsia="Times New Roman" w:cs="Times New Roman"/>
                <w:color w:val="000000"/>
                <w:sz w:val="20"/>
                <w:szCs w:val="20"/>
              </w:rPr>
              <w:t>Stația</w:t>
            </w:r>
          </w:p>
        </w:tc>
        <w:tc>
          <w:tcPr>
            <w:tcW w:w="5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723ED70"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I</w:t>
            </w:r>
          </w:p>
        </w:tc>
        <w:tc>
          <w:tcPr>
            <w:tcW w:w="5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858868E" w14:textId="77777777" w:rsidR="00416010" w:rsidRDefault="00416010" w:rsidP="00416010">
            <w:pPr>
              <w:spacing w:after="0" w:line="240" w:lineRule="auto"/>
              <w:ind w:right="60" w:firstLine="0"/>
              <w:rPr>
                <w:rFonts w:eastAsia="Times New Roman" w:cs="Times New Roman"/>
                <w:sz w:val="20"/>
                <w:szCs w:val="20"/>
              </w:rPr>
            </w:pPr>
            <w:r>
              <w:rPr>
                <w:rFonts w:eastAsia="Times New Roman" w:cs="Times New Roman"/>
                <w:color w:val="000000"/>
                <w:sz w:val="20"/>
                <w:szCs w:val="20"/>
              </w:rPr>
              <w:t>II</w:t>
            </w:r>
          </w:p>
        </w:tc>
        <w:tc>
          <w:tcPr>
            <w:tcW w:w="5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72EB726" w14:textId="77777777" w:rsidR="00416010" w:rsidRDefault="00416010" w:rsidP="00416010">
            <w:pPr>
              <w:spacing w:after="0" w:line="240" w:lineRule="auto"/>
              <w:ind w:right="60" w:firstLine="0"/>
              <w:rPr>
                <w:rFonts w:eastAsia="Times New Roman" w:cs="Times New Roman"/>
                <w:sz w:val="20"/>
                <w:szCs w:val="20"/>
              </w:rPr>
            </w:pPr>
            <w:r>
              <w:rPr>
                <w:rFonts w:eastAsia="Times New Roman" w:cs="Times New Roman"/>
                <w:color w:val="000000"/>
                <w:sz w:val="20"/>
                <w:szCs w:val="20"/>
              </w:rPr>
              <w:t>Ill</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635042B" w14:textId="77777777" w:rsidR="00416010" w:rsidRDefault="00416010" w:rsidP="00416010">
            <w:pPr>
              <w:spacing w:after="0" w:line="240" w:lineRule="auto"/>
              <w:ind w:right="160" w:firstLine="0"/>
              <w:rPr>
                <w:rFonts w:eastAsia="Times New Roman" w:cs="Times New Roman"/>
                <w:sz w:val="20"/>
                <w:szCs w:val="20"/>
              </w:rPr>
            </w:pPr>
            <w:r>
              <w:rPr>
                <w:rFonts w:eastAsia="Times New Roman" w:cs="Times New Roman"/>
                <w:color w:val="000000"/>
                <w:sz w:val="20"/>
                <w:szCs w:val="20"/>
              </w:rPr>
              <w:t>IV</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AEDDDE2"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V</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265EF09" w14:textId="77777777" w:rsidR="00416010" w:rsidRDefault="00416010" w:rsidP="00416010">
            <w:pPr>
              <w:spacing w:after="0" w:line="240" w:lineRule="auto"/>
              <w:ind w:right="100" w:firstLine="0"/>
              <w:rPr>
                <w:rFonts w:eastAsia="Times New Roman" w:cs="Times New Roman"/>
                <w:sz w:val="20"/>
                <w:szCs w:val="20"/>
              </w:rPr>
            </w:pPr>
            <w:r>
              <w:rPr>
                <w:rFonts w:eastAsia="Times New Roman" w:cs="Times New Roman"/>
                <w:color w:val="000000"/>
                <w:sz w:val="20"/>
                <w:szCs w:val="20"/>
              </w:rPr>
              <w:t>VI</w:t>
            </w:r>
          </w:p>
        </w:tc>
        <w:tc>
          <w:tcPr>
            <w:tcW w:w="5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B8FEE23" w14:textId="77777777" w:rsidR="00416010" w:rsidRDefault="00416010" w:rsidP="00416010">
            <w:pPr>
              <w:spacing w:after="0" w:line="240" w:lineRule="auto"/>
              <w:ind w:right="60" w:firstLine="0"/>
              <w:rPr>
                <w:rFonts w:eastAsia="Times New Roman" w:cs="Times New Roman"/>
                <w:sz w:val="20"/>
                <w:szCs w:val="20"/>
              </w:rPr>
            </w:pPr>
            <w:r>
              <w:rPr>
                <w:rFonts w:eastAsia="Times New Roman" w:cs="Times New Roman"/>
                <w:color w:val="000000"/>
                <w:sz w:val="20"/>
                <w:szCs w:val="20"/>
              </w:rPr>
              <w:t>VII</w:t>
            </w:r>
          </w:p>
        </w:tc>
        <w:tc>
          <w:tcPr>
            <w:tcW w:w="6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BAF5B3B" w14:textId="77777777" w:rsidR="00416010" w:rsidRDefault="00416010" w:rsidP="00416010">
            <w:pPr>
              <w:spacing w:after="0" w:line="240" w:lineRule="auto"/>
              <w:ind w:right="120" w:firstLine="0"/>
              <w:rPr>
                <w:rFonts w:eastAsia="Times New Roman" w:cs="Times New Roman"/>
                <w:sz w:val="20"/>
                <w:szCs w:val="20"/>
              </w:rPr>
            </w:pPr>
            <w:r>
              <w:rPr>
                <w:rFonts w:eastAsia="Times New Roman" w:cs="Times New Roman"/>
                <w:color w:val="000000"/>
                <w:sz w:val="20"/>
                <w:szCs w:val="20"/>
              </w:rPr>
              <w:t>VIII</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14BA7DA" w14:textId="77777777" w:rsidR="00416010" w:rsidRDefault="00416010" w:rsidP="00416010">
            <w:pPr>
              <w:spacing w:after="0" w:line="240" w:lineRule="auto"/>
              <w:ind w:right="120" w:firstLine="0"/>
              <w:rPr>
                <w:rFonts w:eastAsia="Times New Roman" w:cs="Times New Roman"/>
                <w:sz w:val="20"/>
                <w:szCs w:val="20"/>
              </w:rPr>
            </w:pPr>
            <w:r>
              <w:rPr>
                <w:rFonts w:eastAsia="Times New Roman" w:cs="Times New Roman"/>
                <w:color w:val="000000"/>
                <w:sz w:val="20"/>
                <w:szCs w:val="20"/>
              </w:rPr>
              <w:t>IX</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E72F943"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X</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BD1597B" w14:textId="77777777" w:rsidR="00416010" w:rsidRDefault="00416010" w:rsidP="00416010">
            <w:pPr>
              <w:spacing w:after="0" w:line="240" w:lineRule="auto"/>
              <w:ind w:right="120" w:firstLine="0"/>
              <w:rPr>
                <w:rFonts w:eastAsia="Times New Roman" w:cs="Times New Roman"/>
                <w:sz w:val="20"/>
                <w:szCs w:val="20"/>
              </w:rPr>
            </w:pPr>
            <w:r>
              <w:rPr>
                <w:rFonts w:eastAsia="Times New Roman" w:cs="Times New Roman"/>
                <w:color w:val="000000"/>
                <w:sz w:val="20"/>
                <w:szCs w:val="20"/>
              </w:rPr>
              <w:t>XI</w:t>
            </w:r>
          </w:p>
        </w:tc>
        <w:tc>
          <w:tcPr>
            <w:tcW w:w="59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9629655" w14:textId="77777777" w:rsidR="00416010" w:rsidRDefault="00416010" w:rsidP="00416010">
            <w:pPr>
              <w:spacing w:after="0" w:line="240" w:lineRule="auto"/>
              <w:ind w:right="120" w:firstLine="0"/>
              <w:rPr>
                <w:rFonts w:eastAsia="Times New Roman" w:cs="Times New Roman"/>
                <w:sz w:val="20"/>
                <w:szCs w:val="20"/>
              </w:rPr>
            </w:pPr>
            <w:r>
              <w:rPr>
                <w:rFonts w:eastAsia="Times New Roman" w:cs="Times New Roman"/>
                <w:color w:val="000000"/>
                <w:sz w:val="20"/>
                <w:szCs w:val="20"/>
              </w:rPr>
              <w:t>XII</w:t>
            </w:r>
          </w:p>
        </w:tc>
        <w:tc>
          <w:tcPr>
            <w:tcW w:w="73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62DFBC4" w14:textId="77777777" w:rsidR="00416010" w:rsidRDefault="00416010" w:rsidP="00416010">
            <w:pPr>
              <w:spacing w:after="0" w:line="240" w:lineRule="auto"/>
              <w:ind w:right="100" w:firstLine="0"/>
              <w:rPr>
                <w:rFonts w:eastAsia="Times New Roman" w:cs="Times New Roman"/>
                <w:sz w:val="20"/>
                <w:szCs w:val="20"/>
              </w:rPr>
            </w:pPr>
            <w:r>
              <w:rPr>
                <w:rFonts w:eastAsia="Times New Roman" w:cs="Times New Roman"/>
                <w:color w:val="000000"/>
                <w:sz w:val="20"/>
                <w:szCs w:val="20"/>
              </w:rPr>
              <w:t>anual</w:t>
            </w:r>
          </w:p>
        </w:tc>
      </w:tr>
      <w:tr w:rsidR="00416010" w14:paraId="4B6C50E7" w14:textId="77777777" w:rsidTr="00416010">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0FEEBD4" w14:textId="77777777" w:rsidR="00416010" w:rsidRDefault="00416010" w:rsidP="00416010">
            <w:pPr>
              <w:spacing w:after="0" w:line="240" w:lineRule="auto"/>
              <w:ind w:right="60" w:firstLine="0"/>
              <w:rPr>
                <w:rFonts w:eastAsia="Times New Roman" w:cs="Times New Roman"/>
                <w:sz w:val="20"/>
                <w:szCs w:val="20"/>
              </w:rPr>
            </w:pPr>
            <w:r>
              <w:rPr>
                <w:rFonts w:eastAsia="Times New Roman" w:cs="Times New Roman"/>
                <w:color w:val="000000"/>
                <w:sz w:val="20"/>
                <w:szCs w:val="20"/>
              </w:rPr>
              <w:t>Constanța</w:t>
            </w:r>
          </w:p>
        </w:tc>
        <w:tc>
          <w:tcPr>
            <w:tcW w:w="5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EA9EF8C" w14:textId="77777777" w:rsidR="00416010" w:rsidRDefault="00416010" w:rsidP="00416010">
            <w:pPr>
              <w:spacing w:after="0" w:line="240" w:lineRule="auto"/>
              <w:ind w:right="60"/>
              <w:rPr>
                <w:rFonts w:eastAsia="Times New Roman" w:cs="Times New Roman"/>
                <w:sz w:val="20"/>
                <w:szCs w:val="20"/>
              </w:rPr>
            </w:pPr>
            <w:r>
              <w:rPr>
                <w:rFonts w:eastAsia="Times New Roman" w:cs="Times New Roman"/>
                <w:color w:val="000000"/>
                <w:sz w:val="20"/>
                <w:szCs w:val="20"/>
              </w:rPr>
              <w:t>11</w:t>
            </w:r>
          </w:p>
        </w:tc>
        <w:tc>
          <w:tcPr>
            <w:tcW w:w="5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85784EF"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3</w:t>
            </w:r>
          </w:p>
        </w:tc>
        <w:tc>
          <w:tcPr>
            <w:tcW w:w="5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0938BB5"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4</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7637225"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2</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D1EFC03"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8B6E19E"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AFA6521"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6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3069110" w14:textId="77777777" w:rsidR="00416010" w:rsidRDefault="00416010" w:rsidP="00416010">
            <w:pPr>
              <w:spacing w:after="0" w:line="240" w:lineRule="auto"/>
              <w:ind w:right="240" w:firstLine="0"/>
              <w:rPr>
                <w:rFonts w:eastAsia="Times New Roman" w:cs="Times New Roman"/>
                <w:sz w:val="20"/>
                <w:szCs w:val="20"/>
              </w:rPr>
            </w:pPr>
            <w:r>
              <w:rPr>
                <w:rFonts w:eastAsia="Times New Roman" w:cs="Times New Roman"/>
                <w:color w:val="000000"/>
                <w:sz w:val="20"/>
                <w:szCs w:val="20"/>
              </w:rPr>
              <w:t>0</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DF7BFC5"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484C1D0"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3</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40BF97E"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4</w:t>
            </w:r>
          </w:p>
        </w:tc>
        <w:tc>
          <w:tcPr>
            <w:tcW w:w="59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A6F21B4"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7</w:t>
            </w:r>
          </w:p>
        </w:tc>
        <w:tc>
          <w:tcPr>
            <w:tcW w:w="73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46CC272" w14:textId="77777777" w:rsidR="00416010" w:rsidRDefault="00416010" w:rsidP="00416010">
            <w:pPr>
              <w:spacing w:after="0" w:line="240" w:lineRule="auto"/>
              <w:ind w:right="100" w:firstLine="0"/>
              <w:rPr>
                <w:rFonts w:eastAsia="Times New Roman" w:cs="Times New Roman"/>
                <w:sz w:val="20"/>
                <w:szCs w:val="20"/>
              </w:rPr>
            </w:pPr>
            <w:r>
              <w:rPr>
                <w:rFonts w:eastAsia="Times New Roman" w:cs="Times New Roman"/>
                <w:color w:val="000000"/>
                <w:sz w:val="20"/>
                <w:szCs w:val="20"/>
              </w:rPr>
              <w:t>34</w:t>
            </w:r>
          </w:p>
        </w:tc>
      </w:tr>
      <w:tr w:rsidR="00416010" w14:paraId="570AABB8" w14:textId="77777777" w:rsidTr="00416010">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5687E52" w14:textId="77777777" w:rsidR="00416010" w:rsidRDefault="00416010" w:rsidP="00416010">
            <w:pPr>
              <w:spacing w:after="0" w:line="240" w:lineRule="auto"/>
              <w:ind w:right="60" w:firstLine="0"/>
              <w:rPr>
                <w:rFonts w:eastAsia="Times New Roman" w:cs="Times New Roman"/>
                <w:sz w:val="20"/>
                <w:szCs w:val="20"/>
              </w:rPr>
            </w:pPr>
            <w:r>
              <w:rPr>
                <w:rFonts w:eastAsia="Times New Roman" w:cs="Times New Roman"/>
                <w:color w:val="000000"/>
                <w:sz w:val="20"/>
                <w:szCs w:val="20"/>
              </w:rPr>
              <w:t>Gura Portiței</w:t>
            </w:r>
          </w:p>
        </w:tc>
        <w:tc>
          <w:tcPr>
            <w:tcW w:w="5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4C2BF71"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9</w:t>
            </w:r>
          </w:p>
        </w:tc>
        <w:tc>
          <w:tcPr>
            <w:tcW w:w="5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E373FF9"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3</w:t>
            </w:r>
          </w:p>
        </w:tc>
        <w:tc>
          <w:tcPr>
            <w:tcW w:w="5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89DF8D7" w14:textId="77777777" w:rsidR="00416010" w:rsidRDefault="00416010" w:rsidP="00416010">
            <w:pPr>
              <w:spacing w:after="0" w:line="240" w:lineRule="auto"/>
              <w:ind w:right="80" w:firstLine="0"/>
              <w:rPr>
                <w:rFonts w:eastAsia="Times New Roman" w:cs="Times New Roman"/>
                <w:sz w:val="20"/>
                <w:szCs w:val="20"/>
              </w:rPr>
            </w:pPr>
            <w:r>
              <w:rPr>
                <w:rFonts w:eastAsia="Times New Roman" w:cs="Times New Roman"/>
                <w:color w:val="000000"/>
                <w:sz w:val="20"/>
                <w:szCs w:val="20"/>
              </w:rPr>
              <w:t>10</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F603196"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4</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85B2D65"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CE956BB"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EB11202"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6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A0CBAE8" w14:textId="77777777" w:rsidR="00416010" w:rsidRDefault="00416010" w:rsidP="00416010">
            <w:pPr>
              <w:spacing w:after="0" w:line="240" w:lineRule="auto"/>
              <w:ind w:right="220" w:firstLine="0"/>
              <w:rPr>
                <w:rFonts w:eastAsia="Times New Roman" w:cs="Times New Roman"/>
                <w:sz w:val="20"/>
                <w:szCs w:val="20"/>
              </w:rPr>
            </w:pPr>
            <w:r>
              <w:rPr>
                <w:rFonts w:eastAsia="Times New Roman" w:cs="Times New Roman"/>
                <w:color w:val="000000"/>
                <w:sz w:val="20"/>
                <w:szCs w:val="20"/>
              </w:rPr>
              <w:t>2</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56B2A80"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B4A50A2"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D04326A"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4</w:t>
            </w:r>
          </w:p>
        </w:tc>
        <w:tc>
          <w:tcPr>
            <w:tcW w:w="59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50EE500"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7</w:t>
            </w:r>
          </w:p>
        </w:tc>
        <w:tc>
          <w:tcPr>
            <w:tcW w:w="73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773F856" w14:textId="77777777" w:rsidR="00416010" w:rsidRDefault="00416010" w:rsidP="00416010">
            <w:pPr>
              <w:spacing w:after="0" w:line="240" w:lineRule="auto"/>
              <w:ind w:right="100" w:firstLine="0"/>
              <w:rPr>
                <w:rFonts w:eastAsia="Times New Roman" w:cs="Times New Roman"/>
                <w:sz w:val="20"/>
                <w:szCs w:val="20"/>
              </w:rPr>
            </w:pPr>
            <w:r>
              <w:rPr>
                <w:rFonts w:eastAsia="Times New Roman" w:cs="Times New Roman"/>
                <w:color w:val="000000"/>
                <w:sz w:val="20"/>
                <w:szCs w:val="20"/>
              </w:rPr>
              <w:t>44</w:t>
            </w:r>
          </w:p>
        </w:tc>
      </w:tr>
      <w:tr w:rsidR="00416010" w14:paraId="0DB366CC" w14:textId="77777777" w:rsidTr="00416010">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F6A9FB0" w14:textId="77777777" w:rsidR="00416010" w:rsidRDefault="00416010" w:rsidP="00416010">
            <w:pPr>
              <w:spacing w:after="0" w:line="240" w:lineRule="auto"/>
              <w:ind w:right="60" w:firstLine="0"/>
              <w:rPr>
                <w:rFonts w:eastAsia="Times New Roman" w:cs="Times New Roman"/>
                <w:sz w:val="20"/>
                <w:szCs w:val="20"/>
              </w:rPr>
            </w:pPr>
            <w:r>
              <w:rPr>
                <w:rFonts w:eastAsia="Times New Roman" w:cs="Times New Roman"/>
                <w:color w:val="000000"/>
                <w:sz w:val="20"/>
                <w:szCs w:val="20"/>
              </w:rPr>
              <w:lastRenderedPageBreak/>
              <w:t>Jurilovca</w:t>
            </w:r>
          </w:p>
        </w:tc>
        <w:tc>
          <w:tcPr>
            <w:tcW w:w="5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87D07B7" w14:textId="77777777" w:rsidR="00416010" w:rsidRDefault="00416010" w:rsidP="00416010">
            <w:pPr>
              <w:spacing w:after="0" w:line="240" w:lineRule="auto"/>
              <w:ind w:right="60" w:firstLine="0"/>
              <w:rPr>
                <w:rFonts w:eastAsia="Times New Roman" w:cs="Times New Roman"/>
                <w:sz w:val="20"/>
                <w:szCs w:val="20"/>
              </w:rPr>
            </w:pPr>
            <w:r>
              <w:rPr>
                <w:rFonts w:eastAsia="Times New Roman" w:cs="Times New Roman"/>
                <w:color w:val="000000"/>
                <w:sz w:val="20"/>
                <w:szCs w:val="20"/>
              </w:rPr>
              <w:t>21</w:t>
            </w:r>
          </w:p>
        </w:tc>
        <w:tc>
          <w:tcPr>
            <w:tcW w:w="5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F9DDD14" w14:textId="77777777" w:rsidR="00416010" w:rsidRDefault="00416010" w:rsidP="00416010">
            <w:pPr>
              <w:spacing w:after="0" w:line="240" w:lineRule="auto"/>
              <w:ind w:right="100" w:firstLine="0"/>
              <w:rPr>
                <w:rFonts w:eastAsia="Times New Roman" w:cs="Times New Roman"/>
                <w:sz w:val="20"/>
                <w:szCs w:val="20"/>
              </w:rPr>
            </w:pPr>
            <w:r>
              <w:rPr>
                <w:rFonts w:eastAsia="Times New Roman" w:cs="Times New Roman"/>
                <w:color w:val="000000"/>
                <w:sz w:val="20"/>
                <w:szCs w:val="20"/>
              </w:rPr>
              <w:t>12</w:t>
            </w:r>
          </w:p>
        </w:tc>
        <w:tc>
          <w:tcPr>
            <w:tcW w:w="5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6375428" w14:textId="77777777" w:rsidR="00416010" w:rsidRDefault="00416010" w:rsidP="00416010">
            <w:pPr>
              <w:spacing w:after="0" w:line="240" w:lineRule="auto"/>
              <w:ind w:right="80" w:firstLine="0"/>
              <w:rPr>
                <w:rFonts w:eastAsia="Times New Roman" w:cs="Times New Roman"/>
                <w:sz w:val="20"/>
                <w:szCs w:val="20"/>
              </w:rPr>
            </w:pPr>
            <w:r>
              <w:rPr>
                <w:rFonts w:eastAsia="Times New Roman" w:cs="Times New Roman"/>
                <w:color w:val="000000"/>
                <w:sz w:val="20"/>
                <w:szCs w:val="20"/>
              </w:rPr>
              <w:t>16</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3A4612A"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43071E9"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18EAF9D"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2</w:t>
            </w:r>
          </w:p>
        </w:tc>
        <w:tc>
          <w:tcPr>
            <w:tcW w:w="5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9F40E2C"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6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2D09CA7" w14:textId="77777777" w:rsidR="00416010" w:rsidRDefault="00416010" w:rsidP="00416010">
            <w:pPr>
              <w:spacing w:after="0" w:line="240" w:lineRule="auto"/>
              <w:ind w:right="220" w:firstLine="0"/>
              <w:rPr>
                <w:rFonts w:eastAsia="Times New Roman" w:cs="Times New Roman"/>
                <w:sz w:val="20"/>
                <w:szCs w:val="20"/>
              </w:rPr>
            </w:pPr>
            <w:r>
              <w:rPr>
                <w:rFonts w:eastAsia="Times New Roman" w:cs="Times New Roman"/>
                <w:color w:val="000000"/>
                <w:sz w:val="20"/>
                <w:szCs w:val="20"/>
              </w:rPr>
              <w:t>0</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8169760"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3</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5B9F626"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2</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A24D317"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4</w:t>
            </w:r>
          </w:p>
        </w:tc>
        <w:tc>
          <w:tcPr>
            <w:tcW w:w="59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1C2F78B"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8</w:t>
            </w:r>
          </w:p>
        </w:tc>
        <w:tc>
          <w:tcPr>
            <w:tcW w:w="73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F9F4F56" w14:textId="77777777" w:rsidR="00416010" w:rsidRDefault="00416010" w:rsidP="00416010">
            <w:pPr>
              <w:spacing w:after="0" w:line="240" w:lineRule="auto"/>
              <w:ind w:right="100" w:firstLine="0"/>
              <w:rPr>
                <w:rFonts w:eastAsia="Times New Roman" w:cs="Times New Roman"/>
                <w:sz w:val="20"/>
                <w:szCs w:val="20"/>
              </w:rPr>
            </w:pPr>
            <w:r>
              <w:rPr>
                <w:rFonts w:eastAsia="Times New Roman" w:cs="Times New Roman"/>
                <w:color w:val="000000"/>
                <w:sz w:val="20"/>
                <w:szCs w:val="20"/>
              </w:rPr>
              <w:t>61</w:t>
            </w:r>
          </w:p>
        </w:tc>
      </w:tr>
      <w:tr w:rsidR="00416010" w14:paraId="22D21DDD" w14:textId="77777777" w:rsidTr="00416010">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67B4E57" w14:textId="77777777" w:rsidR="00416010" w:rsidRDefault="00416010" w:rsidP="00416010">
            <w:pPr>
              <w:spacing w:after="0" w:line="240" w:lineRule="auto"/>
              <w:ind w:right="60" w:firstLine="0"/>
              <w:rPr>
                <w:rFonts w:eastAsia="Times New Roman" w:cs="Times New Roman"/>
                <w:sz w:val="20"/>
                <w:szCs w:val="20"/>
              </w:rPr>
            </w:pPr>
            <w:r>
              <w:rPr>
                <w:rFonts w:eastAsia="Times New Roman" w:cs="Times New Roman"/>
                <w:color w:val="000000"/>
                <w:sz w:val="20"/>
                <w:szCs w:val="20"/>
              </w:rPr>
              <w:t>Mangalia</w:t>
            </w:r>
          </w:p>
        </w:tc>
        <w:tc>
          <w:tcPr>
            <w:tcW w:w="5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3793C38"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3</w:t>
            </w:r>
          </w:p>
        </w:tc>
        <w:tc>
          <w:tcPr>
            <w:tcW w:w="5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D07F74D"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2</w:t>
            </w:r>
          </w:p>
        </w:tc>
        <w:tc>
          <w:tcPr>
            <w:tcW w:w="5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5A71F56"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76A0254"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8E8336B"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F098714"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B900A2B"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6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FE2EFDB" w14:textId="77777777" w:rsidR="00416010" w:rsidRDefault="00416010" w:rsidP="00416010">
            <w:pPr>
              <w:spacing w:after="0" w:line="240" w:lineRule="auto"/>
              <w:ind w:right="220" w:firstLine="0"/>
              <w:rPr>
                <w:rFonts w:eastAsia="Times New Roman" w:cs="Times New Roman"/>
                <w:sz w:val="20"/>
                <w:szCs w:val="20"/>
              </w:rPr>
            </w:pPr>
            <w:r>
              <w:rPr>
                <w:rFonts w:eastAsia="Times New Roman" w:cs="Times New Roman"/>
                <w:color w:val="000000"/>
                <w:sz w:val="20"/>
                <w:szCs w:val="20"/>
              </w:rPr>
              <w:t>0</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0189566"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A285906"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8EC1564"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9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3FD91D7"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73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1D0D040"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9</w:t>
            </w:r>
          </w:p>
        </w:tc>
      </w:tr>
      <w:tr w:rsidR="00416010" w14:paraId="38704BCB" w14:textId="77777777" w:rsidTr="00416010">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1D06F5D" w14:textId="77777777" w:rsidR="00416010" w:rsidRDefault="00416010" w:rsidP="00416010">
            <w:pPr>
              <w:spacing w:after="0" w:line="240" w:lineRule="auto"/>
              <w:ind w:right="120" w:firstLine="0"/>
              <w:rPr>
                <w:rFonts w:eastAsia="Times New Roman" w:cs="Times New Roman"/>
                <w:sz w:val="20"/>
                <w:szCs w:val="20"/>
              </w:rPr>
            </w:pPr>
            <w:r>
              <w:rPr>
                <w:rFonts w:eastAsia="Times New Roman" w:cs="Times New Roman"/>
                <w:color w:val="000000"/>
                <w:sz w:val="20"/>
                <w:szCs w:val="20"/>
              </w:rPr>
              <w:t>Sf. Gheorghe </w:t>
            </w:r>
          </w:p>
        </w:tc>
        <w:tc>
          <w:tcPr>
            <w:tcW w:w="5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44D38F2"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9</w:t>
            </w:r>
          </w:p>
        </w:tc>
        <w:tc>
          <w:tcPr>
            <w:tcW w:w="5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18E86FE"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4</w:t>
            </w:r>
          </w:p>
        </w:tc>
        <w:tc>
          <w:tcPr>
            <w:tcW w:w="5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3DD610A"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9</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EE0A143"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5</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A976A78"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DDC636B"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ADEFA4D"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6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7355489" w14:textId="77777777" w:rsidR="00416010" w:rsidRDefault="00416010" w:rsidP="00416010">
            <w:pPr>
              <w:spacing w:after="0" w:line="240" w:lineRule="auto"/>
              <w:ind w:right="220" w:firstLine="0"/>
              <w:rPr>
                <w:rFonts w:eastAsia="Times New Roman" w:cs="Times New Roman"/>
                <w:sz w:val="20"/>
                <w:szCs w:val="20"/>
              </w:rPr>
            </w:pPr>
            <w:r>
              <w:rPr>
                <w:rFonts w:eastAsia="Times New Roman" w:cs="Times New Roman"/>
                <w:color w:val="000000"/>
                <w:sz w:val="20"/>
                <w:szCs w:val="20"/>
              </w:rPr>
              <w:t>2</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3F8C94A"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A4ED43B"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D30A5B0"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6</w:t>
            </w:r>
          </w:p>
        </w:tc>
        <w:tc>
          <w:tcPr>
            <w:tcW w:w="59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E512B01"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7</w:t>
            </w:r>
          </w:p>
        </w:tc>
        <w:tc>
          <w:tcPr>
            <w:tcW w:w="73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AEB8593"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 xml:space="preserve"> 38</w:t>
            </w:r>
          </w:p>
        </w:tc>
      </w:tr>
      <w:tr w:rsidR="00416010" w14:paraId="44A4E1BF" w14:textId="77777777" w:rsidTr="00416010">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7187A18" w14:textId="77777777" w:rsidR="00416010" w:rsidRDefault="00416010" w:rsidP="00416010">
            <w:pPr>
              <w:spacing w:after="0" w:line="240" w:lineRule="auto"/>
              <w:ind w:right="60" w:firstLine="0"/>
              <w:rPr>
                <w:rFonts w:eastAsia="Times New Roman" w:cs="Times New Roman"/>
                <w:sz w:val="20"/>
                <w:szCs w:val="20"/>
              </w:rPr>
            </w:pPr>
            <w:r>
              <w:rPr>
                <w:rFonts w:eastAsia="Times New Roman" w:cs="Times New Roman"/>
                <w:color w:val="000000"/>
                <w:sz w:val="20"/>
                <w:szCs w:val="20"/>
              </w:rPr>
              <w:t>Sulina</w:t>
            </w:r>
          </w:p>
        </w:tc>
        <w:tc>
          <w:tcPr>
            <w:tcW w:w="5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110D246" w14:textId="77777777" w:rsidR="00416010" w:rsidRDefault="00416010" w:rsidP="00416010">
            <w:pPr>
              <w:spacing w:after="0" w:line="240" w:lineRule="auto"/>
              <w:ind w:right="80" w:firstLine="0"/>
              <w:rPr>
                <w:rFonts w:eastAsia="Times New Roman" w:cs="Times New Roman"/>
                <w:sz w:val="20"/>
                <w:szCs w:val="20"/>
              </w:rPr>
            </w:pPr>
            <w:r>
              <w:rPr>
                <w:rFonts w:eastAsia="Times New Roman" w:cs="Times New Roman"/>
                <w:color w:val="000000"/>
                <w:sz w:val="20"/>
                <w:szCs w:val="20"/>
              </w:rPr>
              <w:t>104</w:t>
            </w:r>
          </w:p>
        </w:tc>
        <w:tc>
          <w:tcPr>
            <w:tcW w:w="5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D5F7BF4" w14:textId="77777777" w:rsidR="00416010" w:rsidRDefault="00416010" w:rsidP="00416010">
            <w:pPr>
              <w:spacing w:after="0" w:line="240" w:lineRule="auto"/>
              <w:ind w:right="100" w:firstLine="0"/>
              <w:rPr>
                <w:rFonts w:eastAsia="Times New Roman" w:cs="Times New Roman"/>
                <w:sz w:val="20"/>
                <w:szCs w:val="20"/>
              </w:rPr>
            </w:pPr>
            <w:r>
              <w:rPr>
                <w:rFonts w:eastAsia="Times New Roman" w:cs="Times New Roman"/>
                <w:color w:val="000000"/>
                <w:sz w:val="20"/>
                <w:szCs w:val="20"/>
              </w:rPr>
              <w:t>84</w:t>
            </w:r>
          </w:p>
        </w:tc>
        <w:tc>
          <w:tcPr>
            <w:tcW w:w="5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3232624" w14:textId="77777777" w:rsidR="00416010" w:rsidRDefault="00416010" w:rsidP="00416010">
            <w:pPr>
              <w:spacing w:after="0" w:line="240" w:lineRule="auto"/>
              <w:ind w:right="80" w:firstLine="0"/>
              <w:rPr>
                <w:rFonts w:eastAsia="Times New Roman" w:cs="Times New Roman"/>
                <w:sz w:val="20"/>
                <w:szCs w:val="20"/>
              </w:rPr>
            </w:pPr>
            <w:r>
              <w:rPr>
                <w:rFonts w:eastAsia="Times New Roman" w:cs="Times New Roman"/>
                <w:color w:val="000000"/>
                <w:sz w:val="20"/>
                <w:szCs w:val="20"/>
              </w:rPr>
              <w:t>118</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67B1F80"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61</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C7444F8" w14:textId="77777777" w:rsidR="00416010" w:rsidRDefault="00416010" w:rsidP="00416010">
            <w:pPr>
              <w:spacing w:after="0" w:line="240" w:lineRule="auto"/>
              <w:ind w:right="80" w:firstLine="0"/>
              <w:rPr>
                <w:rFonts w:eastAsia="Times New Roman" w:cs="Times New Roman"/>
                <w:sz w:val="20"/>
                <w:szCs w:val="20"/>
              </w:rPr>
            </w:pPr>
            <w:r>
              <w:rPr>
                <w:rFonts w:eastAsia="Times New Roman" w:cs="Times New Roman"/>
                <w:color w:val="000000"/>
                <w:sz w:val="20"/>
                <w:szCs w:val="20"/>
              </w:rPr>
              <w:t>37</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386C546" w14:textId="77777777" w:rsidR="00416010" w:rsidRDefault="00416010" w:rsidP="00416010">
            <w:pPr>
              <w:spacing w:after="0" w:line="240" w:lineRule="auto"/>
              <w:ind w:right="140" w:firstLine="0"/>
              <w:rPr>
                <w:rFonts w:eastAsia="Times New Roman" w:cs="Times New Roman"/>
                <w:sz w:val="20"/>
                <w:szCs w:val="20"/>
              </w:rPr>
            </w:pPr>
            <w:r>
              <w:rPr>
                <w:rFonts w:eastAsia="Times New Roman" w:cs="Times New Roman"/>
                <w:color w:val="000000"/>
                <w:sz w:val="20"/>
                <w:szCs w:val="20"/>
              </w:rPr>
              <w:t>28</w:t>
            </w:r>
          </w:p>
        </w:tc>
        <w:tc>
          <w:tcPr>
            <w:tcW w:w="5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44AC67B" w14:textId="77777777" w:rsidR="00416010" w:rsidRDefault="00416010" w:rsidP="00416010">
            <w:pPr>
              <w:spacing w:after="0" w:line="240" w:lineRule="auto"/>
              <w:ind w:right="80" w:firstLine="0"/>
              <w:rPr>
                <w:rFonts w:eastAsia="Times New Roman" w:cs="Times New Roman"/>
                <w:sz w:val="20"/>
                <w:szCs w:val="20"/>
              </w:rPr>
            </w:pPr>
            <w:r>
              <w:rPr>
                <w:rFonts w:eastAsia="Times New Roman" w:cs="Times New Roman"/>
                <w:color w:val="000000"/>
                <w:sz w:val="20"/>
                <w:szCs w:val="20"/>
              </w:rPr>
              <w:t>23</w:t>
            </w:r>
          </w:p>
        </w:tc>
        <w:tc>
          <w:tcPr>
            <w:tcW w:w="6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3AD0B10" w14:textId="77777777" w:rsidR="00416010" w:rsidRDefault="00416010" w:rsidP="00416010">
            <w:pPr>
              <w:spacing w:after="0" w:line="240" w:lineRule="auto"/>
              <w:ind w:right="160" w:firstLine="0"/>
              <w:rPr>
                <w:rFonts w:eastAsia="Times New Roman" w:cs="Times New Roman"/>
                <w:sz w:val="20"/>
                <w:szCs w:val="20"/>
              </w:rPr>
            </w:pPr>
            <w:r>
              <w:rPr>
                <w:rFonts w:eastAsia="Times New Roman" w:cs="Times New Roman"/>
                <w:color w:val="000000"/>
                <w:sz w:val="20"/>
                <w:szCs w:val="20"/>
              </w:rPr>
              <w:t>22</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08E4F5C" w14:textId="77777777" w:rsidR="00416010" w:rsidRDefault="00416010" w:rsidP="00416010">
            <w:pPr>
              <w:spacing w:after="0" w:line="240" w:lineRule="auto"/>
              <w:ind w:right="140" w:firstLine="0"/>
              <w:rPr>
                <w:rFonts w:eastAsia="Times New Roman" w:cs="Times New Roman"/>
                <w:sz w:val="20"/>
                <w:szCs w:val="20"/>
              </w:rPr>
            </w:pPr>
            <w:r>
              <w:rPr>
                <w:rFonts w:eastAsia="Times New Roman" w:cs="Times New Roman"/>
                <w:color w:val="000000"/>
                <w:sz w:val="20"/>
                <w:szCs w:val="20"/>
              </w:rPr>
              <w:t>46</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E876180" w14:textId="77777777" w:rsidR="00416010" w:rsidRDefault="00416010" w:rsidP="00416010">
            <w:pPr>
              <w:spacing w:after="0" w:line="240" w:lineRule="auto"/>
              <w:ind w:right="80" w:firstLine="0"/>
              <w:rPr>
                <w:rFonts w:eastAsia="Times New Roman" w:cs="Times New Roman"/>
                <w:sz w:val="20"/>
                <w:szCs w:val="20"/>
              </w:rPr>
            </w:pPr>
            <w:r>
              <w:rPr>
                <w:rFonts w:eastAsia="Times New Roman" w:cs="Times New Roman"/>
                <w:color w:val="000000"/>
                <w:sz w:val="20"/>
                <w:szCs w:val="20"/>
              </w:rPr>
              <w:t>57</w:t>
            </w:r>
          </w:p>
        </w:tc>
        <w:tc>
          <w:tcPr>
            <w:tcW w:w="54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AB4469D" w14:textId="77777777" w:rsidR="00416010" w:rsidRDefault="00416010" w:rsidP="00416010">
            <w:pPr>
              <w:spacing w:after="0" w:line="240" w:lineRule="auto"/>
              <w:ind w:right="140" w:firstLine="0"/>
              <w:rPr>
                <w:rFonts w:eastAsia="Times New Roman" w:cs="Times New Roman"/>
                <w:sz w:val="20"/>
                <w:szCs w:val="20"/>
              </w:rPr>
            </w:pPr>
            <w:r>
              <w:rPr>
                <w:rFonts w:eastAsia="Times New Roman" w:cs="Times New Roman"/>
                <w:color w:val="000000"/>
                <w:sz w:val="20"/>
                <w:szCs w:val="20"/>
              </w:rPr>
              <w:t>68</w:t>
            </w:r>
          </w:p>
        </w:tc>
        <w:tc>
          <w:tcPr>
            <w:tcW w:w="59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105CA14" w14:textId="77777777" w:rsidR="00416010" w:rsidRDefault="00416010" w:rsidP="00416010">
            <w:pPr>
              <w:spacing w:after="0" w:line="240" w:lineRule="auto"/>
              <w:ind w:right="140" w:firstLine="0"/>
              <w:rPr>
                <w:rFonts w:eastAsia="Times New Roman" w:cs="Times New Roman"/>
                <w:sz w:val="20"/>
                <w:szCs w:val="20"/>
              </w:rPr>
            </w:pPr>
            <w:r>
              <w:rPr>
                <w:rFonts w:eastAsia="Times New Roman" w:cs="Times New Roman"/>
                <w:color w:val="000000"/>
                <w:sz w:val="20"/>
                <w:szCs w:val="20"/>
              </w:rPr>
              <w:t>77</w:t>
            </w:r>
          </w:p>
        </w:tc>
        <w:tc>
          <w:tcPr>
            <w:tcW w:w="73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6264153" w14:textId="77777777" w:rsidR="00416010" w:rsidRDefault="00416010" w:rsidP="00416010">
            <w:pPr>
              <w:spacing w:after="0" w:line="240" w:lineRule="auto"/>
              <w:ind w:right="100" w:firstLine="0"/>
              <w:rPr>
                <w:rFonts w:eastAsia="Times New Roman" w:cs="Times New Roman"/>
                <w:sz w:val="20"/>
                <w:szCs w:val="20"/>
              </w:rPr>
            </w:pPr>
            <w:r>
              <w:rPr>
                <w:rFonts w:eastAsia="Times New Roman" w:cs="Times New Roman"/>
                <w:color w:val="000000"/>
                <w:sz w:val="20"/>
                <w:szCs w:val="20"/>
              </w:rPr>
              <w:t>725</w:t>
            </w:r>
          </w:p>
        </w:tc>
      </w:tr>
    </w:tbl>
    <w:p w14:paraId="04753901" w14:textId="77777777" w:rsidR="00416010" w:rsidRPr="00C0792F" w:rsidRDefault="00416010" w:rsidP="00416010">
      <w:pPr>
        <w:rPr>
          <w:rFonts w:cs="Times New Roman"/>
          <w:szCs w:val="20"/>
        </w:rPr>
      </w:pPr>
    </w:p>
    <w:p w14:paraId="20187BF6" w14:textId="16754B6F" w:rsidR="00416010" w:rsidRDefault="00416010" w:rsidP="00416010">
      <w:pPr>
        <w:spacing w:after="0"/>
        <w:ind w:right="799"/>
        <w:jc w:val="center"/>
        <w:rPr>
          <w:rFonts w:eastAsia="Times New Roman" w:cs="Times New Roman"/>
        </w:rPr>
      </w:pPr>
      <w:bookmarkStart w:id="117" w:name="_heading=h.3tbugp1" w:colFirst="0" w:colLast="0"/>
      <w:bookmarkEnd w:id="117"/>
      <w:r>
        <w:rPr>
          <w:rFonts w:eastAsia="Times New Roman" w:cs="Times New Roman"/>
          <w:b/>
          <w:color w:val="000000"/>
        </w:rPr>
        <w:t>Tabel 2.5.1.2 Număr total lunar multianual de zile cu vijelie - perioada 1991-2020 (sursa: ANM)</w:t>
      </w:r>
    </w:p>
    <w:tbl>
      <w:tblPr>
        <w:tblW w:w="8779" w:type="dxa"/>
        <w:tblLayout w:type="fixed"/>
        <w:tblLook w:val="0400" w:firstRow="0" w:lastRow="0" w:firstColumn="0" w:lastColumn="0" w:noHBand="0" w:noVBand="1"/>
      </w:tblPr>
      <w:tblGrid>
        <w:gridCol w:w="1437"/>
        <w:gridCol w:w="396"/>
        <w:gridCol w:w="531"/>
        <w:gridCol w:w="438"/>
        <w:gridCol w:w="572"/>
        <w:gridCol w:w="380"/>
        <w:gridCol w:w="512"/>
        <w:gridCol w:w="544"/>
        <w:gridCol w:w="709"/>
        <w:gridCol w:w="567"/>
        <w:gridCol w:w="567"/>
        <w:gridCol w:w="567"/>
        <w:gridCol w:w="708"/>
        <w:gridCol w:w="851"/>
      </w:tblGrid>
      <w:tr w:rsidR="00416010" w14:paraId="6D74C1B2" w14:textId="77777777" w:rsidTr="00416010">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658405E" w14:textId="77777777" w:rsidR="00416010" w:rsidRDefault="00416010" w:rsidP="00416010">
            <w:pPr>
              <w:spacing w:after="0" w:line="240" w:lineRule="auto"/>
              <w:ind w:left="300" w:right="60" w:firstLine="0"/>
              <w:rPr>
                <w:rFonts w:eastAsia="Times New Roman" w:cs="Times New Roman"/>
                <w:sz w:val="20"/>
                <w:szCs w:val="20"/>
              </w:rPr>
            </w:pPr>
            <w:r>
              <w:rPr>
                <w:rFonts w:eastAsia="Times New Roman" w:cs="Times New Roman"/>
                <w:color w:val="000000"/>
                <w:sz w:val="20"/>
                <w:szCs w:val="20"/>
              </w:rPr>
              <w:t>Stația</w:t>
            </w:r>
          </w:p>
        </w:tc>
        <w:tc>
          <w:tcPr>
            <w:tcW w:w="39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2AA323C"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I</w:t>
            </w:r>
          </w:p>
        </w:tc>
        <w:tc>
          <w:tcPr>
            <w:tcW w:w="53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6560AB4" w14:textId="77777777" w:rsidR="00416010" w:rsidRDefault="00416010" w:rsidP="00416010">
            <w:pPr>
              <w:spacing w:after="0" w:line="240" w:lineRule="auto"/>
              <w:ind w:right="60" w:firstLine="0"/>
              <w:rPr>
                <w:rFonts w:eastAsia="Times New Roman" w:cs="Times New Roman"/>
                <w:sz w:val="20"/>
                <w:szCs w:val="20"/>
              </w:rPr>
            </w:pPr>
            <w:r>
              <w:rPr>
                <w:rFonts w:eastAsia="Times New Roman" w:cs="Times New Roman"/>
                <w:color w:val="000000"/>
                <w:sz w:val="20"/>
                <w:szCs w:val="20"/>
              </w:rPr>
              <w:t>II</w:t>
            </w:r>
          </w:p>
        </w:tc>
        <w:tc>
          <w:tcPr>
            <w:tcW w:w="4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DE56C3E" w14:textId="77777777" w:rsidR="00416010" w:rsidRDefault="00416010" w:rsidP="00416010">
            <w:pPr>
              <w:spacing w:after="0" w:line="240" w:lineRule="auto"/>
              <w:ind w:right="60" w:firstLine="0"/>
              <w:rPr>
                <w:rFonts w:eastAsia="Times New Roman" w:cs="Times New Roman"/>
                <w:sz w:val="20"/>
                <w:szCs w:val="20"/>
              </w:rPr>
            </w:pPr>
            <w:r>
              <w:rPr>
                <w:rFonts w:eastAsia="Times New Roman" w:cs="Times New Roman"/>
                <w:color w:val="000000"/>
                <w:sz w:val="20"/>
                <w:szCs w:val="20"/>
              </w:rPr>
              <w:t>Ill</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57639A1" w14:textId="77777777" w:rsidR="00416010" w:rsidRDefault="00416010" w:rsidP="00416010">
            <w:pPr>
              <w:spacing w:after="0" w:line="240" w:lineRule="auto"/>
              <w:ind w:right="160" w:firstLine="0"/>
              <w:rPr>
                <w:rFonts w:eastAsia="Times New Roman" w:cs="Times New Roman"/>
                <w:sz w:val="20"/>
                <w:szCs w:val="20"/>
              </w:rPr>
            </w:pPr>
            <w:r>
              <w:rPr>
                <w:rFonts w:eastAsia="Times New Roman" w:cs="Times New Roman"/>
                <w:color w:val="000000"/>
                <w:sz w:val="20"/>
                <w:szCs w:val="20"/>
              </w:rPr>
              <w:t>IV</w:t>
            </w:r>
          </w:p>
        </w:tc>
        <w:tc>
          <w:tcPr>
            <w:tcW w:w="3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38D8452"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V</w:t>
            </w:r>
          </w:p>
        </w:tc>
        <w:tc>
          <w:tcPr>
            <w:tcW w:w="51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71A056D" w14:textId="77777777" w:rsidR="00416010" w:rsidRDefault="00416010" w:rsidP="00416010">
            <w:pPr>
              <w:spacing w:after="0" w:line="240" w:lineRule="auto"/>
              <w:ind w:right="100" w:firstLine="0"/>
              <w:rPr>
                <w:rFonts w:eastAsia="Times New Roman" w:cs="Times New Roman"/>
                <w:sz w:val="20"/>
                <w:szCs w:val="20"/>
              </w:rPr>
            </w:pPr>
            <w:r>
              <w:rPr>
                <w:rFonts w:eastAsia="Times New Roman" w:cs="Times New Roman"/>
                <w:color w:val="000000"/>
                <w:sz w:val="20"/>
                <w:szCs w:val="20"/>
              </w:rPr>
              <w:t>VI</w:t>
            </w:r>
          </w:p>
        </w:tc>
        <w:tc>
          <w:tcPr>
            <w:tcW w:w="54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C4ECC97" w14:textId="77777777" w:rsidR="00416010" w:rsidRDefault="00416010" w:rsidP="00416010">
            <w:pPr>
              <w:spacing w:after="0" w:line="240" w:lineRule="auto"/>
              <w:ind w:right="60" w:firstLine="0"/>
              <w:rPr>
                <w:rFonts w:eastAsia="Times New Roman" w:cs="Times New Roman"/>
                <w:sz w:val="20"/>
                <w:szCs w:val="20"/>
              </w:rPr>
            </w:pPr>
            <w:r>
              <w:rPr>
                <w:rFonts w:eastAsia="Times New Roman" w:cs="Times New Roman"/>
                <w:color w:val="000000"/>
                <w:sz w:val="20"/>
                <w:szCs w:val="20"/>
              </w:rPr>
              <w:t>VII</w:t>
            </w: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60B73DA" w14:textId="77777777" w:rsidR="00416010" w:rsidRDefault="00416010" w:rsidP="00416010">
            <w:pPr>
              <w:spacing w:after="0" w:line="240" w:lineRule="auto"/>
              <w:ind w:right="120" w:firstLine="0"/>
              <w:rPr>
                <w:rFonts w:eastAsia="Times New Roman" w:cs="Times New Roman"/>
                <w:sz w:val="20"/>
                <w:szCs w:val="20"/>
              </w:rPr>
            </w:pPr>
            <w:r>
              <w:rPr>
                <w:rFonts w:eastAsia="Times New Roman" w:cs="Times New Roman"/>
                <w:color w:val="000000"/>
                <w:sz w:val="20"/>
                <w:szCs w:val="20"/>
              </w:rPr>
              <w:t>VIII</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0685879" w14:textId="77777777" w:rsidR="00416010" w:rsidRDefault="00416010" w:rsidP="00416010">
            <w:pPr>
              <w:spacing w:after="0" w:line="240" w:lineRule="auto"/>
              <w:ind w:right="120" w:firstLine="0"/>
              <w:rPr>
                <w:rFonts w:eastAsia="Times New Roman" w:cs="Times New Roman"/>
                <w:sz w:val="20"/>
                <w:szCs w:val="20"/>
              </w:rPr>
            </w:pPr>
            <w:r>
              <w:rPr>
                <w:rFonts w:eastAsia="Times New Roman" w:cs="Times New Roman"/>
                <w:color w:val="000000"/>
                <w:sz w:val="20"/>
                <w:szCs w:val="20"/>
              </w:rPr>
              <w:t>IX</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E16F178"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X</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13A8ECA" w14:textId="77777777" w:rsidR="00416010" w:rsidRDefault="00416010" w:rsidP="00416010">
            <w:pPr>
              <w:spacing w:after="0" w:line="240" w:lineRule="auto"/>
              <w:ind w:right="120" w:firstLine="0"/>
              <w:rPr>
                <w:rFonts w:eastAsia="Times New Roman" w:cs="Times New Roman"/>
                <w:sz w:val="20"/>
                <w:szCs w:val="20"/>
              </w:rPr>
            </w:pPr>
            <w:r>
              <w:rPr>
                <w:rFonts w:eastAsia="Times New Roman" w:cs="Times New Roman"/>
                <w:color w:val="000000"/>
                <w:sz w:val="20"/>
                <w:szCs w:val="20"/>
              </w:rPr>
              <w:t>XI</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E84C182" w14:textId="77777777" w:rsidR="00416010" w:rsidRDefault="00416010" w:rsidP="00416010">
            <w:pPr>
              <w:spacing w:after="0" w:line="240" w:lineRule="auto"/>
              <w:ind w:right="120" w:firstLine="0"/>
              <w:rPr>
                <w:rFonts w:eastAsia="Times New Roman" w:cs="Times New Roman"/>
                <w:sz w:val="20"/>
                <w:szCs w:val="20"/>
              </w:rPr>
            </w:pPr>
            <w:r>
              <w:rPr>
                <w:rFonts w:eastAsia="Times New Roman" w:cs="Times New Roman"/>
                <w:color w:val="000000"/>
                <w:sz w:val="20"/>
                <w:szCs w:val="20"/>
              </w:rPr>
              <w:t>XII</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600882B" w14:textId="77777777" w:rsidR="00416010" w:rsidRDefault="00416010" w:rsidP="00416010">
            <w:pPr>
              <w:spacing w:after="0" w:line="240" w:lineRule="auto"/>
              <w:ind w:right="100" w:firstLine="0"/>
              <w:rPr>
                <w:rFonts w:eastAsia="Times New Roman" w:cs="Times New Roman"/>
                <w:sz w:val="20"/>
                <w:szCs w:val="20"/>
              </w:rPr>
            </w:pPr>
            <w:r>
              <w:rPr>
                <w:rFonts w:eastAsia="Times New Roman" w:cs="Times New Roman"/>
                <w:color w:val="000000"/>
                <w:sz w:val="20"/>
                <w:szCs w:val="20"/>
              </w:rPr>
              <w:t>anual</w:t>
            </w:r>
          </w:p>
        </w:tc>
      </w:tr>
      <w:tr w:rsidR="00416010" w14:paraId="61BD9198" w14:textId="77777777" w:rsidTr="00416010">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337AEF8" w14:textId="77777777" w:rsidR="00416010" w:rsidRDefault="00416010" w:rsidP="00416010">
            <w:pPr>
              <w:spacing w:after="0" w:line="240" w:lineRule="auto"/>
              <w:ind w:right="60" w:firstLine="0"/>
              <w:rPr>
                <w:rFonts w:eastAsia="Times New Roman" w:cs="Times New Roman"/>
                <w:sz w:val="20"/>
                <w:szCs w:val="20"/>
              </w:rPr>
            </w:pPr>
            <w:r>
              <w:rPr>
                <w:rFonts w:eastAsia="Times New Roman" w:cs="Times New Roman"/>
                <w:color w:val="000000"/>
                <w:sz w:val="20"/>
                <w:szCs w:val="20"/>
              </w:rPr>
              <w:t>Constanța</w:t>
            </w:r>
          </w:p>
        </w:tc>
        <w:tc>
          <w:tcPr>
            <w:tcW w:w="39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A4029BF" w14:textId="77777777" w:rsidR="00416010" w:rsidRDefault="00416010" w:rsidP="00416010">
            <w:pPr>
              <w:spacing w:after="0" w:line="240" w:lineRule="auto"/>
              <w:ind w:right="60" w:firstLine="0"/>
              <w:rPr>
                <w:rFonts w:eastAsia="Times New Roman" w:cs="Times New Roman"/>
                <w:sz w:val="20"/>
                <w:szCs w:val="20"/>
              </w:rPr>
            </w:pPr>
            <w:r>
              <w:rPr>
                <w:rFonts w:eastAsia="Times New Roman" w:cs="Times New Roman"/>
                <w:color w:val="000000"/>
                <w:sz w:val="20"/>
                <w:szCs w:val="20"/>
              </w:rPr>
              <w:t>0</w:t>
            </w:r>
          </w:p>
        </w:tc>
        <w:tc>
          <w:tcPr>
            <w:tcW w:w="53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A8E736F"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4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5EF244C"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2502937"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3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849DFE6"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1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51F47E2"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4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C156DF7"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D284D6F" w14:textId="77777777" w:rsidR="00416010" w:rsidRDefault="00416010" w:rsidP="00416010">
            <w:pPr>
              <w:spacing w:after="0" w:line="240" w:lineRule="auto"/>
              <w:ind w:right="240" w:firstLine="0"/>
              <w:rPr>
                <w:rFonts w:eastAsia="Times New Roman" w:cs="Times New Roman"/>
                <w:sz w:val="20"/>
                <w:szCs w:val="20"/>
              </w:rPr>
            </w:pPr>
            <w:r>
              <w:rPr>
                <w:rFonts w:eastAsia="Times New Roman" w:cs="Times New Roman"/>
                <w:color w:val="000000"/>
                <w:sz w:val="20"/>
                <w:szCs w:val="20"/>
              </w:rPr>
              <w:t>2</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E2F77B5"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E105987"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4479D22"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A63FC63"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8D65667" w14:textId="77777777" w:rsidR="00416010" w:rsidRDefault="00416010" w:rsidP="00416010">
            <w:pPr>
              <w:spacing w:after="0" w:line="240" w:lineRule="auto"/>
              <w:ind w:right="100" w:firstLine="0"/>
              <w:rPr>
                <w:rFonts w:eastAsia="Times New Roman" w:cs="Times New Roman"/>
                <w:sz w:val="20"/>
                <w:szCs w:val="20"/>
              </w:rPr>
            </w:pPr>
            <w:r>
              <w:rPr>
                <w:rFonts w:eastAsia="Times New Roman" w:cs="Times New Roman"/>
                <w:color w:val="000000"/>
                <w:sz w:val="20"/>
                <w:szCs w:val="20"/>
              </w:rPr>
              <w:t>9</w:t>
            </w:r>
          </w:p>
        </w:tc>
      </w:tr>
      <w:tr w:rsidR="00416010" w14:paraId="43AB77CF" w14:textId="77777777" w:rsidTr="00416010">
        <w:trPr>
          <w:trHeight w:val="553"/>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0876ECD" w14:textId="77777777" w:rsidR="00416010" w:rsidRDefault="00416010" w:rsidP="00416010">
            <w:pPr>
              <w:spacing w:after="0" w:line="240" w:lineRule="auto"/>
              <w:ind w:right="60" w:firstLine="0"/>
              <w:rPr>
                <w:rFonts w:eastAsia="Times New Roman" w:cs="Times New Roman"/>
                <w:sz w:val="20"/>
                <w:szCs w:val="20"/>
              </w:rPr>
            </w:pPr>
            <w:r>
              <w:rPr>
                <w:rFonts w:eastAsia="Times New Roman" w:cs="Times New Roman"/>
                <w:color w:val="000000"/>
                <w:sz w:val="20"/>
                <w:szCs w:val="20"/>
              </w:rPr>
              <w:t>Gura Portiței</w:t>
            </w:r>
          </w:p>
        </w:tc>
        <w:tc>
          <w:tcPr>
            <w:tcW w:w="39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6B28E9C"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3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B15ABDF"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4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96F6280" w14:textId="77777777" w:rsidR="00416010" w:rsidRDefault="00416010" w:rsidP="00416010">
            <w:pPr>
              <w:spacing w:after="0" w:line="240" w:lineRule="auto"/>
              <w:ind w:right="80" w:firstLine="0"/>
              <w:rPr>
                <w:rFonts w:eastAsia="Times New Roman" w:cs="Times New Roman"/>
                <w:sz w:val="20"/>
                <w:szCs w:val="20"/>
              </w:rPr>
            </w:pPr>
            <w:r>
              <w:rPr>
                <w:rFonts w:eastAsia="Times New Roman" w:cs="Times New Roman"/>
                <w:color w:val="000000"/>
                <w:sz w:val="20"/>
                <w:szCs w:val="20"/>
              </w:rPr>
              <w:t>0</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122B632"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3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BB47301"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1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4ACDB36"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4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662652E"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7D08940" w14:textId="77777777" w:rsidR="00416010" w:rsidRDefault="00416010" w:rsidP="00416010">
            <w:pPr>
              <w:spacing w:after="0" w:line="240" w:lineRule="auto"/>
              <w:ind w:right="220"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62E39AF"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667DBD2"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968DAB0"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69A4BC8"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85A1A30" w14:textId="77777777" w:rsidR="00416010" w:rsidRDefault="00416010" w:rsidP="00416010">
            <w:pPr>
              <w:spacing w:after="0" w:line="240" w:lineRule="auto"/>
              <w:ind w:right="100" w:firstLine="0"/>
              <w:rPr>
                <w:rFonts w:eastAsia="Times New Roman" w:cs="Times New Roman"/>
                <w:sz w:val="20"/>
                <w:szCs w:val="20"/>
              </w:rPr>
            </w:pPr>
            <w:r>
              <w:rPr>
                <w:rFonts w:eastAsia="Times New Roman" w:cs="Times New Roman"/>
                <w:color w:val="000000"/>
                <w:sz w:val="20"/>
                <w:szCs w:val="20"/>
              </w:rPr>
              <w:t>1</w:t>
            </w:r>
          </w:p>
        </w:tc>
      </w:tr>
      <w:tr w:rsidR="00416010" w14:paraId="1A8E9FCD" w14:textId="77777777" w:rsidTr="00416010">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42007E8" w14:textId="77777777" w:rsidR="00416010" w:rsidRDefault="00416010" w:rsidP="00416010">
            <w:pPr>
              <w:spacing w:after="0" w:line="240" w:lineRule="auto"/>
              <w:ind w:right="60" w:firstLine="0"/>
              <w:rPr>
                <w:rFonts w:eastAsia="Times New Roman" w:cs="Times New Roman"/>
                <w:sz w:val="20"/>
                <w:szCs w:val="20"/>
              </w:rPr>
            </w:pPr>
            <w:r>
              <w:rPr>
                <w:rFonts w:eastAsia="Times New Roman" w:cs="Times New Roman"/>
                <w:color w:val="000000"/>
                <w:sz w:val="20"/>
                <w:szCs w:val="20"/>
              </w:rPr>
              <w:t>Jurilovca</w:t>
            </w:r>
          </w:p>
        </w:tc>
        <w:tc>
          <w:tcPr>
            <w:tcW w:w="39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BDC2299" w14:textId="77777777" w:rsidR="00416010" w:rsidRDefault="00416010" w:rsidP="00416010">
            <w:pPr>
              <w:spacing w:after="0" w:line="240" w:lineRule="auto"/>
              <w:ind w:right="60" w:firstLine="0"/>
              <w:rPr>
                <w:rFonts w:eastAsia="Times New Roman" w:cs="Times New Roman"/>
                <w:sz w:val="20"/>
                <w:szCs w:val="20"/>
              </w:rPr>
            </w:pPr>
            <w:r>
              <w:rPr>
                <w:rFonts w:eastAsia="Times New Roman" w:cs="Times New Roman"/>
                <w:color w:val="000000"/>
                <w:sz w:val="20"/>
                <w:szCs w:val="20"/>
              </w:rPr>
              <w:t>0</w:t>
            </w:r>
          </w:p>
        </w:tc>
        <w:tc>
          <w:tcPr>
            <w:tcW w:w="53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728472F" w14:textId="77777777" w:rsidR="00416010" w:rsidRDefault="00416010" w:rsidP="00416010">
            <w:pPr>
              <w:spacing w:after="0" w:line="240" w:lineRule="auto"/>
              <w:ind w:right="100" w:firstLine="0"/>
              <w:rPr>
                <w:rFonts w:eastAsia="Times New Roman" w:cs="Times New Roman"/>
                <w:sz w:val="20"/>
                <w:szCs w:val="20"/>
              </w:rPr>
            </w:pPr>
            <w:r>
              <w:rPr>
                <w:rFonts w:eastAsia="Times New Roman" w:cs="Times New Roman"/>
                <w:color w:val="000000"/>
                <w:sz w:val="20"/>
                <w:szCs w:val="20"/>
              </w:rPr>
              <w:t>0</w:t>
            </w:r>
          </w:p>
        </w:tc>
        <w:tc>
          <w:tcPr>
            <w:tcW w:w="4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F3FBCCC" w14:textId="77777777" w:rsidR="00416010" w:rsidRDefault="00416010" w:rsidP="00416010">
            <w:pPr>
              <w:spacing w:after="0" w:line="240" w:lineRule="auto"/>
              <w:ind w:right="80" w:firstLine="0"/>
              <w:rPr>
                <w:rFonts w:eastAsia="Times New Roman" w:cs="Times New Roman"/>
                <w:sz w:val="20"/>
                <w:szCs w:val="20"/>
              </w:rPr>
            </w:pPr>
            <w:r>
              <w:rPr>
                <w:rFonts w:eastAsia="Times New Roman" w:cs="Times New Roman"/>
                <w:color w:val="000000"/>
                <w:sz w:val="20"/>
                <w:szCs w:val="20"/>
              </w:rPr>
              <w:t>0</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B3ADF6F"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3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C9A92F2"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1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1041DDC"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4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5FA79DB"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521A6FE" w14:textId="77777777" w:rsidR="00416010" w:rsidRDefault="00416010" w:rsidP="00416010">
            <w:pPr>
              <w:spacing w:after="0" w:line="240" w:lineRule="auto"/>
              <w:ind w:right="220"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7102F58"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2F53156"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3729F70"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F5B5472"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DC35B34" w14:textId="77777777" w:rsidR="00416010" w:rsidRDefault="00416010" w:rsidP="00416010">
            <w:pPr>
              <w:spacing w:after="0" w:line="240" w:lineRule="auto"/>
              <w:ind w:right="100" w:firstLine="0"/>
              <w:rPr>
                <w:rFonts w:eastAsia="Times New Roman" w:cs="Times New Roman"/>
                <w:sz w:val="20"/>
                <w:szCs w:val="20"/>
              </w:rPr>
            </w:pPr>
            <w:r>
              <w:rPr>
                <w:rFonts w:eastAsia="Times New Roman" w:cs="Times New Roman"/>
                <w:color w:val="000000"/>
                <w:sz w:val="20"/>
                <w:szCs w:val="20"/>
              </w:rPr>
              <w:t>0</w:t>
            </w:r>
          </w:p>
        </w:tc>
      </w:tr>
      <w:tr w:rsidR="00416010" w14:paraId="4AF93531" w14:textId="77777777" w:rsidTr="00416010">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C954101" w14:textId="77777777" w:rsidR="00416010" w:rsidRDefault="00416010" w:rsidP="00416010">
            <w:pPr>
              <w:spacing w:after="0" w:line="240" w:lineRule="auto"/>
              <w:ind w:right="60" w:firstLine="0"/>
              <w:rPr>
                <w:rFonts w:eastAsia="Times New Roman" w:cs="Times New Roman"/>
                <w:sz w:val="20"/>
                <w:szCs w:val="20"/>
              </w:rPr>
            </w:pPr>
            <w:r>
              <w:rPr>
                <w:rFonts w:eastAsia="Times New Roman" w:cs="Times New Roman"/>
                <w:color w:val="000000"/>
                <w:sz w:val="20"/>
                <w:szCs w:val="20"/>
              </w:rPr>
              <w:t>Mangalia</w:t>
            </w:r>
          </w:p>
        </w:tc>
        <w:tc>
          <w:tcPr>
            <w:tcW w:w="39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4EBB2C8"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3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1368064"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4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2E85F16"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79491E8"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3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9AE2CA0"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1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9F2CA91"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4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25211B7"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17E68AE" w14:textId="77777777" w:rsidR="00416010" w:rsidRDefault="00416010" w:rsidP="00416010">
            <w:pPr>
              <w:spacing w:after="0" w:line="240" w:lineRule="auto"/>
              <w:ind w:right="220"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982B4D4"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65FE5C9"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7FF0F68"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EFEFC40"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71FD347"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2</w:t>
            </w:r>
          </w:p>
        </w:tc>
      </w:tr>
      <w:tr w:rsidR="00416010" w14:paraId="61884E79" w14:textId="77777777" w:rsidTr="00416010">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57A6FF1" w14:textId="77777777" w:rsidR="00416010" w:rsidRDefault="00416010" w:rsidP="00416010">
            <w:pPr>
              <w:spacing w:after="0" w:line="240" w:lineRule="auto"/>
              <w:ind w:right="120" w:firstLine="0"/>
              <w:rPr>
                <w:rFonts w:eastAsia="Times New Roman" w:cs="Times New Roman"/>
                <w:sz w:val="20"/>
                <w:szCs w:val="20"/>
              </w:rPr>
            </w:pPr>
            <w:r>
              <w:rPr>
                <w:rFonts w:eastAsia="Times New Roman" w:cs="Times New Roman"/>
                <w:color w:val="000000"/>
                <w:sz w:val="20"/>
                <w:szCs w:val="20"/>
              </w:rPr>
              <w:t>Sf. Gheorghe </w:t>
            </w:r>
          </w:p>
        </w:tc>
        <w:tc>
          <w:tcPr>
            <w:tcW w:w="39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52553E8"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3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410BF94"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4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1925180"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54D994E"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3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CFF1E33"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1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23674B3"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4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E27DFA1"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ABAECD8" w14:textId="77777777" w:rsidR="00416010" w:rsidRDefault="00416010" w:rsidP="00416010">
            <w:pPr>
              <w:spacing w:after="0" w:line="240" w:lineRule="auto"/>
              <w:ind w:right="220"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1CEDA5"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0D577E1"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864E1A2"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130E57B"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 xml:space="preserve"> 0</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BE09386"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 xml:space="preserve"> 1</w:t>
            </w:r>
          </w:p>
        </w:tc>
      </w:tr>
      <w:tr w:rsidR="00416010" w14:paraId="3888992E" w14:textId="77777777" w:rsidTr="00416010">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5376D25" w14:textId="77777777" w:rsidR="00416010" w:rsidRDefault="00416010" w:rsidP="00416010">
            <w:pPr>
              <w:spacing w:after="0" w:line="240" w:lineRule="auto"/>
              <w:ind w:right="60" w:firstLine="0"/>
              <w:rPr>
                <w:rFonts w:eastAsia="Times New Roman" w:cs="Times New Roman"/>
                <w:sz w:val="20"/>
                <w:szCs w:val="20"/>
              </w:rPr>
            </w:pPr>
            <w:r>
              <w:rPr>
                <w:rFonts w:eastAsia="Times New Roman" w:cs="Times New Roman"/>
                <w:color w:val="000000"/>
                <w:sz w:val="20"/>
                <w:szCs w:val="20"/>
              </w:rPr>
              <w:t>Sulina</w:t>
            </w:r>
          </w:p>
        </w:tc>
        <w:tc>
          <w:tcPr>
            <w:tcW w:w="39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A630193" w14:textId="77777777" w:rsidR="00416010" w:rsidRDefault="00416010" w:rsidP="00416010">
            <w:pPr>
              <w:spacing w:after="0" w:line="240" w:lineRule="auto"/>
              <w:ind w:right="80" w:firstLine="0"/>
              <w:rPr>
                <w:rFonts w:eastAsia="Times New Roman" w:cs="Times New Roman"/>
                <w:sz w:val="20"/>
                <w:szCs w:val="20"/>
              </w:rPr>
            </w:pPr>
            <w:r>
              <w:rPr>
                <w:rFonts w:eastAsia="Times New Roman" w:cs="Times New Roman"/>
                <w:color w:val="000000"/>
                <w:sz w:val="20"/>
                <w:szCs w:val="20"/>
              </w:rPr>
              <w:t>0</w:t>
            </w:r>
          </w:p>
        </w:tc>
        <w:tc>
          <w:tcPr>
            <w:tcW w:w="53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3405C23" w14:textId="77777777" w:rsidR="00416010" w:rsidRDefault="00416010" w:rsidP="00416010">
            <w:pPr>
              <w:spacing w:after="0" w:line="240" w:lineRule="auto"/>
              <w:ind w:right="100" w:firstLine="0"/>
              <w:rPr>
                <w:rFonts w:eastAsia="Times New Roman" w:cs="Times New Roman"/>
                <w:sz w:val="20"/>
                <w:szCs w:val="20"/>
              </w:rPr>
            </w:pPr>
            <w:r>
              <w:rPr>
                <w:rFonts w:eastAsia="Times New Roman" w:cs="Times New Roman"/>
                <w:color w:val="000000"/>
                <w:sz w:val="20"/>
                <w:szCs w:val="20"/>
              </w:rPr>
              <w:t>0</w:t>
            </w:r>
          </w:p>
        </w:tc>
        <w:tc>
          <w:tcPr>
            <w:tcW w:w="4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71B8EBF" w14:textId="77777777" w:rsidR="00416010" w:rsidRDefault="00416010" w:rsidP="00416010">
            <w:pPr>
              <w:spacing w:after="0" w:line="240" w:lineRule="auto"/>
              <w:ind w:right="80" w:firstLine="0"/>
              <w:rPr>
                <w:rFonts w:eastAsia="Times New Roman" w:cs="Times New Roman"/>
                <w:sz w:val="20"/>
                <w:szCs w:val="20"/>
              </w:rPr>
            </w:pPr>
            <w:r>
              <w:rPr>
                <w:rFonts w:eastAsia="Times New Roman" w:cs="Times New Roman"/>
                <w:color w:val="000000"/>
                <w:sz w:val="20"/>
                <w:szCs w:val="20"/>
              </w:rPr>
              <w:t>0</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73FFBAC"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3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CA6B780" w14:textId="77777777" w:rsidR="00416010" w:rsidRDefault="00416010" w:rsidP="00416010">
            <w:pPr>
              <w:spacing w:after="0" w:line="240" w:lineRule="auto"/>
              <w:ind w:right="80" w:firstLine="0"/>
              <w:rPr>
                <w:rFonts w:eastAsia="Times New Roman" w:cs="Times New Roman"/>
                <w:sz w:val="20"/>
                <w:szCs w:val="20"/>
              </w:rPr>
            </w:pPr>
            <w:r>
              <w:rPr>
                <w:rFonts w:eastAsia="Times New Roman" w:cs="Times New Roman"/>
                <w:color w:val="000000"/>
                <w:sz w:val="20"/>
                <w:szCs w:val="20"/>
              </w:rPr>
              <w:t>0</w:t>
            </w:r>
          </w:p>
        </w:tc>
        <w:tc>
          <w:tcPr>
            <w:tcW w:w="51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2DA5DF2" w14:textId="77777777" w:rsidR="00416010" w:rsidRDefault="00416010" w:rsidP="00416010">
            <w:pPr>
              <w:spacing w:after="0" w:line="240" w:lineRule="auto"/>
              <w:ind w:right="140" w:firstLine="0"/>
              <w:rPr>
                <w:rFonts w:eastAsia="Times New Roman" w:cs="Times New Roman"/>
                <w:sz w:val="20"/>
                <w:szCs w:val="20"/>
              </w:rPr>
            </w:pPr>
            <w:r>
              <w:rPr>
                <w:rFonts w:eastAsia="Times New Roman" w:cs="Times New Roman"/>
                <w:color w:val="000000"/>
                <w:sz w:val="20"/>
                <w:szCs w:val="20"/>
              </w:rPr>
              <w:t>0</w:t>
            </w:r>
          </w:p>
        </w:tc>
        <w:tc>
          <w:tcPr>
            <w:tcW w:w="54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E5312D0" w14:textId="77777777" w:rsidR="00416010" w:rsidRDefault="00416010" w:rsidP="00416010">
            <w:pPr>
              <w:spacing w:after="0" w:line="240" w:lineRule="auto"/>
              <w:ind w:right="80" w:firstLine="0"/>
              <w:rPr>
                <w:rFonts w:eastAsia="Times New Roman" w:cs="Times New Roman"/>
                <w:sz w:val="20"/>
                <w:szCs w:val="20"/>
              </w:rPr>
            </w:pPr>
            <w:r>
              <w:rPr>
                <w:rFonts w:eastAsia="Times New Roman" w:cs="Times New Roman"/>
                <w:color w:val="000000"/>
                <w:sz w:val="20"/>
                <w:szCs w:val="20"/>
              </w:rPr>
              <w:t>0</w:t>
            </w: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4057FD2" w14:textId="77777777" w:rsidR="00416010" w:rsidRDefault="00416010" w:rsidP="00416010">
            <w:pPr>
              <w:spacing w:after="0" w:line="240" w:lineRule="auto"/>
              <w:ind w:right="160" w:firstLine="0"/>
              <w:rPr>
                <w:rFonts w:eastAsia="Times New Roman" w:cs="Times New Roman"/>
                <w:sz w:val="20"/>
                <w:szCs w:val="20"/>
              </w:rPr>
            </w:pPr>
            <w:r>
              <w:rPr>
                <w:rFonts w:eastAsia="Times New Roman" w:cs="Times New Roman"/>
                <w:color w:val="000000"/>
                <w:sz w:val="20"/>
                <w:szCs w:val="20"/>
              </w:rPr>
              <w:t>2</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2054EFE" w14:textId="77777777" w:rsidR="00416010" w:rsidRDefault="00416010" w:rsidP="00416010">
            <w:pPr>
              <w:spacing w:after="0" w:line="240" w:lineRule="auto"/>
              <w:ind w:right="140"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0B4267D" w14:textId="77777777" w:rsidR="00416010" w:rsidRDefault="00416010" w:rsidP="00416010">
            <w:pPr>
              <w:spacing w:after="0" w:line="240" w:lineRule="auto"/>
              <w:ind w:right="80"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A35566F" w14:textId="77777777" w:rsidR="00416010" w:rsidRDefault="00416010" w:rsidP="00416010">
            <w:pPr>
              <w:spacing w:after="0" w:line="240" w:lineRule="auto"/>
              <w:ind w:right="140" w:firstLine="0"/>
              <w:rPr>
                <w:rFonts w:eastAsia="Times New Roman" w:cs="Times New Roman"/>
                <w:sz w:val="20"/>
                <w:szCs w:val="20"/>
              </w:rPr>
            </w:pPr>
            <w:r>
              <w:rPr>
                <w:rFonts w:eastAsia="Times New Roman" w:cs="Times New Roman"/>
                <w:color w:val="000000"/>
                <w:sz w:val="20"/>
                <w:szCs w:val="20"/>
              </w:rPr>
              <w:t>0</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B41D60A" w14:textId="77777777" w:rsidR="00416010" w:rsidRDefault="00416010" w:rsidP="00416010">
            <w:pPr>
              <w:spacing w:after="0" w:line="240" w:lineRule="auto"/>
              <w:ind w:right="140" w:firstLine="0"/>
              <w:rPr>
                <w:rFonts w:eastAsia="Times New Roman" w:cs="Times New Roman"/>
                <w:sz w:val="20"/>
                <w:szCs w:val="20"/>
              </w:rPr>
            </w:pPr>
            <w:r>
              <w:rPr>
                <w:rFonts w:eastAsia="Times New Roman" w:cs="Times New Roman"/>
                <w:color w:val="000000"/>
                <w:sz w:val="20"/>
                <w:szCs w:val="20"/>
              </w:rPr>
              <w:t>0</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7BCFED2" w14:textId="77777777" w:rsidR="00416010" w:rsidRDefault="00416010" w:rsidP="00416010">
            <w:pPr>
              <w:spacing w:after="0" w:line="240" w:lineRule="auto"/>
              <w:ind w:right="100" w:firstLine="0"/>
              <w:rPr>
                <w:rFonts w:eastAsia="Times New Roman" w:cs="Times New Roman"/>
                <w:sz w:val="20"/>
                <w:szCs w:val="20"/>
              </w:rPr>
            </w:pPr>
            <w:r>
              <w:rPr>
                <w:rFonts w:eastAsia="Times New Roman" w:cs="Times New Roman"/>
                <w:color w:val="000000"/>
                <w:sz w:val="20"/>
                <w:szCs w:val="20"/>
              </w:rPr>
              <w:t>2</w:t>
            </w:r>
          </w:p>
        </w:tc>
      </w:tr>
    </w:tbl>
    <w:p w14:paraId="6B6939D9" w14:textId="77777777" w:rsidR="00416010" w:rsidRPr="00C0792F" w:rsidRDefault="00416010" w:rsidP="00416010">
      <w:pPr>
        <w:rPr>
          <w:rFonts w:cs="Times New Roman"/>
        </w:rPr>
      </w:pPr>
    </w:p>
    <w:p w14:paraId="3EDD2641" w14:textId="027D44E5" w:rsidR="00416010" w:rsidRDefault="00416010" w:rsidP="00416010">
      <w:pPr>
        <w:spacing w:after="0"/>
        <w:ind w:right="799"/>
        <w:jc w:val="center"/>
        <w:rPr>
          <w:rFonts w:eastAsia="Times New Roman" w:cs="Times New Roman"/>
        </w:rPr>
      </w:pPr>
      <w:bookmarkStart w:id="118" w:name="_heading=h.28h4qwu" w:colFirst="0" w:colLast="0"/>
      <w:bookmarkEnd w:id="118"/>
      <w:r>
        <w:rPr>
          <w:rFonts w:eastAsia="Times New Roman" w:cs="Times New Roman"/>
          <w:b/>
          <w:color w:val="000000"/>
        </w:rPr>
        <w:t>Tabel 2.5.1.3 Număr total lunar multianual de zile cu viscol - perioada 1991-2020</w:t>
      </w:r>
    </w:p>
    <w:tbl>
      <w:tblPr>
        <w:tblW w:w="8921" w:type="dxa"/>
        <w:tblLayout w:type="fixed"/>
        <w:tblLook w:val="0400" w:firstRow="0" w:lastRow="0" w:firstColumn="0" w:lastColumn="0" w:noHBand="0" w:noVBand="1"/>
      </w:tblPr>
      <w:tblGrid>
        <w:gridCol w:w="1437"/>
        <w:gridCol w:w="527"/>
        <w:gridCol w:w="500"/>
        <w:gridCol w:w="480"/>
        <w:gridCol w:w="572"/>
        <w:gridCol w:w="380"/>
        <w:gridCol w:w="512"/>
        <w:gridCol w:w="538"/>
        <w:gridCol w:w="680"/>
        <w:gridCol w:w="532"/>
        <w:gridCol w:w="495"/>
        <w:gridCol w:w="567"/>
        <w:gridCol w:w="850"/>
        <w:gridCol w:w="851"/>
      </w:tblGrid>
      <w:tr w:rsidR="00416010" w14:paraId="6829C938" w14:textId="77777777" w:rsidTr="00416010">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5115F29" w14:textId="77777777" w:rsidR="00416010" w:rsidRDefault="00416010" w:rsidP="00416010">
            <w:pPr>
              <w:spacing w:after="0" w:line="240" w:lineRule="auto"/>
              <w:ind w:left="300" w:right="60" w:hanging="126"/>
              <w:rPr>
                <w:rFonts w:eastAsia="Times New Roman" w:cs="Times New Roman"/>
                <w:sz w:val="20"/>
                <w:szCs w:val="20"/>
              </w:rPr>
            </w:pPr>
            <w:r>
              <w:rPr>
                <w:rFonts w:eastAsia="Times New Roman" w:cs="Times New Roman"/>
                <w:color w:val="000000"/>
                <w:sz w:val="20"/>
                <w:szCs w:val="20"/>
              </w:rPr>
              <w:t>Stația</w:t>
            </w:r>
          </w:p>
        </w:tc>
        <w:tc>
          <w:tcPr>
            <w:tcW w:w="52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67C6FAD"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I</w:t>
            </w:r>
          </w:p>
        </w:tc>
        <w:tc>
          <w:tcPr>
            <w:tcW w:w="5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ED51A23" w14:textId="77777777" w:rsidR="00416010" w:rsidRDefault="00416010" w:rsidP="00416010">
            <w:pPr>
              <w:spacing w:after="0" w:line="240" w:lineRule="auto"/>
              <w:ind w:right="60" w:firstLine="0"/>
              <w:rPr>
                <w:rFonts w:eastAsia="Times New Roman" w:cs="Times New Roman"/>
                <w:sz w:val="20"/>
                <w:szCs w:val="20"/>
              </w:rPr>
            </w:pPr>
            <w:r>
              <w:rPr>
                <w:rFonts w:eastAsia="Times New Roman" w:cs="Times New Roman"/>
                <w:color w:val="000000"/>
                <w:sz w:val="20"/>
                <w:szCs w:val="20"/>
              </w:rPr>
              <w:t>II</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05885D5" w14:textId="77777777" w:rsidR="00416010" w:rsidRDefault="00416010" w:rsidP="00416010">
            <w:pPr>
              <w:spacing w:after="0" w:line="240" w:lineRule="auto"/>
              <w:ind w:right="60" w:firstLine="0"/>
              <w:rPr>
                <w:rFonts w:eastAsia="Times New Roman" w:cs="Times New Roman"/>
                <w:sz w:val="20"/>
                <w:szCs w:val="20"/>
              </w:rPr>
            </w:pPr>
            <w:r>
              <w:rPr>
                <w:rFonts w:eastAsia="Times New Roman" w:cs="Times New Roman"/>
                <w:color w:val="000000"/>
                <w:sz w:val="20"/>
                <w:szCs w:val="20"/>
              </w:rPr>
              <w:t>Ill</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F132368" w14:textId="77777777" w:rsidR="00416010" w:rsidRDefault="00416010" w:rsidP="00416010">
            <w:pPr>
              <w:spacing w:after="0" w:line="240" w:lineRule="auto"/>
              <w:ind w:right="160" w:firstLine="0"/>
              <w:rPr>
                <w:rFonts w:eastAsia="Times New Roman" w:cs="Times New Roman"/>
                <w:sz w:val="20"/>
                <w:szCs w:val="20"/>
              </w:rPr>
            </w:pPr>
            <w:r>
              <w:rPr>
                <w:rFonts w:eastAsia="Times New Roman" w:cs="Times New Roman"/>
                <w:color w:val="000000"/>
                <w:sz w:val="20"/>
                <w:szCs w:val="20"/>
              </w:rPr>
              <w:t>IV</w:t>
            </w:r>
          </w:p>
        </w:tc>
        <w:tc>
          <w:tcPr>
            <w:tcW w:w="3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C421D41" w14:textId="77777777" w:rsidR="00416010" w:rsidRDefault="00416010" w:rsidP="00416010">
            <w:pPr>
              <w:spacing w:after="0" w:line="240" w:lineRule="auto"/>
              <w:ind w:firstLine="0"/>
              <w:rPr>
                <w:rFonts w:eastAsia="Times New Roman" w:cs="Times New Roman"/>
                <w:sz w:val="20"/>
                <w:szCs w:val="20"/>
              </w:rPr>
            </w:pPr>
            <w:r>
              <w:rPr>
                <w:rFonts w:eastAsia="Times New Roman" w:cs="Times New Roman"/>
                <w:color w:val="000000"/>
                <w:sz w:val="20"/>
                <w:szCs w:val="20"/>
              </w:rPr>
              <w:t>V</w:t>
            </w:r>
          </w:p>
        </w:tc>
        <w:tc>
          <w:tcPr>
            <w:tcW w:w="51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F692399" w14:textId="77777777" w:rsidR="00416010" w:rsidRDefault="00416010" w:rsidP="00A53D2B">
            <w:pPr>
              <w:spacing w:after="0" w:line="240" w:lineRule="auto"/>
              <w:ind w:right="100" w:firstLine="0"/>
              <w:rPr>
                <w:rFonts w:eastAsia="Times New Roman" w:cs="Times New Roman"/>
                <w:sz w:val="20"/>
                <w:szCs w:val="20"/>
              </w:rPr>
            </w:pPr>
            <w:r>
              <w:rPr>
                <w:rFonts w:eastAsia="Times New Roman" w:cs="Times New Roman"/>
                <w:color w:val="000000"/>
                <w:sz w:val="20"/>
                <w:szCs w:val="20"/>
              </w:rPr>
              <w:t>VI</w:t>
            </w:r>
          </w:p>
        </w:tc>
        <w:tc>
          <w:tcPr>
            <w:tcW w:w="5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F878E62" w14:textId="77777777" w:rsidR="00416010" w:rsidRDefault="00416010" w:rsidP="00A53D2B">
            <w:pPr>
              <w:spacing w:after="0" w:line="240" w:lineRule="auto"/>
              <w:ind w:right="60" w:firstLine="0"/>
              <w:rPr>
                <w:rFonts w:eastAsia="Times New Roman" w:cs="Times New Roman"/>
                <w:sz w:val="20"/>
                <w:szCs w:val="20"/>
              </w:rPr>
            </w:pPr>
            <w:r>
              <w:rPr>
                <w:rFonts w:eastAsia="Times New Roman" w:cs="Times New Roman"/>
                <w:color w:val="000000"/>
                <w:sz w:val="20"/>
                <w:szCs w:val="20"/>
              </w:rPr>
              <w:t>VII</w:t>
            </w:r>
          </w:p>
        </w:tc>
        <w:tc>
          <w:tcPr>
            <w:tcW w:w="6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E6E0B5C" w14:textId="77777777" w:rsidR="00416010" w:rsidRDefault="00416010" w:rsidP="00A53D2B">
            <w:pPr>
              <w:spacing w:after="0" w:line="240" w:lineRule="auto"/>
              <w:ind w:right="120" w:firstLine="0"/>
              <w:rPr>
                <w:rFonts w:eastAsia="Times New Roman" w:cs="Times New Roman"/>
                <w:sz w:val="20"/>
                <w:szCs w:val="20"/>
              </w:rPr>
            </w:pPr>
            <w:r>
              <w:rPr>
                <w:rFonts w:eastAsia="Times New Roman" w:cs="Times New Roman"/>
                <w:color w:val="000000"/>
                <w:sz w:val="20"/>
                <w:szCs w:val="20"/>
              </w:rPr>
              <w:t>VIII</w:t>
            </w:r>
          </w:p>
        </w:tc>
        <w:tc>
          <w:tcPr>
            <w:tcW w:w="53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EB6A662" w14:textId="77777777" w:rsidR="00416010" w:rsidRDefault="00416010" w:rsidP="00A53D2B">
            <w:pPr>
              <w:spacing w:after="0" w:line="240" w:lineRule="auto"/>
              <w:ind w:right="120" w:firstLine="0"/>
              <w:rPr>
                <w:rFonts w:eastAsia="Times New Roman" w:cs="Times New Roman"/>
                <w:sz w:val="20"/>
                <w:szCs w:val="20"/>
              </w:rPr>
            </w:pPr>
            <w:r>
              <w:rPr>
                <w:rFonts w:eastAsia="Times New Roman" w:cs="Times New Roman"/>
                <w:color w:val="000000"/>
                <w:sz w:val="20"/>
                <w:szCs w:val="20"/>
              </w:rPr>
              <w:t>IX</w:t>
            </w:r>
          </w:p>
        </w:tc>
        <w:tc>
          <w:tcPr>
            <w:tcW w:w="49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19CEE7"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X</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9232A76" w14:textId="77777777" w:rsidR="00416010" w:rsidRDefault="00416010" w:rsidP="00A53D2B">
            <w:pPr>
              <w:spacing w:after="0" w:line="240" w:lineRule="auto"/>
              <w:ind w:right="120" w:firstLine="0"/>
              <w:rPr>
                <w:rFonts w:eastAsia="Times New Roman" w:cs="Times New Roman"/>
                <w:sz w:val="20"/>
                <w:szCs w:val="20"/>
              </w:rPr>
            </w:pPr>
            <w:r>
              <w:rPr>
                <w:rFonts w:eastAsia="Times New Roman" w:cs="Times New Roman"/>
                <w:color w:val="000000"/>
                <w:sz w:val="20"/>
                <w:szCs w:val="20"/>
              </w:rPr>
              <w:t>XI</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520FA10" w14:textId="77777777" w:rsidR="00416010" w:rsidRDefault="00416010" w:rsidP="00A53D2B">
            <w:pPr>
              <w:spacing w:after="0" w:line="240" w:lineRule="auto"/>
              <w:ind w:right="120" w:firstLine="0"/>
              <w:rPr>
                <w:rFonts w:eastAsia="Times New Roman" w:cs="Times New Roman"/>
                <w:sz w:val="20"/>
                <w:szCs w:val="20"/>
              </w:rPr>
            </w:pPr>
            <w:r>
              <w:rPr>
                <w:rFonts w:eastAsia="Times New Roman" w:cs="Times New Roman"/>
                <w:color w:val="000000"/>
                <w:sz w:val="20"/>
                <w:szCs w:val="20"/>
              </w:rPr>
              <w:t>XII</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D260F67" w14:textId="77777777" w:rsidR="00416010" w:rsidRDefault="00416010" w:rsidP="00A53D2B">
            <w:pPr>
              <w:spacing w:after="0" w:line="240" w:lineRule="auto"/>
              <w:ind w:right="100" w:firstLine="0"/>
              <w:rPr>
                <w:rFonts w:eastAsia="Times New Roman" w:cs="Times New Roman"/>
                <w:sz w:val="20"/>
                <w:szCs w:val="20"/>
              </w:rPr>
            </w:pPr>
            <w:r>
              <w:rPr>
                <w:rFonts w:eastAsia="Times New Roman" w:cs="Times New Roman"/>
                <w:color w:val="000000"/>
                <w:sz w:val="20"/>
                <w:szCs w:val="20"/>
              </w:rPr>
              <w:t>Anual</w:t>
            </w:r>
          </w:p>
        </w:tc>
      </w:tr>
      <w:tr w:rsidR="00416010" w14:paraId="47817579" w14:textId="77777777" w:rsidTr="00416010">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6194B47" w14:textId="77777777" w:rsidR="00416010" w:rsidRDefault="00416010" w:rsidP="00416010">
            <w:pPr>
              <w:spacing w:after="0" w:line="240" w:lineRule="auto"/>
              <w:ind w:right="60" w:hanging="126"/>
              <w:rPr>
                <w:rFonts w:eastAsia="Times New Roman" w:cs="Times New Roman"/>
                <w:sz w:val="20"/>
                <w:szCs w:val="20"/>
              </w:rPr>
            </w:pPr>
            <w:r>
              <w:rPr>
                <w:rFonts w:eastAsia="Times New Roman" w:cs="Times New Roman"/>
                <w:color w:val="000000"/>
                <w:sz w:val="20"/>
                <w:szCs w:val="20"/>
              </w:rPr>
              <w:t>Constanța</w:t>
            </w:r>
          </w:p>
        </w:tc>
        <w:tc>
          <w:tcPr>
            <w:tcW w:w="52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369A5C8" w14:textId="77777777" w:rsidR="00416010" w:rsidRDefault="00416010" w:rsidP="00416010">
            <w:pPr>
              <w:spacing w:after="0" w:line="240" w:lineRule="auto"/>
              <w:ind w:right="60" w:firstLine="0"/>
              <w:rPr>
                <w:rFonts w:eastAsia="Times New Roman" w:cs="Times New Roman"/>
                <w:sz w:val="20"/>
                <w:szCs w:val="20"/>
              </w:rPr>
            </w:pPr>
            <w:r>
              <w:rPr>
                <w:rFonts w:eastAsia="Times New Roman" w:cs="Times New Roman"/>
                <w:color w:val="000000"/>
                <w:sz w:val="20"/>
                <w:szCs w:val="20"/>
              </w:rPr>
              <w:t>28</w:t>
            </w:r>
          </w:p>
        </w:tc>
        <w:tc>
          <w:tcPr>
            <w:tcW w:w="5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709ABF7"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13</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917196B"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4</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636ECEC"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3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42BE569"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1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30CD885"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EDB24F6"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6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8259F27" w14:textId="77777777" w:rsidR="00416010" w:rsidRDefault="00416010" w:rsidP="00A53D2B">
            <w:pPr>
              <w:spacing w:after="0" w:line="240" w:lineRule="auto"/>
              <w:ind w:right="240" w:firstLine="0"/>
              <w:rPr>
                <w:rFonts w:eastAsia="Times New Roman" w:cs="Times New Roman"/>
                <w:sz w:val="20"/>
                <w:szCs w:val="20"/>
              </w:rPr>
            </w:pPr>
            <w:r>
              <w:rPr>
                <w:rFonts w:eastAsia="Times New Roman" w:cs="Times New Roman"/>
                <w:color w:val="000000"/>
                <w:sz w:val="20"/>
                <w:szCs w:val="20"/>
              </w:rPr>
              <w:t>0</w:t>
            </w:r>
          </w:p>
        </w:tc>
        <w:tc>
          <w:tcPr>
            <w:tcW w:w="53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6574DF9"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49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E5702C6"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B126468"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2</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BA2DB00"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6</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1B85428" w14:textId="77777777" w:rsidR="00416010" w:rsidRDefault="00416010" w:rsidP="00A53D2B">
            <w:pPr>
              <w:spacing w:after="0" w:line="240" w:lineRule="auto"/>
              <w:ind w:right="100" w:firstLine="0"/>
              <w:rPr>
                <w:rFonts w:eastAsia="Times New Roman" w:cs="Times New Roman"/>
                <w:sz w:val="20"/>
                <w:szCs w:val="20"/>
              </w:rPr>
            </w:pPr>
            <w:r>
              <w:rPr>
                <w:rFonts w:eastAsia="Times New Roman" w:cs="Times New Roman"/>
                <w:color w:val="000000"/>
                <w:sz w:val="20"/>
                <w:szCs w:val="20"/>
              </w:rPr>
              <w:t>53</w:t>
            </w:r>
          </w:p>
        </w:tc>
      </w:tr>
      <w:tr w:rsidR="00416010" w14:paraId="53A92F85" w14:textId="77777777" w:rsidTr="00416010">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C846F02" w14:textId="77777777" w:rsidR="00416010" w:rsidRDefault="00416010" w:rsidP="00416010">
            <w:pPr>
              <w:spacing w:after="0" w:line="240" w:lineRule="auto"/>
              <w:ind w:right="60" w:hanging="126"/>
              <w:rPr>
                <w:rFonts w:eastAsia="Times New Roman" w:cs="Times New Roman"/>
                <w:sz w:val="20"/>
                <w:szCs w:val="20"/>
              </w:rPr>
            </w:pPr>
            <w:r>
              <w:rPr>
                <w:rFonts w:eastAsia="Times New Roman" w:cs="Times New Roman"/>
                <w:color w:val="000000"/>
                <w:sz w:val="20"/>
                <w:szCs w:val="20"/>
              </w:rPr>
              <w:t>Gura Portiței</w:t>
            </w:r>
          </w:p>
        </w:tc>
        <w:tc>
          <w:tcPr>
            <w:tcW w:w="52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FA38795"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14</w:t>
            </w:r>
          </w:p>
        </w:tc>
        <w:tc>
          <w:tcPr>
            <w:tcW w:w="5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F95092B"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8</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38D6646" w14:textId="77777777" w:rsidR="00416010" w:rsidRDefault="00416010" w:rsidP="00A53D2B">
            <w:pPr>
              <w:spacing w:after="0" w:line="240" w:lineRule="auto"/>
              <w:ind w:right="80" w:firstLine="0"/>
              <w:rPr>
                <w:rFonts w:eastAsia="Times New Roman" w:cs="Times New Roman"/>
                <w:sz w:val="20"/>
                <w:szCs w:val="20"/>
              </w:rPr>
            </w:pPr>
            <w:r>
              <w:rPr>
                <w:rFonts w:eastAsia="Times New Roman" w:cs="Times New Roman"/>
                <w:color w:val="000000"/>
                <w:sz w:val="20"/>
                <w:szCs w:val="20"/>
              </w:rPr>
              <w:t>1</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299795A"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3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4D13715"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1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93ADBC0"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20D144B"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6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AD035EB" w14:textId="77777777" w:rsidR="00416010" w:rsidRDefault="00416010" w:rsidP="00A53D2B">
            <w:pPr>
              <w:spacing w:after="0" w:line="240" w:lineRule="auto"/>
              <w:ind w:right="220" w:firstLine="0"/>
              <w:rPr>
                <w:rFonts w:eastAsia="Times New Roman" w:cs="Times New Roman"/>
                <w:sz w:val="20"/>
                <w:szCs w:val="20"/>
              </w:rPr>
            </w:pPr>
            <w:r>
              <w:rPr>
                <w:rFonts w:eastAsia="Times New Roman" w:cs="Times New Roman"/>
                <w:color w:val="000000"/>
                <w:sz w:val="20"/>
                <w:szCs w:val="20"/>
              </w:rPr>
              <w:t>0</w:t>
            </w:r>
          </w:p>
        </w:tc>
        <w:tc>
          <w:tcPr>
            <w:tcW w:w="53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0B16CCF"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49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1A82587" w14:textId="1CC98063" w:rsidR="00416010" w:rsidRDefault="00A53D2B" w:rsidP="00A53D2B">
            <w:pPr>
              <w:spacing w:after="0" w:line="240" w:lineRule="auto"/>
              <w:ind w:firstLine="0"/>
              <w:rPr>
                <w:rFonts w:eastAsia="Times New Roman" w:cs="Times New Roman"/>
                <w:sz w:val="20"/>
                <w:szCs w:val="20"/>
              </w:rPr>
            </w:pPr>
            <w:r>
              <w:rPr>
                <w:rFonts w:eastAsia="Times New Roman" w:cs="Times New Roman"/>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AB48E32"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BC0126B"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4</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28F6F30" w14:textId="77777777" w:rsidR="00416010" w:rsidRDefault="00416010" w:rsidP="00A53D2B">
            <w:pPr>
              <w:spacing w:after="0" w:line="240" w:lineRule="auto"/>
              <w:ind w:right="100" w:firstLine="0"/>
              <w:rPr>
                <w:rFonts w:eastAsia="Times New Roman" w:cs="Times New Roman"/>
                <w:sz w:val="20"/>
                <w:szCs w:val="20"/>
              </w:rPr>
            </w:pPr>
            <w:r>
              <w:rPr>
                <w:rFonts w:eastAsia="Times New Roman" w:cs="Times New Roman"/>
                <w:color w:val="000000"/>
                <w:sz w:val="20"/>
                <w:szCs w:val="20"/>
              </w:rPr>
              <w:t>27</w:t>
            </w:r>
          </w:p>
        </w:tc>
      </w:tr>
      <w:tr w:rsidR="00416010" w14:paraId="64D807E7" w14:textId="77777777" w:rsidTr="00416010">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C90EC2B" w14:textId="77777777" w:rsidR="00416010" w:rsidRDefault="00416010" w:rsidP="00416010">
            <w:pPr>
              <w:spacing w:after="0" w:line="240" w:lineRule="auto"/>
              <w:ind w:right="60" w:hanging="126"/>
              <w:rPr>
                <w:rFonts w:eastAsia="Times New Roman" w:cs="Times New Roman"/>
                <w:sz w:val="20"/>
                <w:szCs w:val="20"/>
              </w:rPr>
            </w:pPr>
            <w:r>
              <w:rPr>
                <w:rFonts w:eastAsia="Times New Roman" w:cs="Times New Roman"/>
                <w:color w:val="000000"/>
                <w:sz w:val="20"/>
                <w:szCs w:val="20"/>
              </w:rPr>
              <w:t>Jurilovca</w:t>
            </w:r>
          </w:p>
        </w:tc>
        <w:tc>
          <w:tcPr>
            <w:tcW w:w="52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EC0F8D8" w14:textId="77777777" w:rsidR="00416010" w:rsidRDefault="00416010" w:rsidP="00A53D2B">
            <w:pPr>
              <w:spacing w:after="0" w:line="240" w:lineRule="auto"/>
              <w:ind w:right="60" w:firstLine="0"/>
              <w:rPr>
                <w:rFonts w:eastAsia="Times New Roman" w:cs="Times New Roman"/>
                <w:sz w:val="20"/>
                <w:szCs w:val="20"/>
              </w:rPr>
            </w:pPr>
            <w:r>
              <w:rPr>
                <w:rFonts w:eastAsia="Times New Roman" w:cs="Times New Roman"/>
                <w:color w:val="000000"/>
                <w:sz w:val="20"/>
                <w:szCs w:val="20"/>
              </w:rPr>
              <w:t>22</w:t>
            </w:r>
          </w:p>
        </w:tc>
        <w:tc>
          <w:tcPr>
            <w:tcW w:w="5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C1784C2" w14:textId="77777777" w:rsidR="00416010" w:rsidRDefault="00416010" w:rsidP="00A53D2B">
            <w:pPr>
              <w:spacing w:after="0" w:line="240" w:lineRule="auto"/>
              <w:ind w:right="100" w:firstLine="0"/>
              <w:rPr>
                <w:rFonts w:eastAsia="Times New Roman" w:cs="Times New Roman"/>
                <w:sz w:val="20"/>
                <w:szCs w:val="20"/>
              </w:rPr>
            </w:pPr>
            <w:r>
              <w:rPr>
                <w:rFonts w:eastAsia="Times New Roman" w:cs="Times New Roman"/>
                <w:color w:val="000000"/>
                <w:sz w:val="20"/>
                <w:szCs w:val="20"/>
              </w:rPr>
              <w:t>18</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D4CDDEB" w14:textId="77777777" w:rsidR="00416010" w:rsidRDefault="00416010" w:rsidP="00A53D2B">
            <w:pPr>
              <w:spacing w:after="0" w:line="240" w:lineRule="auto"/>
              <w:ind w:right="80" w:firstLine="0"/>
              <w:rPr>
                <w:rFonts w:eastAsia="Times New Roman" w:cs="Times New Roman"/>
                <w:sz w:val="20"/>
                <w:szCs w:val="20"/>
              </w:rPr>
            </w:pPr>
            <w:r>
              <w:rPr>
                <w:rFonts w:eastAsia="Times New Roman" w:cs="Times New Roman"/>
                <w:color w:val="000000"/>
                <w:sz w:val="20"/>
                <w:szCs w:val="20"/>
              </w:rPr>
              <w:t>11</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8EA593C"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3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16E3CF8"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1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D25DEB1"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0DD1C06"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6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D88BEFD" w14:textId="77777777" w:rsidR="00416010" w:rsidRDefault="00416010" w:rsidP="00A53D2B">
            <w:pPr>
              <w:spacing w:after="0" w:line="240" w:lineRule="auto"/>
              <w:ind w:right="220" w:firstLine="0"/>
              <w:rPr>
                <w:rFonts w:eastAsia="Times New Roman" w:cs="Times New Roman"/>
                <w:sz w:val="20"/>
                <w:szCs w:val="20"/>
              </w:rPr>
            </w:pPr>
            <w:r>
              <w:rPr>
                <w:rFonts w:eastAsia="Times New Roman" w:cs="Times New Roman"/>
                <w:color w:val="000000"/>
                <w:sz w:val="20"/>
                <w:szCs w:val="20"/>
              </w:rPr>
              <w:t>0</w:t>
            </w:r>
          </w:p>
        </w:tc>
        <w:tc>
          <w:tcPr>
            <w:tcW w:w="53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213BB36"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49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A01F583"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83475D7"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F996504"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13</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AC50EDD" w14:textId="77777777" w:rsidR="00416010" w:rsidRDefault="00416010" w:rsidP="00A53D2B">
            <w:pPr>
              <w:spacing w:after="0" w:line="240" w:lineRule="auto"/>
              <w:ind w:right="100" w:firstLine="0"/>
              <w:rPr>
                <w:rFonts w:eastAsia="Times New Roman" w:cs="Times New Roman"/>
                <w:sz w:val="20"/>
                <w:szCs w:val="20"/>
              </w:rPr>
            </w:pPr>
            <w:r>
              <w:rPr>
                <w:rFonts w:eastAsia="Times New Roman" w:cs="Times New Roman"/>
                <w:color w:val="000000"/>
                <w:sz w:val="20"/>
                <w:szCs w:val="20"/>
              </w:rPr>
              <w:t>46</w:t>
            </w:r>
          </w:p>
        </w:tc>
      </w:tr>
      <w:tr w:rsidR="00416010" w14:paraId="4A9A0119" w14:textId="77777777" w:rsidTr="00416010">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EB41E08" w14:textId="77777777" w:rsidR="00416010" w:rsidRDefault="00416010" w:rsidP="00416010">
            <w:pPr>
              <w:spacing w:after="0" w:line="240" w:lineRule="auto"/>
              <w:ind w:right="60" w:hanging="126"/>
              <w:rPr>
                <w:rFonts w:eastAsia="Times New Roman" w:cs="Times New Roman"/>
                <w:sz w:val="20"/>
                <w:szCs w:val="20"/>
              </w:rPr>
            </w:pPr>
            <w:r>
              <w:rPr>
                <w:rFonts w:eastAsia="Times New Roman" w:cs="Times New Roman"/>
                <w:color w:val="000000"/>
                <w:sz w:val="20"/>
                <w:szCs w:val="20"/>
              </w:rPr>
              <w:t>Mangalia</w:t>
            </w:r>
          </w:p>
        </w:tc>
        <w:tc>
          <w:tcPr>
            <w:tcW w:w="52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EF0EF12"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13</w:t>
            </w:r>
          </w:p>
        </w:tc>
        <w:tc>
          <w:tcPr>
            <w:tcW w:w="5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C108166"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9</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040E346"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45BB745"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3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D928670"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1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93C759E"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F78FCDA"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6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F88F17E" w14:textId="77777777" w:rsidR="00416010" w:rsidRDefault="00416010" w:rsidP="00A53D2B">
            <w:pPr>
              <w:spacing w:after="0" w:line="240" w:lineRule="auto"/>
              <w:ind w:right="220" w:firstLine="0"/>
              <w:rPr>
                <w:rFonts w:eastAsia="Times New Roman" w:cs="Times New Roman"/>
                <w:sz w:val="20"/>
                <w:szCs w:val="20"/>
              </w:rPr>
            </w:pPr>
            <w:r>
              <w:rPr>
                <w:rFonts w:eastAsia="Times New Roman" w:cs="Times New Roman"/>
                <w:color w:val="000000"/>
                <w:sz w:val="20"/>
                <w:szCs w:val="20"/>
              </w:rPr>
              <w:t>0</w:t>
            </w:r>
          </w:p>
        </w:tc>
        <w:tc>
          <w:tcPr>
            <w:tcW w:w="53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3A52E63"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49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2F16DF8"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314B369"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C33A7B3"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4B54EB9"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19</w:t>
            </w:r>
          </w:p>
        </w:tc>
      </w:tr>
      <w:tr w:rsidR="00416010" w14:paraId="43B60EE2" w14:textId="77777777" w:rsidTr="00416010">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128F985" w14:textId="77777777" w:rsidR="00416010" w:rsidRDefault="00416010" w:rsidP="00416010">
            <w:pPr>
              <w:spacing w:after="0" w:line="240" w:lineRule="auto"/>
              <w:ind w:right="120" w:hanging="126"/>
              <w:rPr>
                <w:rFonts w:eastAsia="Times New Roman" w:cs="Times New Roman"/>
                <w:sz w:val="20"/>
                <w:szCs w:val="20"/>
              </w:rPr>
            </w:pPr>
            <w:r>
              <w:rPr>
                <w:rFonts w:eastAsia="Times New Roman" w:cs="Times New Roman"/>
                <w:color w:val="000000"/>
                <w:sz w:val="20"/>
                <w:szCs w:val="20"/>
              </w:rPr>
              <w:t>Sf. Gheorghe </w:t>
            </w:r>
          </w:p>
        </w:tc>
        <w:tc>
          <w:tcPr>
            <w:tcW w:w="52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BF92A32"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5</w:t>
            </w:r>
          </w:p>
        </w:tc>
        <w:tc>
          <w:tcPr>
            <w:tcW w:w="5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0D4B9EC"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8</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BED7305"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1</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F6249F4"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3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8BBE5E3"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1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B6F23EA"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1C17172"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6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529E70D" w14:textId="77777777" w:rsidR="00416010" w:rsidRDefault="00416010" w:rsidP="00A53D2B">
            <w:pPr>
              <w:spacing w:after="0" w:line="240" w:lineRule="auto"/>
              <w:ind w:right="220" w:firstLine="0"/>
              <w:rPr>
                <w:rFonts w:eastAsia="Times New Roman" w:cs="Times New Roman"/>
                <w:sz w:val="20"/>
                <w:szCs w:val="20"/>
              </w:rPr>
            </w:pPr>
            <w:r>
              <w:rPr>
                <w:rFonts w:eastAsia="Times New Roman" w:cs="Times New Roman"/>
                <w:color w:val="000000"/>
                <w:sz w:val="20"/>
                <w:szCs w:val="20"/>
              </w:rPr>
              <w:t>0</w:t>
            </w:r>
          </w:p>
        </w:tc>
        <w:tc>
          <w:tcPr>
            <w:tcW w:w="53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3919FE3"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49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4AF89DA"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D48477C"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8EB5156"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 xml:space="preserve"> 7</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69C42A8"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12</w:t>
            </w:r>
          </w:p>
        </w:tc>
      </w:tr>
      <w:tr w:rsidR="00416010" w14:paraId="5ECE33A3" w14:textId="77777777" w:rsidTr="00416010">
        <w:trPr>
          <w:trHeight w:val="20"/>
        </w:trPr>
        <w:tc>
          <w:tcPr>
            <w:tcW w:w="143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A65C480" w14:textId="77777777" w:rsidR="00416010" w:rsidRDefault="00416010" w:rsidP="00416010">
            <w:pPr>
              <w:spacing w:after="0" w:line="240" w:lineRule="auto"/>
              <w:ind w:right="60" w:hanging="126"/>
              <w:rPr>
                <w:rFonts w:eastAsia="Times New Roman" w:cs="Times New Roman"/>
                <w:sz w:val="20"/>
                <w:szCs w:val="20"/>
              </w:rPr>
            </w:pPr>
            <w:r>
              <w:rPr>
                <w:rFonts w:eastAsia="Times New Roman" w:cs="Times New Roman"/>
                <w:color w:val="000000"/>
                <w:sz w:val="20"/>
                <w:szCs w:val="20"/>
              </w:rPr>
              <w:t>Sulina</w:t>
            </w:r>
          </w:p>
        </w:tc>
        <w:tc>
          <w:tcPr>
            <w:tcW w:w="52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D303884" w14:textId="77777777" w:rsidR="00416010" w:rsidRDefault="00416010" w:rsidP="00416010">
            <w:pPr>
              <w:spacing w:after="0" w:line="240" w:lineRule="auto"/>
              <w:ind w:right="80" w:firstLine="0"/>
              <w:rPr>
                <w:rFonts w:eastAsia="Times New Roman" w:cs="Times New Roman"/>
                <w:sz w:val="20"/>
                <w:szCs w:val="20"/>
              </w:rPr>
            </w:pPr>
            <w:r>
              <w:rPr>
                <w:rFonts w:eastAsia="Times New Roman" w:cs="Times New Roman"/>
                <w:color w:val="000000"/>
                <w:sz w:val="20"/>
                <w:szCs w:val="20"/>
              </w:rPr>
              <w:t>25</w:t>
            </w:r>
          </w:p>
        </w:tc>
        <w:tc>
          <w:tcPr>
            <w:tcW w:w="5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DF50DDF" w14:textId="77777777" w:rsidR="00416010" w:rsidRDefault="00416010" w:rsidP="00A53D2B">
            <w:pPr>
              <w:spacing w:after="0" w:line="240" w:lineRule="auto"/>
              <w:ind w:right="100" w:firstLine="0"/>
              <w:rPr>
                <w:rFonts w:eastAsia="Times New Roman" w:cs="Times New Roman"/>
                <w:sz w:val="20"/>
                <w:szCs w:val="20"/>
              </w:rPr>
            </w:pPr>
            <w:r>
              <w:rPr>
                <w:rFonts w:eastAsia="Times New Roman" w:cs="Times New Roman"/>
                <w:color w:val="000000"/>
                <w:sz w:val="20"/>
                <w:szCs w:val="20"/>
              </w:rPr>
              <w:t>19</w:t>
            </w:r>
          </w:p>
        </w:tc>
        <w:tc>
          <w:tcPr>
            <w:tcW w:w="4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D220FD5" w14:textId="77777777" w:rsidR="00416010" w:rsidRDefault="00416010" w:rsidP="00A53D2B">
            <w:pPr>
              <w:spacing w:after="0" w:line="240" w:lineRule="auto"/>
              <w:ind w:right="80" w:firstLine="0"/>
              <w:rPr>
                <w:rFonts w:eastAsia="Times New Roman" w:cs="Times New Roman"/>
                <w:sz w:val="20"/>
                <w:szCs w:val="20"/>
              </w:rPr>
            </w:pPr>
            <w:r>
              <w:rPr>
                <w:rFonts w:eastAsia="Times New Roman" w:cs="Times New Roman"/>
                <w:color w:val="000000"/>
                <w:sz w:val="20"/>
                <w:szCs w:val="20"/>
              </w:rPr>
              <w:t>7</w:t>
            </w:r>
          </w:p>
        </w:tc>
        <w:tc>
          <w:tcPr>
            <w:tcW w:w="57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EC646E7" w14:textId="77777777" w:rsidR="00416010" w:rsidRDefault="00416010" w:rsidP="00A53D2B">
            <w:pPr>
              <w:spacing w:after="0" w:line="240" w:lineRule="auto"/>
              <w:ind w:firstLine="0"/>
              <w:rPr>
                <w:rFonts w:eastAsia="Times New Roman" w:cs="Times New Roman"/>
                <w:sz w:val="20"/>
                <w:szCs w:val="20"/>
              </w:rPr>
            </w:pPr>
            <w:r>
              <w:rPr>
                <w:rFonts w:eastAsia="Times New Roman" w:cs="Times New Roman"/>
                <w:color w:val="000000"/>
                <w:sz w:val="20"/>
                <w:szCs w:val="20"/>
              </w:rPr>
              <w:t>0</w:t>
            </w:r>
          </w:p>
        </w:tc>
        <w:tc>
          <w:tcPr>
            <w:tcW w:w="3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79AF4BF" w14:textId="77777777" w:rsidR="00416010" w:rsidRDefault="00416010" w:rsidP="00A53D2B">
            <w:pPr>
              <w:spacing w:after="0" w:line="240" w:lineRule="auto"/>
              <w:ind w:right="80" w:firstLine="0"/>
              <w:rPr>
                <w:rFonts w:eastAsia="Times New Roman" w:cs="Times New Roman"/>
                <w:sz w:val="20"/>
                <w:szCs w:val="20"/>
              </w:rPr>
            </w:pPr>
            <w:r>
              <w:rPr>
                <w:rFonts w:eastAsia="Times New Roman" w:cs="Times New Roman"/>
                <w:color w:val="000000"/>
                <w:sz w:val="20"/>
                <w:szCs w:val="20"/>
              </w:rPr>
              <w:t>0</w:t>
            </w:r>
          </w:p>
        </w:tc>
        <w:tc>
          <w:tcPr>
            <w:tcW w:w="51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EABFB48" w14:textId="77777777" w:rsidR="00416010" w:rsidRDefault="00416010" w:rsidP="00A53D2B">
            <w:pPr>
              <w:spacing w:after="0" w:line="240" w:lineRule="auto"/>
              <w:ind w:right="140" w:firstLine="0"/>
              <w:rPr>
                <w:rFonts w:eastAsia="Times New Roman" w:cs="Times New Roman"/>
                <w:sz w:val="20"/>
                <w:szCs w:val="20"/>
              </w:rPr>
            </w:pPr>
            <w:r>
              <w:rPr>
                <w:rFonts w:eastAsia="Times New Roman" w:cs="Times New Roman"/>
                <w:color w:val="000000"/>
                <w:sz w:val="20"/>
                <w:szCs w:val="20"/>
              </w:rPr>
              <w:t>0</w:t>
            </w:r>
          </w:p>
        </w:tc>
        <w:tc>
          <w:tcPr>
            <w:tcW w:w="53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6D3E654" w14:textId="77777777" w:rsidR="00416010" w:rsidRDefault="00416010" w:rsidP="00A53D2B">
            <w:pPr>
              <w:spacing w:after="0" w:line="240" w:lineRule="auto"/>
              <w:ind w:right="80" w:firstLine="0"/>
              <w:rPr>
                <w:rFonts w:eastAsia="Times New Roman" w:cs="Times New Roman"/>
                <w:sz w:val="20"/>
                <w:szCs w:val="20"/>
              </w:rPr>
            </w:pPr>
            <w:r>
              <w:rPr>
                <w:rFonts w:eastAsia="Times New Roman" w:cs="Times New Roman"/>
                <w:color w:val="000000"/>
                <w:sz w:val="20"/>
                <w:szCs w:val="20"/>
              </w:rPr>
              <w:t>0</w:t>
            </w:r>
          </w:p>
        </w:tc>
        <w:tc>
          <w:tcPr>
            <w:tcW w:w="68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A37F105" w14:textId="77777777" w:rsidR="00416010" w:rsidRDefault="00416010" w:rsidP="00A53D2B">
            <w:pPr>
              <w:spacing w:after="0" w:line="240" w:lineRule="auto"/>
              <w:ind w:right="160" w:firstLine="0"/>
              <w:rPr>
                <w:rFonts w:eastAsia="Times New Roman" w:cs="Times New Roman"/>
                <w:sz w:val="20"/>
                <w:szCs w:val="20"/>
              </w:rPr>
            </w:pPr>
            <w:r>
              <w:rPr>
                <w:rFonts w:eastAsia="Times New Roman" w:cs="Times New Roman"/>
                <w:color w:val="000000"/>
                <w:sz w:val="20"/>
                <w:szCs w:val="20"/>
              </w:rPr>
              <w:t>0</w:t>
            </w:r>
          </w:p>
        </w:tc>
        <w:tc>
          <w:tcPr>
            <w:tcW w:w="53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F2611C0" w14:textId="77777777" w:rsidR="00416010" w:rsidRDefault="00416010" w:rsidP="00A53D2B">
            <w:pPr>
              <w:spacing w:after="0" w:line="240" w:lineRule="auto"/>
              <w:ind w:right="140" w:firstLine="0"/>
              <w:rPr>
                <w:rFonts w:eastAsia="Times New Roman" w:cs="Times New Roman"/>
                <w:sz w:val="20"/>
                <w:szCs w:val="20"/>
              </w:rPr>
            </w:pPr>
            <w:r>
              <w:rPr>
                <w:rFonts w:eastAsia="Times New Roman" w:cs="Times New Roman"/>
                <w:color w:val="000000"/>
                <w:sz w:val="20"/>
                <w:szCs w:val="20"/>
              </w:rPr>
              <w:t>0</w:t>
            </w:r>
          </w:p>
        </w:tc>
        <w:tc>
          <w:tcPr>
            <w:tcW w:w="49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283D0C9" w14:textId="77777777" w:rsidR="00416010" w:rsidRDefault="00416010" w:rsidP="00A53D2B">
            <w:pPr>
              <w:spacing w:after="0" w:line="240" w:lineRule="auto"/>
              <w:ind w:right="80" w:firstLine="0"/>
              <w:rPr>
                <w:rFonts w:eastAsia="Times New Roman" w:cs="Times New Roman"/>
                <w:sz w:val="20"/>
                <w:szCs w:val="20"/>
              </w:rPr>
            </w:pPr>
            <w:r>
              <w:rPr>
                <w:rFonts w:eastAsia="Times New Roman" w:cs="Times New Roman"/>
                <w:color w:val="000000"/>
                <w:sz w:val="20"/>
                <w:szCs w:val="20"/>
              </w:rPr>
              <w:t>0</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5ED874A" w14:textId="77777777" w:rsidR="00416010" w:rsidRDefault="00416010" w:rsidP="00A53D2B">
            <w:pPr>
              <w:spacing w:after="0" w:line="240" w:lineRule="auto"/>
              <w:ind w:right="140" w:firstLine="0"/>
              <w:rPr>
                <w:rFonts w:eastAsia="Times New Roman" w:cs="Times New Roman"/>
                <w:sz w:val="20"/>
                <w:szCs w:val="20"/>
              </w:rPr>
            </w:pPr>
            <w:r>
              <w:rPr>
                <w:rFonts w:eastAsia="Times New Roman" w:cs="Times New Roman"/>
                <w:color w:val="000000"/>
                <w:sz w:val="20"/>
                <w:szCs w:val="20"/>
              </w:rPr>
              <w:t>2</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46BD450" w14:textId="77777777" w:rsidR="00416010" w:rsidRDefault="00416010" w:rsidP="00A53D2B">
            <w:pPr>
              <w:spacing w:after="0" w:line="240" w:lineRule="auto"/>
              <w:ind w:right="140" w:firstLine="0"/>
              <w:rPr>
                <w:rFonts w:eastAsia="Times New Roman" w:cs="Times New Roman"/>
                <w:sz w:val="20"/>
                <w:szCs w:val="20"/>
              </w:rPr>
            </w:pPr>
            <w:r>
              <w:rPr>
                <w:rFonts w:eastAsia="Times New Roman" w:cs="Times New Roman"/>
                <w:color w:val="000000"/>
                <w:sz w:val="20"/>
                <w:szCs w:val="20"/>
              </w:rPr>
              <w:t>11</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7BCBDE8" w14:textId="77777777" w:rsidR="00416010" w:rsidRDefault="00416010" w:rsidP="00A53D2B">
            <w:pPr>
              <w:spacing w:after="0" w:line="240" w:lineRule="auto"/>
              <w:ind w:right="100" w:firstLine="0"/>
              <w:rPr>
                <w:rFonts w:eastAsia="Times New Roman" w:cs="Times New Roman"/>
                <w:sz w:val="20"/>
                <w:szCs w:val="20"/>
              </w:rPr>
            </w:pPr>
            <w:r>
              <w:rPr>
                <w:rFonts w:eastAsia="Times New Roman" w:cs="Times New Roman"/>
                <w:color w:val="000000"/>
                <w:sz w:val="20"/>
                <w:szCs w:val="20"/>
              </w:rPr>
              <w:t>64</w:t>
            </w:r>
          </w:p>
        </w:tc>
      </w:tr>
    </w:tbl>
    <w:p w14:paraId="279FE38F" w14:textId="77777777" w:rsidR="00416010" w:rsidRDefault="00416010" w:rsidP="00416010"/>
    <w:p w14:paraId="3BE9BBA4" w14:textId="77777777" w:rsidR="00416010" w:rsidRDefault="00416010" w:rsidP="00416010">
      <w:pPr>
        <w:spacing w:before="240" w:after="240"/>
        <w:rPr>
          <w:rFonts w:eastAsia="Times New Roman" w:cs="Times New Roman"/>
          <w:b/>
        </w:rPr>
      </w:pPr>
      <w:r>
        <w:rPr>
          <w:rFonts w:eastAsia="Times New Roman" w:cs="Times New Roman"/>
          <w:b/>
          <w:i/>
          <w:color w:val="000000"/>
        </w:rPr>
        <w:t>Creșterea nivelului mării</w:t>
      </w:r>
    </w:p>
    <w:p w14:paraId="10D0627D" w14:textId="44A088F4" w:rsidR="00416010" w:rsidRDefault="00416010" w:rsidP="00A53D2B">
      <w:pPr>
        <w:spacing w:before="0"/>
        <w:ind w:firstLine="567"/>
        <w:rPr>
          <w:rFonts w:eastAsia="Times New Roman" w:cs="Times New Roman"/>
          <w:color w:val="000000"/>
        </w:rPr>
      </w:pPr>
      <w:r>
        <w:rPr>
          <w:rFonts w:eastAsia="Times New Roman" w:cs="Times New Roman"/>
          <w:color w:val="000000"/>
        </w:rPr>
        <w:lastRenderedPageBreak/>
        <w:t xml:space="preserve">Una dintre consecințele majore ale încălzirii globale este creșterea nivelului mării. Variațiile de nivel ale mării la litoralul românesc sunt determinate în cea mai mare măsură de factorii meteorologici și hidrologici, mareea guvernată de factorii astronomici fiind nesemnificativă în Marea Neagră. Înregistrările zilnice realizate în 2021, cu maregraful de tip OTT din Portul Constanța, arată o valoare medie de 27,71 cm, semnificativ mai ridicată față de media multianuală de 17,47 cm, pentru perioada 1933-2021 (INCDM, 2022) (Fig. </w:t>
      </w:r>
      <w:r w:rsidR="00A53D2B">
        <w:rPr>
          <w:rFonts w:eastAsia="Times New Roman" w:cs="Times New Roman"/>
          <w:color w:val="000000"/>
        </w:rPr>
        <w:t>2.</w:t>
      </w:r>
      <w:r>
        <w:rPr>
          <w:rFonts w:eastAsia="Times New Roman" w:cs="Times New Roman"/>
          <w:color w:val="000000"/>
        </w:rPr>
        <w:t>5.1.6). Valoarea zilnică maximă înregistrată a fost de 54,50 cm în luna februarie, iar minima, de 1,60 cm, a fost măsurată în luna decembrie (INCDM, 2022).</w:t>
      </w:r>
    </w:p>
    <w:p w14:paraId="255F1C12" w14:textId="77777777" w:rsidR="00416010" w:rsidRDefault="00416010" w:rsidP="00416010">
      <w:pPr>
        <w:ind w:firstLine="567"/>
        <w:rPr>
          <w:rFonts w:eastAsia="Times New Roman" w:cs="Times New Roman"/>
          <w:color w:val="000000"/>
        </w:rPr>
      </w:pPr>
      <w:r>
        <w:rPr>
          <w:noProof/>
        </w:rPr>
        <w:drawing>
          <wp:anchor distT="0" distB="0" distL="114300" distR="114300" simplePos="0" relativeHeight="251663360" behindDoc="0" locked="0" layoutInCell="1" hidden="0" allowOverlap="1" wp14:anchorId="0365B21D" wp14:editId="6F6EAC91">
            <wp:simplePos x="0" y="0"/>
            <wp:positionH relativeFrom="column">
              <wp:posOffset>1</wp:posOffset>
            </wp:positionH>
            <wp:positionV relativeFrom="paragraph">
              <wp:posOffset>305435</wp:posOffset>
            </wp:positionV>
            <wp:extent cx="5731510" cy="2254250"/>
            <wp:effectExtent l="0" t="0" r="0" b="0"/>
            <wp:wrapTopAndBottom distT="0" distB="0"/>
            <wp:docPr id="214140193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8"/>
                    <a:srcRect/>
                    <a:stretch>
                      <a:fillRect/>
                    </a:stretch>
                  </pic:blipFill>
                  <pic:spPr>
                    <a:xfrm>
                      <a:off x="0" y="0"/>
                      <a:ext cx="5731510" cy="2254250"/>
                    </a:xfrm>
                    <a:prstGeom prst="rect">
                      <a:avLst/>
                    </a:prstGeom>
                    <a:ln/>
                  </pic:spPr>
                </pic:pic>
              </a:graphicData>
            </a:graphic>
          </wp:anchor>
        </w:drawing>
      </w:r>
    </w:p>
    <w:p w14:paraId="4CC49D07" w14:textId="77777777" w:rsidR="00416010" w:rsidRDefault="00416010" w:rsidP="00416010">
      <w:pPr>
        <w:spacing w:after="240"/>
        <w:jc w:val="center"/>
        <w:rPr>
          <w:b/>
          <w:color w:val="000000"/>
        </w:rPr>
      </w:pPr>
      <w:bookmarkStart w:id="119" w:name="_heading=h.nmf14n" w:colFirst="0" w:colLast="0"/>
      <w:bookmarkEnd w:id="119"/>
    </w:p>
    <w:p w14:paraId="2DC9021E" w14:textId="5DB2C4EB" w:rsidR="00416010" w:rsidRDefault="00416010" w:rsidP="00416010">
      <w:pPr>
        <w:jc w:val="center"/>
        <w:rPr>
          <w:rFonts w:eastAsia="Times New Roman" w:cs="Times New Roman"/>
          <w:b/>
          <w:color w:val="000000"/>
        </w:rPr>
      </w:pPr>
      <w:r>
        <w:rPr>
          <w:rFonts w:eastAsia="Times New Roman" w:cs="Times New Roman"/>
          <w:b/>
          <w:color w:val="000000"/>
        </w:rPr>
        <w:t xml:space="preserve">Fig. </w:t>
      </w:r>
      <w:r w:rsidR="00A53D2B">
        <w:rPr>
          <w:rFonts w:eastAsia="Times New Roman" w:cs="Times New Roman"/>
          <w:b/>
          <w:color w:val="000000"/>
        </w:rPr>
        <w:t>2.</w:t>
      </w:r>
      <w:r>
        <w:rPr>
          <w:rFonts w:eastAsia="Times New Roman" w:cs="Times New Roman"/>
          <w:b/>
          <w:color w:val="000000"/>
        </w:rPr>
        <w:t>5.1.6 Oscilațiile nivelului mării la litoralul românesc (medii anuale 1933 – 2021) (sursa: INCDM, 2022)</w:t>
      </w:r>
    </w:p>
    <w:p w14:paraId="1362F3F2" w14:textId="77777777" w:rsidR="00416010" w:rsidRDefault="00416010" w:rsidP="00416010">
      <w:pPr>
        <w:rPr>
          <w:rFonts w:eastAsia="Times New Roman" w:cs="Times New Roman"/>
          <w:color w:val="000000"/>
        </w:rPr>
      </w:pPr>
    </w:p>
    <w:p w14:paraId="5635437C" w14:textId="77777777" w:rsidR="00416010" w:rsidRDefault="00416010" w:rsidP="00A53D2B">
      <w:pPr>
        <w:spacing w:before="0"/>
        <w:ind w:firstLine="567"/>
        <w:rPr>
          <w:rFonts w:eastAsia="Times New Roman" w:cs="Times New Roman"/>
        </w:rPr>
      </w:pPr>
      <w:r>
        <w:rPr>
          <w:rFonts w:eastAsia="Times New Roman" w:cs="Times New Roman"/>
          <w:color w:val="000000"/>
        </w:rPr>
        <w:t>Variația nivelului mării la Constanța pe termen lung este similară cu variația globală, având același ritm de creștere de 1,9 mm/an (INCDM, 2022).</w:t>
      </w:r>
    </w:p>
    <w:p w14:paraId="546ACB34" w14:textId="77777777" w:rsidR="00416010" w:rsidRDefault="00416010" w:rsidP="00A53D2B">
      <w:pPr>
        <w:spacing w:before="0"/>
        <w:ind w:firstLine="567"/>
        <w:rPr>
          <w:rFonts w:eastAsia="Times New Roman" w:cs="Times New Roman"/>
        </w:rPr>
      </w:pPr>
      <w:r>
        <w:rPr>
          <w:rFonts w:eastAsia="Times New Roman" w:cs="Times New Roman"/>
          <w:color w:val="000000"/>
        </w:rPr>
        <w:t>Riscurile determinate de creșterea nivelului mării sunt asociate cu procesul de eroziune costieră, inundații și pierderea unor zone umede, care afectează flora și fauna, provocând pierderea habitatului pentru pești, păsări, plante și multe alte specii. Pe de altă parte, un nivel mai ridicat al mării provoacă ploi abundente și vânturi puternice, declanșează furtuni puternice și alte fenomene atmosferice extreme, care pot fi o amenințare reală pentru comunitățile costiere.</w:t>
      </w:r>
    </w:p>
    <w:p w14:paraId="20027DF5" w14:textId="77777777" w:rsidR="00416010" w:rsidRDefault="00416010" w:rsidP="00A53D2B">
      <w:pPr>
        <w:pBdr>
          <w:top w:val="nil"/>
          <w:left w:val="nil"/>
          <w:bottom w:val="nil"/>
          <w:right w:val="nil"/>
          <w:between w:val="nil"/>
        </w:pBdr>
        <w:spacing w:before="0"/>
        <w:rPr>
          <w:rFonts w:eastAsia="Times New Roman" w:cs="Times New Roman"/>
          <w:b/>
          <w:i/>
          <w:color w:val="000000"/>
        </w:rPr>
      </w:pPr>
      <w:r>
        <w:rPr>
          <w:rFonts w:eastAsia="Times New Roman" w:cs="Times New Roman"/>
          <w:b/>
          <w:i/>
          <w:color w:val="000000"/>
        </w:rPr>
        <w:t>Furtuni</w:t>
      </w:r>
    </w:p>
    <w:p w14:paraId="1AA6E158" w14:textId="77777777" w:rsidR="00416010" w:rsidRDefault="00416010" w:rsidP="00A53D2B">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 xml:space="preserve">Pe lângă variațiile anuale/decadale și sezoniere ale nivelului mării, care se produc la scara regională, există și variații locale, pe termen scurt, ca rezultat al modificării presiunii atmosferice și a vitezei și direcției vântului. Valurile de furtună sunt asociate sistemelor meteo depresionare din larg. Orice sistem de furtună care vine din Marea Mediterană este canalizat prin zonele joase din jurul Bosforului, Muntilor Pontici și Caucazului, ceea ce limitează viteza și traseul ciclonilor. Ca urmare, frecvența valurilor de furtună în Marea Neagră este mai mica decât în alte regiuni ale Oceanului Planetar, dar acestea provoacă pagube mai mari, deoarece </w:t>
      </w:r>
      <w:r>
        <w:rPr>
          <w:rFonts w:eastAsia="Times New Roman" w:cs="Times New Roman"/>
          <w:color w:val="000000"/>
        </w:rPr>
        <w:lastRenderedPageBreak/>
        <w:t>magnitudinea ridicării nivelului marii este de 7-8 mai mare decât alte variații ale nivelului mării (Mungov și Daniel, 2000). Ca atare, valurile de furtună în zona Mării Negre pot conduce la o creștere a nivelului apei cu până la 1,3 m peste nivelul mediu (Mungov și Daniel, 2000).</w:t>
      </w:r>
    </w:p>
    <w:p w14:paraId="0F1FAF6F" w14:textId="77777777" w:rsidR="00416010" w:rsidRDefault="00416010" w:rsidP="00A53D2B">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Pe lângă valurile de furtună, de-a lungul coastei românești se manifestă și seise ("val staționar", tipic pentru bazinele închise sau semiînchise). În nord-vestul și vestul Mării Negre, seisele au o durată care variază între câteva minute și 13 ore și amplitudini între câțiva centimetri și 2,0 m (Panin, 1999). Acesta este un fenomen specific coastei nordice a României, cu apariția de creșteri bruște ale nivelului mării, de până la circa 1,5 m, urmate de o ușoară scădere. Fenomenul se manifestă destul de rar, în perioada 1958-2005 înregistrându-se cinci astfel de evenimente, care au produs inundații în zona Sulinei. Semnele premergătoare seiselor sunt foarte reduse sau lipsesc complet, motiv pentru care aceste fenomene sunt imprevizibile.</w:t>
      </w:r>
    </w:p>
    <w:p w14:paraId="4D99ED38" w14:textId="77777777" w:rsidR="00416010" w:rsidRDefault="00416010" w:rsidP="00A53D2B">
      <w:pPr>
        <w:spacing w:before="0"/>
        <w:rPr>
          <w:rFonts w:eastAsia="Times New Roman" w:cs="Times New Roman"/>
          <w:b/>
        </w:rPr>
      </w:pPr>
      <w:r>
        <w:rPr>
          <w:rFonts w:eastAsia="Times New Roman" w:cs="Times New Roman"/>
          <w:b/>
          <w:i/>
          <w:color w:val="000000"/>
        </w:rPr>
        <w:t>Eroziunea costieră</w:t>
      </w:r>
    </w:p>
    <w:p w14:paraId="252E6A84" w14:textId="77777777" w:rsidR="00416010" w:rsidRDefault="00416010" w:rsidP="00A53D2B">
      <w:pPr>
        <w:spacing w:before="0" w:line="257" w:lineRule="auto"/>
        <w:ind w:firstLine="567"/>
        <w:rPr>
          <w:rFonts w:eastAsia="Times New Roman" w:cs="Times New Roman"/>
          <w:color w:val="000000"/>
        </w:rPr>
      </w:pPr>
      <w:r>
        <w:rPr>
          <w:rFonts w:eastAsia="Times New Roman" w:cs="Times New Roman"/>
          <w:color w:val="000000"/>
        </w:rPr>
        <w:t xml:space="preserve">În ciuda recentelor lucrări de protecție contra eroziunii, eroziunea costieră încă reprezintă o problemă importantă de-a lungul litoralului românesc al Mării Negre. </w:t>
      </w:r>
    </w:p>
    <w:p w14:paraId="00B91662" w14:textId="77777777" w:rsidR="00416010" w:rsidRDefault="00416010" w:rsidP="00A53D2B">
      <w:pPr>
        <w:spacing w:before="0" w:line="257" w:lineRule="auto"/>
        <w:ind w:firstLine="567"/>
        <w:rPr>
          <w:rFonts w:eastAsia="Times New Roman" w:cs="Times New Roman"/>
          <w:color w:val="000000"/>
        </w:rPr>
      </w:pPr>
      <w:r>
        <w:rPr>
          <w:rFonts w:eastAsia="Times New Roman" w:cs="Times New Roman"/>
          <w:color w:val="000000"/>
        </w:rPr>
        <w:t xml:space="preserve">Fenomenul de eroziune la litoralul românesc al Mării Negre, datorat factorilor naturali, respectiv creșterea nivelului mării, acțiunea vânturilor, curenților, este amplificat de intervențiile antropice din trecut, precum construcția barajelor de la Porțile de Fier I și II ce au condus la reducerea masivă a debitului de sedimente transportat de Dunăre (până la aproximativ 40%), construcția și extinderea digurilor de protecție portuară, care blochează transportul sedimentelor de către curentul longitudinal pe litoralul românesc al Mării Negre (ex. digurile de la Sulina – blochează accesul spre sud al sedimentelor aduse în mare pe brațul Chilia, digul de la Capul Midia, care blochează transportul sedimentelor provenite în principal de pe brațul Sf. Gheorghe spre sud). </w:t>
      </w:r>
    </w:p>
    <w:p w14:paraId="579C6B91" w14:textId="77777777" w:rsidR="00416010" w:rsidRDefault="00416010" w:rsidP="00A53D2B">
      <w:pPr>
        <w:spacing w:before="0" w:line="257" w:lineRule="auto"/>
        <w:ind w:firstLine="567"/>
        <w:rPr>
          <w:rFonts w:eastAsia="Times New Roman" w:cs="Times New Roman"/>
          <w:color w:val="000000"/>
        </w:rPr>
      </w:pPr>
      <w:r>
        <w:rPr>
          <w:rFonts w:eastAsia="Times New Roman" w:cs="Times New Roman"/>
          <w:color w:val="000000"/>
        </w:rPr>
        <w:t xml:space="preserve">Administrația Națională Apele Române, prin Administrația Bazinală Dobrogea Litoral, a contractat în 2010 elaborarea MASTER PLANULUI “Protecția și reabilitarea zonei costiere”, având ca sursa de finanțare POS Mediu 2007-2013, iar în 2012 a fost definitivat și aprobat (CTE Interministerial) documentul final, acesta fiind considerat de statul român ca fiind document strategic privind dinamica și protecția liniei țărmului, aspect fundamental pentru statele maritime avansate. </w:t>
      </w:r>
    </w:p>
    <w:p w14:paraId="26D77BD6" w14:textId="77777777" w:rsidR="00416010" w:rsidRDefault="00416010" w:rsidP="00A53D2B">
      <w:pPr>
        <w:spacing w:before="0" w:line="257" w:lineRule="auto"/>
        <w:ind w:firstLine="567"/>
        <w:rPr>
          <w:rFonts w:eastAsia="Times New Roman" w:cs="Times New Roman"/>
          <w:color w:val="000000"/>
        </w:rPr>
      </w:pPr>
      <w:r>
        <w:rPr>
          <w:rFonts w:eastAsia="Times New Roman" w:cs="Times New Roman"/>
          <w:color w:val="000000"/>
        </w:rPr>
        <w:t xml:space="preserve">În faza I de implementare a Master Planului a fost protejată o lungime de coastă de 7,3 km în zonele Mamaia Sud, Tomis Nord, Tomis Centru, Tomis Sud și Eforie Nord, iar în prezent este în implementare faza II, prin care se urmărește protejarea a 30,540 km și extinderea plajelor cu o suprafață totală de 226,16 ha. </w:t>
      </w:r>
    </w:p>
    <w:p w14:paraId="33B67DBC" w14:textId="77777777" w:rsidR="00416010" w:rsidRDefault="00416010" w:rsidP="00A53D2B">
      <w:pPr>
        <w:spacing w:before="0" w:line="257" w:lineRule="auto"/>
        <w:ind w:firstLine="567"/>
        <w:rPr>
          <w:rFonts w:eastAsia="Times New Roman" w:cs="Times New Roman"/>
          <w:color w:val="000000"/>
        </w:rPr>
      </w:pPr>
      <w:r>
        <w:rPr>
          <w:rFonts w:eastAsia="Times New Roman" w:cs="Times New Roman"/>
          <w:color w:val="000000"/>
        </w:rPr>
        <w:t xml:space="preserve">În momentul de față, zonele cu risc major la eroziunea din partea nordică a zonei costiere sunt Canalul Sondei-Câșla Vădanei, la sud de Câșla Vădanei, Zătoane-Perișor Nord (marea a erodat cordonul litoral care închidea lacul Zătonu Mare, transformându-l în lagună) și Portița-Periboina (marea avansează spre uscat, afectând cordonul litoral care mărginește Complexul Lagunar Razim-Sinoe). </w:t>
      </w:r>
    </w:p>
    <w:p w14:paraId="7B026997" w14:textId="77777777" w:rsidR="00416010" w:rsidRDefault="00416010" w:rsidP="00A53D2B">
      <w:pPr>
        <w:spacing w:before="0" w:line="257" w:lineRule="auto"/>
        <w:ind w:firstLine="567"/>
        <w:rPr>
          <w:rFonts w:eastAsia="Times New Roman" w:cs="Times New Roman"/>
          <w:color w:val="000000"/>
        </w:rPr>
      </w:pPr>
      <w:r>
        <w:rPr>
          <w:rFonts w:eastAsia="Times New Roman" w:cs="Times New Roman"/>
          <w:color w:val="000000"/>
        </w:rPr>
        <w:t>În sectorul sudic al zonei costiere, riscul major de eroziune este întâlnit în perimetrul Mamaia Nord (la nord de digurile “sparge-val”), zona Hotel Parc-Perla (Mamaia), sectorul Belona-Petromar (Eforie) și sectorul Costinești-2 Mai-Vama Veche, unde eroziunea costieră poate declanșa procese de prăbușire a falezei. Toate aceste sectoare cu risc de eroziune nu au fost încă supuse lucrărilor de protecție și reabilitare.</w:t>
      </w:r>
    </w:p>
    <w:p w14:paraId="2699ACF5" w14:textId="77777777" w:rsidR="00416010" w:rsidRDefault="00416010" w:rsidP="00A53D2B">
      <w:pPr>
        <w:spacing w:before="0"/>
        <w:rPr>
          <w:rFonts w:eastAsia="Times New Roman" w:cs="Times New Roman"/>
          <w:b/>
        </w:rPr>
      </w:pPr>
      <w:r>
        <w:rPr>
          <w:rFonts w:eastAsia="Times New Roman" w:cs="Times New Roman"/>
          <w:b/>
          <w:i/>
          <w:color w:val="000000"/>
        </w:rPr>
        <w:lastRenderedPageBreak/>
        <w:t>Alunecări de teren și prăbușire de faleze</w:t>
      </w:r>
    </w:p>
    <w:p w14:paraId="708D0A71" w14:textId="77777777" w:rsidR="00416010" w:rsidRDefault="00416010" w:rsidP="00A53D2B">
      <w:pPr>
        <w:spacing w:before="0"/>
        <w:ind w:firstLine="567"/>
        <w:rPr>
          <w:rFonts w:eastAsia="Times New Roman" w:cs="Times New Roman"/>
        </w:rPr>
      </w:pPr>
      <w:r>
        <w:rPr>
          <w:rFonts w:eastAsia="Times New Roman" w:cs="Times New Roman"/>
          <w:color w:val="000000"/>
        </w:rPr>
        <w:t>Conform Legii nr. 575/14.11.2001 privind aprobarea Planului de amenajare a teritoriului naţional – Secţiunea a V-a – „Zone de risc natural”, potenţialul de producere a alunecărilor de teren în unităţile administrativ-teritoriale din zona de studiu este scăzut.</w:t>
      </w:r>
    </w:p>
    <w:p w14:paraId="6DD69047" w14:textId="77777777" w:rsidR="00416010" w:rsidRDefault="00416010" w:rsidP="00A53D2B">
      <w:pPr>
        <w:spacing w:before="0"/>
        <w:ind w:firstLine="567"/>
        <w:rPr>
          <w:rFonts w:eastAsia="Times New Roman" w:cs="Times New Roman"/>
          <w:color w:val="000000"/>
        </w:rPr>
      </w:pPr>
      <w:r>
        <w:rPr>
          <w:rFonts w:eastAsia="Times New Roman" w:cs="Times New Roman"/>
          <w:color w:val="000000"/>
        </w:rPr>
        <w:t xml:space="preserve">Prăbuşirile de faleze se manifestă pe sectorul sudic al litoralului Mării Negre, caracterizat de faleze înalte. Zone unde se manifestă prăbuşiri de faleză sunt, în prezent, sectorul Eforie-Tuzla și sectorul Costineşti Sud-2 Mai-Vama Veche. </w:t>
      </w:r>
    </w:p>
    <w:p w14:paraId="5B69DE1D" w14:textId="77777777" w:rsidR="00416010" w:rsidRDefault="00416010" w:rsidP="00A53D2B">
      <w:pPr>
        <w:spacing w:before="0"/>
        <w:ind w:firstLine="567"/>
        <w:rPr>
          <w:rFonts w:eastAsia="Times New Roman" w:cs="Times New Roman"/>
          <w:color w:val="000000"/>
        </w:rPr>
      </w:pPr>
      <w:r>
        <w:rPr>
          <w:rFonts w:eastAsia="Times New Roman" w:cs="Times New Roman"/>
          <w:color w:val="000000"/>
        </w:rPr>
        <w:t xml:space="preserve">Prin realizarea lucrărilor de protecție împotriva eroziunii costiere, în special lucrările de extindere a plajelor, s-a redus la minim riscul producerii acestor procese în sectorul Constanța-Faleză Nord și Eforie Nord, zone vulnerabile în trecutul nu foarte îndepărtat. Astfel, principala necesitate pentru reducerea acestui risc natural (amplificat de unele intervenții umane) o reprezintă extinderea acestor lucrărilor de protecție și la sectoarele de plajă cu risc major. </w:t>
      </w:r>
    </w:p>
    <w:p w14:paraId="077AF527" w14:textId="77777777" w:rsidR="00416010" w:rsidRDefault="00416010" w:rsidP="00A53D2B">
      <w:pPr>
        <w:spacing w:before="0"/>
        <w:ind w:firstLine="567"/>
        <w:rPr>
          <w:rFonts w:eastAsia="Times New Roman" w:cs="Times New Roman"/>
        </w:rPr>
      </w:pPr>
      <w:r>
        <w:rPr>
          <w:rFonts w:eastAsia="Times New Roman" w:cs="Times New Roman"/>
          <w:color w:val="000000"/>
        </w:rPr>
        <w:t>De asemenea, mai ales ca urmare a unor căderi de precipitaţii abundente, zona cuprinsă între Poarta 1 şi Poarta 6 Port Constanţa este supusă riscului producerii unor alunecări-prăbuşiri de teren cu implicaţii majore, în mod special asupra construcţiilor dispuse în imediata apropiere a incintei portului Constanța, din cartierul Faleza Sud B-dul 1 Mai, zona Gară, Str.Traian (Inspectoratul pentru Situații de Urgență „DOBROGEA”, 2018).</w:t>
      </w:r>
    </w:p>
    <w:p w14:paraId="7D4660E3" w14:textId="77777777" w:rsidR="00416010" w:rsidRDefault="00416010" w:rsidP="00D535CE">
      <w:pPr>
        <w:rPr>
          <w:rFonts w:eastAsia="Times New Roman" w:cs="Times New Roman"/>
          <w:sz w:val="28"/>
          <w:u w:val="single"/>
        </w:rPr>
      </w:pPr>
    </w:p>
    <w:p w14:paraId="4290C1D1" w14:textId="26498287" w:rsidR="00A53D2B" w:rsidRDefault="00A53D2B" w:rsidP="00A53D2B">
      <w:pPr>
        <w:pStyle w:val="Heading3"/>
      </w:pPr>
      <w:bookmarkStart w:id="120" w:name="_Toc150501473"/>
      <w:bookmarkStart w:id="121" w:name="_Toc169625151"/>
      <w:r>
        <w:t>2.5.2 Presiuni antropice</w:t>
      </w:r>
      <w:bookmarkEnd w:id="120"/>
      <w:bookmarkEnd w:id="121"/>
      <w:r>
        <w:t xml:space="preserve"> </w:t>
      </w:r>
    </w:p>
    <w:p w14:paraId="46685667" w14:textId="77777777" w:rsidR="00A53D2B" w:rsidRDefault="00A53D2B" w:rsidP="00A53D2B">
      <w:pPr>
        <w:pBdr>
          <w:top w:val="nil"/>
          <w:left w:val="nil"/>
          <w:bottom w:val="nil"/>
          <w:right w:val="nil"/>
          <w:between w:val="nil"/>
        </w:pBdr>
        <w:spacing w:after="200"/>
        <w:rPr>
          <w:rFonts w:eastAsia="Times New Roman" w:cs="Times New Roman"/>
          <w:b/>
          <w:i/>
        </w:rPr>
      </w:pPr>
      <w:r>
        <w:rPr>
          <w:rFonts w:eastAsia="Times New Roman" w:cs="Times New Roman"/>
          <w:b/>
          <w:i/>
        </w:rPr>
        <w:t>Introducerea de substanțe sintetice și non-sintetice în atmosferă, apă și soluri</w:t>
      </w:r>
    </w:p>
    <w:p w14:paraId="2BC78157" w14:textId="77777777" w:rsidR="00A53D2B" w:rsidRDefault="00A53D2B" w:rsidP="00A53D2B">
      <w:pPr>
        <w:pBdr>
          <w:top w:val="nil"/>
          <w:left w:val="nil"/>
          <w:bottom w:val="nil"/>
          <w:right w:val="nil"/>
          <w:between w:val="nil"/>
        </w:pBdr>
        <w:spacing w:before="0"/>
        <w:rPr>
          <w:rFonts w:eastAsia="Times New Roman" w:cs="Times New Roman"/>
          <w:i/>
        </w:rPr>
      </w:pPr>
      <w:r>
        <w:rPr>
          <w:rFonts w:eastAsia="Times New Roman" w:cs="Times New Roman"/>
          <w:i/>
        </w:rPr>
        <w:t>Aer (poluarea aerului)</w:t>
      </w:r>
    </w:p>
    <w:p w14:paraId="1FB9AADE" w14:textId="77777777" w:rsidR="00A53D2B" w:rsidRDefault="00A53D2B" w:rsidP="00A53D2B">
      <w:pPr>
        <w:pBdr>
          <w:top w:val="nil"/>
          <w:left w:val="nil"/>
          <w:bottom w:val="nil"/>
          <w:right w:val="nil"/>
          <w:between w:val="nil"/>
        </w:pBdr>
        <w:spacing w:before="0"/>
        <w:ind w:firstLine="567"/>
        <w:rPr>
          <w:rFonts w:eastAsia="Times New Roman" w:cs="Times New Roman"/>
        </w:rPr>
      </w:pPr>
      <w:r>
        <w:rPr>
          <w:rFonts w:eastAsia="Times New Roman" w:cs="Times New Roman"/>
        </w:rPr>
        <w:t>După origine, sursele de poluare a atmosferei se clasifică în surse naturale și surse antropice. Relevante în zona costieră sunt sursele antropice, acestea fiind împărțite în surse fixe (staționare) ce produc, de cele mai multe ori, o poluare limitată a atmosferei în jurul amplasamentului acestora, dar și la distanțe mari în cazul surselor de emisie foarte înalte și surse mobile, reprezentate prin mijloacele de transport rutiere, feroviare și navale. Sursele staționare sunt reprezentate de procese industriale și procese de combustie (obținere de energie, incinerare deșeuri, etc).</w:t>
      </w:r>
    </w:p>
    <w:p w14:paraId="30DCCC55" w14:textId="77777777" w:rsidR="00A53D2B" w:rsidRDefault="00A53D2B" w:rsidP="00A53D2B">
      <w:pPr>
        <w:pBdr>
          <w:top w:val="nil"/>
          <w:left w:val="nil"/>
          <w:bottom w:val="nil"/>
          <w:right w:val="nil"/>
          <w:between w:val="nil"/>
        </w:pBdr>
        <w:spacing w:before="0"/>
        <w:rPr>
          <w:rFonts w:eastAsia="Times New Roman" w:cs="Times New Roman"/>
        </w:rPr>
      </w:pPr>
      <w:r>
        <w:rPr>
          <w:rFonts w:eastAsia="Times New Roman" w:cs="Times New Roman"/>
        </w:rPr>
        <w:t>Industrie</w:t>
      </w:r>
    </w:p>
    <w:p w14:paraId="2197AFDF" w14:textId="6DA4C765" w:rsidR="00A53D2B" w:rsidRDefault="00A53D2B" w:rsidP="00A53D2B">
      <w:pPr>
        <w:pBdr>
          <w:top w:val="nil"/>
          <w:left w:val="nil"/>
          <w:bottom w:val="nil"/>
          <w:right w:val="nil"/>
          <w:between w:val="nil"/>
        </w:pBdr>
        <w:spacing w:before="0"/>
        <w:ind w:firstLine="567"/>
        <w:rPr>
          <w:rFonts w:eastAsia="Times New Roman" w:cs="Times New Roman"/>
        </w:rPr>
      </w:pPr>
      <w:r>
        <w:rPr>
          <w:rFonts w:eastAsia="Times New Roman" w:cs="Times New Roman"/>
        </w:rPr>
        <w:t>Industria petrochimică, o posibilă sursă majoră, punctiformă, de emisii de poluanți în atmosferă, este reprezentată de Rafinăria Petromidia Năvodari și Uzina Petrochimică, situate în UAT Năvodari. Totuși, datorită investițiile majore și continue în modernizarea instalațiilor de recuperare a gazelor evacuate, nivelul emisiilor prezintă o tendință clară de descreștere (KMG International NV, 2021), fapt ce reiese și din datele prezentate în Tabel 2.5.2.1.</w:t>
      </w:r>
    </w:p>
    <w:p w14:paraId="5342D36E" w14:textId="77777777" w:rsidR="00A53D2B" w:rsidRDefault="00A53D2B" w:rsidP="00A53D2B">
      <w:pPr>
        <w:jc w:val="center"/>
        <w:rPr>
          <w:b/>
          <w:color w:val="000000"/>
        </w:rPr>
      </w:pPr>
      <w:bookmarkStart w:id="122" w:name="_heading=h.1mrcu09" w:colFirst="0" w:colLast="0"/>
      <w:bookmarkEnd w:id="122"/>
    </w:p>
    <w:p w14:paraId="45B5FF7F" w14:textId="7F976258" w:rsidR="00A53D2B" w:rsidRDefault="00A53D2B" w:rsidP="00A53D2B">
      <w:pPr>
        <w:spacing w:after="0" w:line="257" w:lineRule="auto"/>
        <w:jc w:val="center"/>
        <w:rPr>
          <w:rFonts w:eastAsia="Times New Roman" w:cs="Times New Roman"/>
        </w:rPr>
      </w:pPr>
      <w:r>
        <w:rPr>
          <w:rFonts w:eastAsia="Times New Roman" w:cs="Times New Roman"/>
          <w:b/>
          <w:color w:val="000000"/>
        </w:rPr>
        <w:t>Tabel 2.5.2.1 Emisiile de poluanți atmosferici provenite de la Rafinăria Petromidia și Uzina Petrochimică Năvodari, perioada 2019 – 2021 </w:t>
      </w:r>
    </w:p>
    <w:tbl>
      <w:tblPr>
        <w:tblW w:w="8188" w:type="dxa"/>
        <w:jc w:val="center"/>
        <w:tblLayout w:type="fixed"/>
        <w:tblLook w:val="0400" w:firstRow="0" w:lastRow="0" w:firstColumn="0" w:lastColumn="0" w:noHBand="0" w:noVBand="1"/>
      </w:tblPr>
      <w:tblGrid>
        <w:gridCol w:w="2791"/>
        <w:gridCol w:w="1613"/>
        <w:gridCol w:w="1254"/>
        <w:gridCol w:w="1369"/>
        <w:gridCol w:w="1161"/>
      </w:tblGrid>
      <w:tr w:rsidR="00A53D2B" w14:paraId="5CB79E07" w14:textId="77777777" w:rsidTr="008B1BFC">
        <w:trPr>
          <w:trHeight w:val="420"/>
          <w:jc w:val="center"/>
        </w:trPr>
        <w:tc>
          <w:tcPr>
            <w:tcW w:w="2791" w:type="dxa"/>
            <w:tcBorders>
              <w:top w:val="single" w:sz="8" w:space="0" w:color="000000"/>
              <w:left w:val="single" w:sz="8" w:space="0" w:color="000000"/>
              <w:bottom w:val="single" w:sz="8" w:space="0" w:color="000000"/>
              <w:right w:val="single" w:sz="8" w:space="0" w:color="000000"/>
            </w:tcBorders>
            <w:shd w:val="clear" w:color="auto" w:fill="FFFFFF"/>
            <w:vAlign w:val="bottom"/>
          </w:tcPr>
          <w:p w14:paraId="7217917C" w14:textId="77777777" w:rsidR="00A53D2B" w:rsidRDefault="00A53D2B" w:rsidP="00A53D2B">
            <w:pPr>
              <w:spacing w:before="0" w:after="0"/>
              <w:ind w:firstLine="0"/>
              <w:rPr>
                <w:rFonts w:eastAsia="Times New Roman" w:cs="Times New Roman"/>
                <w:sz w:val="20"/>
                <w:szCs w:val="20"/>
              </w:rPr>
            </w:pPr>
          </w:p>
        </w:tc>
        <w:tc>
          <w:tcPr>
            <w:tcW w:w="1613"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bottom"/>
          </w:tcPr>
          <w:p w14:paraId="0D3546E6" w14:textId="77777777" w:rsidR="00A53D2B" w:rsidRDefault="00A53D2B" w:rsidP="00A53D2B">
            <w:pPr>
              <w:spacing w:before="0" w:after="0"/>
              <w:ind w:firstLine="0"/>
              <w:rPr>
                <w:rFonts w:eastAsia="Times New Roman" w:cs="Times New Roman"/>
                <w:sz w:val="20"/>
                <w:szCs w:val="20"/>
              </w:rPr>
            </w:pPr>
            <w:r>
              <w:rPr>
                <w:rFonts w:eastAsia="Times New Roman" w:cs="Times New Roman"/>
                <w:color w:val="000000"/>
                <w:sz w:val="20"/>
                <w:szCs w:val="20"/>
              </w:rPr>
              <w:t> </w:t>
            </w:r>
          </w:p>
        </w:tc>
        <w:tc>
          <w:tcPr>
            <w:tcW w:w="1254" w:type="dxa"/>
            <w:tcBorders>
              <w:top w:val="single" w:sz="8" w:space="0" w:color="000000"/>
              <w:left w:val="single" w:sz="8" w:space="0" w:color="000000"/>
              <w:bottom w:val="single" w:sz="8" w:space="0" w:color="000000"/>
              <w:right w:val="single" w:sz="8" w:space="0" w:color="000000"/>
            </w:tcBorders>
            <w:shd w:val="clear" w:color="auto" w:fill="FFFFFF"/>
            <w:vAlign w:val="bottom"/>
          </w:tcPr>
          <w:p w14:paraId="4FED9AFA" w14:textId="77777777" w:rsidR="00A53D2B" w:rsidRDefault="00A53D2B" w:rsidP="00A53D2B">
            <w:pPr>
              <w:spacing w:before="0" w:after="0"/>
              <w:ind w:firstLine="14"/>
              <w:jc w:val="center"/>
              <w:rPr>
                <w:rFonts w:eastAsia="Times New Roman" w:cs="Times New Roman"/>
                <w:sz w:val="20"/>
                <w:szCs w:val="20"/>
              </w:rPr>
            </w:pPr>
            <w:r>
              <w:rPr>
                <w:rFonts w:eastAsia="Times New Roman" w:cs="Times New Roman"/>
                <w:b/>
                <w:color w:val="000000"/>
                <w:sz w:val="20"/>
                <w:szCs w:val="20"/>
              </w:rPr>
              <w:t>2019</w:t>
            </w:r>
          </w:p>
        </w:tc>
        <w:tc>
          <w:tcPr>
            <w:tcW w:w="1369" w:type="dxa"/>
            <w:tcBorders>
              <w:top w:val="single" w:sz="8" w:space="0" w:color="000000"/>
              <w:left w:val="single" w:sz="8" w:space="0" w:color="000000"/>
              <w:bottom w:val="single" w:sz="8" w:space="0" w:color="000000"/>
              <w:right w:val="single" w:sz="8" w:space="0" w:color="000000"/>
            </w:tcBorders>
            <w:shd w:val="clear" w:color="auto" w:fill="FFFFFF"/>
            <w:vAlign w:val="bottom"/>
          </w:tcPr>
          <w:p w14:paraId="695F5637" w14:textId="77777777" w:rsidR="00A53D2B" w:rsidRDefault="00A53D2B" w:rsidP="00A53D2B">
            <w:pPr>
              <w:spacing w:before="0" w:after="0"/>
              <w:ind w:firstLine="36"/>
              <w:jc w:val="center"/>
              <w:rPr>
                <w:rFonts w:eastAsia="Times New Roman" w:cs="Times New Roman"/>
                <w:sz w:val="20"/>
                <w:szCs w:val="20"/>
              </w:rPr>
            </w:pPr>
            <w:r>
              <w:rPr>
                <w:rFonts w:eastAsia="Times New Roman" w:cs="Times New Roman"/>
                <w:b/>
                <w:color w:val="000000"/>
                <w:sz w:val="20"/>
                <w:szCs w:val="20"/>
              </w:rPr>
              <w:t>2020</w:t>
            </w:r>
          </w:p>
        </w:tc>
        <w:tc>
          <w:tcPr>
            <w:tcW w:w="1161" w:type="dxa"/>
            <w:tcBorders>
              <w:top w:val="single" w:sz="8" w:space="0" w:color="000000"/>
              <w:left w:val="single" w:sz="8" w:space="0" w:color="000000"/>
              <w:bottom w:val="single" w:sz="8" w:space="0" w:color="000000"/>
              <w:right w:val="single" w:sz="8" w:space="0" w:color="000000"/>
            </w:tcBorders>
            <w:shd w:val="clear" w:color="auto" w:fill="FFFFFF"/>
            <w:vAlign w:val="bottom"/>
          </w:tcPr>
          <w:p w14:paraId="097B5D51" w14:textId="77777777" w:rsidR="00A53D2B" w:rsidRDefault="00A53D2B" w:rsidP="00A53D2B">
            <w:pPr>
              <w:spacing w:before="0" w:after="0"/>
              <w:ind w:firstLine="85"/>
              <w:jc w:val="center"/>
              <w:rPr>
                <w:rFonts w:eastAsia="Times New Roman" w:cs="Times New Roman"/>
                <w:sz w:val="20"/>
                <w:szCs w:val="20"/>
              </w:rPr>
            </w:pPr>
            <w:r>
              <w:rPr>
                <w:rFonts w:eastAsia="Times New Roman" w:cs="Times New Roman"/>
                <w:b/>
                <w:color w:val="000000"/>
                <w:sz w:val="20"/>
                <w:szCs w:val="20"/>
              </w:rPr>
              <w:t>2021</w:t>
            </w:r>
          </w:p>
        </w:tc>
      </w:tr>
      <w:tr w:rsidR="00A53D2B" w14:paraId="0DA991F2" w14:textId="77777777" w:rsidTr="008B1BFC">
        <w:trPr>
          <w:trHeight w:val="390"/>
          <w:jc w:val="center"/>
        </w:trPr>
        <w:tc>
          <w:tcPr>
            <w:tcW w:w="2791" w:type="dxa"/>
            <w:vMerge w:val="restart"/>
            <w:tcBorders>
              <w:top w:val="single" w:sz="8" w:space="0" w:color="000000"/>
              <w:left w:val="single" w:sz="8" w:space="0" w:color="000000"/>
              <w:bottom w:val="single" w:sz="8" w:space="0" w:color="000000"/>
              <w:right w:val="single" w:sz="8" w:space="0" w:color="000000"/>
            </w:tcBorders>
            <w:shd w:val="clear" w:color="auto" w:fill="FFFFFF"/>
          </w:tcPr>
          <w:p w14:paraId="0B3655D4" w14:textId="77777777" w:rsidR="00A53D2B" w:rsidRDefault="00A53D2B" w:rsidP="00A53D2B">
            <w:pPr>
              <w:spacing w:before="0" w:after="0"/>
              <w:ind w:firstLine="24"/>
              <w:rPr>
                <w:rFonts w:eastAsia="Times New Roman" w:cs="Times New Roman"/>
                <w:sz w:val="20"/>
                <w:szCs w:val="20"/>
              </w:rPr>
            </w:pPr>
            <w:r>
              <w:rPr>
                <w:rFonts w:eastAsia="Times New Roman" w:cs="Times New Roman"/>
                <w:color w:val="000000"/>
                <w:sz w:val="20"/>
                <w:szCs w:val="20"/>
              </w:rPr>
              <w:t>Tone oxizi de sulf (SO</w:t>
            </w:r>
            <w:r>
              <w:rPr>
                <w:rFonts w:eastAsia="Times New Roman" w:cs="Times New Roman"/>
                <w:color w:val="000000"/>
                <w:sz w:val="20"/>
                <w:szCs w:val="20"/>
                <w:vertAlign w:val="subscript"/>
              </w:rPr>
              <w:t>2</w:t>
            </w:r>
            <w:r>
              <w:rPr>
                <w:rFonts w:eastAsia="Times New Roman" w:cs="Times New Roman"/>
                <w:color w:val="000000"/>
                <w:sz w:val="20"/>
                <w:szCs w:val="20"/>
              </w:rPr>
              <w:t>)</w:t>
            </w:r>
          </w:p>
        </w:tc>
        <w:tc>
          <w:tcPr>
            <w:tcW w:w="1613" w:type="dxa"/>
            <w:tcBorders>
              <w:top w:val="single" w:sz="8" w:space="0" w:color="000000"/>
              <w:left w:val="single" w:sz="8" w:space="0" w:color="000000"/>
              <w:bottom w:val="single" w:sz="8" w:space="0" w:color="000000"/>
              <w:right w:val="single" w:sz="8" w:space="0" w:color="000000"/>
            </w:tcBorders>
            <w:shd w:val="clear" w:color="auto" w:fill="F2F2F2"/>
          </w:tcPr>
          <w:p w14:paraId="3E874CFB" w14:textId="77777777" w:rsidR="00A53D2B" w:rsidRDefault="00A53D2B" w:rsidP="00A53D2B">
            <w:pPr>
              <w:spacing w:before="0" w:after="0"/>
              <w:ind w:firstLine="68"/>
              <w:rPr>
                <w:rFonts w:eastAsia="Times New Roman" w:cs="Times New Roman"/>
                <w:sz w:val="20"/>
                <w:szCs w:val="20"/>
              </w:rPr>
            </w:pPr>
            <w:r>
              <w:rPr>
                <w:rFonts w:eastAsia="Times New Roman" w:cs="Times New Roman"/>
                <w:color w:val="000000"/>
                <w:sz w:val="20"/>
                <w:szCs w:val="20"/>
              </w:rPr>
              <w:t>Petromidia</w:t>
            </w:r>
          </w:p>
        </w:tc>
        <w:tc>
          <w:tcPr>
            <w:tcW w:w="1254"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67A0FE0A" w14:textId="77777777" w:rsidR="00A53D2B" w:rsidRDefault="00A53D2B" w:rsidP="00A53D2B">
            <w:pPr>
              <w:spacing w:before="0" w:after="0"/>
              <w:ind w:left="185" w:firstLine="14"/>
              <w:rPr>
                <w:rFonts w:eastAsia="Times New Roman" w:cs="Times New Roman"/>
                <w:sz w:val="20"/>
                <w:szCs w:val="20"/>
              </w:rPr>
            </w:pPr>
            <w:r>
              <w:rPr>
                <w:rFonts w:eastAsia="Times New Roman" w:cs="Times New Roman"/>
                <w:color w:val="000000"/>
                <w:sz w:val="20"/>
                <w:szCs w:val="20"/>
              </w:rPr>
              <w:t>282,10</w:t>
            </w:r>
          </w:p>
        </w:tc>
        <w:tc>
          <w:tcPr>
            <w:tcW w:w="1369"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263EC311" w14:textId="77777777" w:rsidR="00A53D2B" w:rsidRDefault="00A53D2B" w:rsidP="00A53D2B">
            <w:pPr>
              <w:spacing w:before="0" w:after="0"/>
              <w:ind w:left="69" w:firstLine="36"/>
              <w:rPr>
                <w:rFonts w:eastAsia="Times New Roman" w:cs="Times New Roman"/>
                <w:sz w:val="20"/>
                <w:szCs w:val="20"/>
              </w:rPr>
            </w:pPr>
            <w:r>
              <w:rPr>
                <w:rFonts w:eastAsia="Times New Roman" w:cs="Times New Roman"/>
                <w:color w:val="000000"/>
                <w:sz w:val="20"/>
                <w:szCs w:val="20"/>
              </w:rPr>
              <w:t>213,05</w:t>
            </w:r>
          </w:p>
        </w:tc>
        <w:tc>
          <w:tcPr>
            <w:tcW w:w="1161"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50CE1933" w14:textId="77777777" w:rsidR="00A53D2B" w:rsidRDefault="00A53D2B" w:rsidP="00A53D2B">
            <w:pPr>
              <w:spacing w:before="0" w:after="0"/>
              <w:ind w:left="117" w:firstLine="85"/>
              <w:rPr>
                <w:rFonts w:eastAsia="Times New Roman" w:cs="Times New Roman"/>
                <w:sz w:val="20"/>
                <w:szCs w:val="20"/>
              </w:rPr>
            </w:pPr>
            <w:r>
              <w:rPr>
                <w:rFonts w:eastAsia="Times New Roman" w:cs="Times New Roman"/>
                <w:color w:val="000000"/>
                <w:sz w:val="20"/>
                <w:szCs w:val="20"/>
              </w:rPr>
              <w:t>191,81</w:t>
            </w:r>
          </w:p>
        </w:tc>
      </w:tr>
      <w:tr w:rsidR="00A53D2B" w14:paraId="1E6A8991" w14:textId="77777777" w:rsidTr="008B1BFC">
        <w:trPr>
          <w:jc w:val="center"/>
        </w:trPr>
        <w:tc>
          <w:tcPr>
            <w:tcW w:w="2791" w:type="dxa"/>
            <w:vMerge/>
            <w:tcBorders>
              <w:top w:val="single" w:sz="8" w:space="0" w:color="000000"/>
              <w:left w:val="single" w:sz="8" w:space="0" w:color="000000"/>
              <w:bottom w:val="single" w:sz="8" w:space="0" w:color="000000"/>
              <w:right w:val="single" w:sz="8" w:space="0" w:color="000000"/>
            </w:tcBorders>
            <w:shd w:val="clear" w:color="auto" w:fill="FFFFFF"/>
          </w:tcPr>
          <w:p w14:paraId="3D50B147" w14:textId="77777777" w:rsidR="00A53D2B" w:rsidRDefault="00A53D2B" w:rsidP="00A53D2B">
            <w:pPr>
              <w:widowControl w:val="0"/>
              <w:pBdr>
                <w:top w:val="nil"/>
                <w:left w:val="nil"/>
                <w:bottom w:val="nil"/>
                <w:right w:val="nil"/>
                <w:between w:val="nil"/>
              </w:pBdr>
              <w:spacing w:before="0" w:after="0"/>
              <w:ind w:firstLine="24"/>
              <w:rPr>
                <w:rFonts w:eastAsia="Times New Roman" w:cs="Times New Roman"/>
                <w:sz w:val="20"/>
                <w:szCs w:val="20"/>
              </w:rPr>
            </w:pPr>
          </w:p>
        </w:tc>
        <w:tc>
          <w:tcPr>
            <w:tcW w:w="1613" w:type="dxa"/>
            <w:tcBorders>
              <w:top w:val="single" w:sz="8" w:space="0" w:color="000000"/>
              <w:left w:val="single" w:sz="8" w:space="0" w:color="000000"/>
              <w:bottom w:val="single" w:sz="8" w:space="0" w:color="000000"/>
              <w:right w:val="single" w:sz="8" w:space="0" w:color="000000"/>
            </w:tcBorders>
          </w:tcPr>
          <w:p w14:paraId="5BADCBC1" w14:textId="77777777" w:rsidR="00A53D2B" w:rsidRDefault="00A53D2B" w:rsidP="00A53D2B">
            <w:pPr>
              <w:spacing w:before="0" w:after="0"/>
              <w:ind w:firstLine="68"/>
              <w:rPr>
                <w:rFonts w:eastAsia="Times New Roman" w:cs="Times New Roman"/>
                <w:sz w:val="20"/>
                <w:szCs w:val="20"/>
              </w:rPr>
            </w:pPr>
            <w:r>
              <w:rPr>
                <w:rFonts w:eastAsia="Times New Roman" w:cs="Times New Roman"/>
                <w:color w:val="000000"/>
                <w:sz w:val="20"/>
                <w:szCs w:val="20"/>
              </w:rPr>
              <w:t>Uzina Petrochimică</w:t>
            </w:r>
          </w:p>
        </w:tc>
        <w:tc>
          <w:tcPr>
            <w:tcW w:w="1254" w:type="dxa"/>
            <w:tcBorders>
              <w:top w:val="single" w:sz="8" w:space="0" w:color="000000"/>
              <w:left w:val="single" w:sz="8" w:space="0" w:color="000000"/>
              <w:bottom w:val="single" w:sz="8" w:space="0" w:color="000000"/>
              <w:right w:val="single" w:sz="8" w:space="0" w:color="000000"/>
            </w:tcBorders>
            <w:vAlign w:val="bottom"/>
          </w:tcPr>
          <w:p w14:paraId="356E9896" w14:textId="77777777" w:rsidR="00A53D2B" w:rsidRDefault="00A53D2B" w:rsidP="00A53D2B">
            <w:pPr>
              <w:spacing w:before="0" w:after="0"/>
              <w:ind w:left="185" w:firstLine="14"/>
              <w:rPr>
                <w:rFonts w:eastAsia="Times New Roman" w:cs="Times New Roman"/>
                <w:sz w:val="20"/>
                <w:szCs w:val="20"/>
              </w:rPr>
            </w:pPr>
            <w:r>
              <w:rPr>
                <w:rFonts w:eastAsia="Times New Roman" w:cs="Times New Roman"/>
                <w:color w:val="000000"/>
                <w:sz w:val="20"/>
                <w:szCs w:val="20"/>
              </w:rPr>
              <w:t>0,47</w:t>
            </w:r>
          </w:p>
        </w:tc>
        <w:tc>
          <w:tcPr>
            <w:tcW w:w="1369" w:type="dxa"/>
            <w:tcBorders>
              <w:top w:val="single" w:sz="8" w:space="0" w:color="000000"/>
              <w:left w:val="single" w:sz="8" w:space="0" w:color="000000"/>
              <w:bottom w:val="single" w:sz="8" w:space="0" w:color="000000"/>
              <w:right w:val="single" w:sz="8" w:space="0" w:color="000000"/>
            </w:tcBorders>
            <w:vAlign w:val="bottom"/>
          </w:tcPr>
          <w:p w14:paraId="6EE0746D" w14:textId="77777777" w:rsidR="00A53D2B" w:rsidRDefault="00A53D2B" w:rsidP="00A53D2B">
            <w:pPr>
              <w:spacing w:before="0" w:after="0"/>
              <w:ind w:left="69" w:firstLine="36"/>
              <w:rPr>
                <w:rFonts w:eastAsia="Times New Roman" w:cs="Times New Roman"/>
                <w:sz w:val="20"/>
                <w:szCs w:val="20"/>
              </w:rPr>
            </w:pPr>
            <w:r>
              <w:rPr>
                <w:rFonts w:eastAsia="Times New Roman" w:cs="Times New Roman"/>
                <w:color w:val="000000"/>
                <w:sz w:val="20"/>
                <w:szCs w:val="20"/>
              </w:rPr>
              <w:t>0,2</w:t>
            </w:r>
          </w:p>
        </w:tc>
        <w:tc>
          <w:tcPr>
            <w:tcW w:w="1161" w:type="dxa"/>
            <w:tcBorders>
              <w:top w:val="single" w:sz="8" w:space="0" w:color="000000"/>
              <w:left w:val="single" w:sz="8" w:space="0" w:color="000000"/>
              <w:bottom w:val="single" w:sz="8" w:space="0" w:color="000000"/>
              <w:right w:val="single" w:sz="8" w:space="0" w:color="000000"/>
            </w:tcBorders>
            <w:vAlign w:val="bottom"/>
          </w:tcPr>
          <w:p w14:paraId="33DF73CF" w14:textId="77777777" w:rsidR="00A53D2B" w:rsidRDefault="00A53D2B" w:rsidP="00A53D2B">
            <w:pPr>
              <w:spacing w:before="0" w:after="0"/>
              <w:ind w:left="117" w:firstLine="85"/>
              <w:rPr>
                <w:rFonts w:eastAsia="Times New Roman" w:cs="Times New Roman"/>
                <w:sz w:val="20"/>
                <w:szCs w:val="20"/>
              </w:rPr>
            </w:pPr>
            <w:r>
              <w:rPr>
                <w:rFonts w:eastAsia="Times New Roman" w:cs="Times New Roman"/>
                <w:color w:val="000000"/>
                <w:sz w:val="20"/>
                <w:szCs w:val="20"/>
              </w:rPr>
              <w:t>0,15</w:t>
            </w:r>
          </w:p>
        </w:tc>
      </w:tr>
      <w:tr w:rsidR="00A53D2B" w14:paraId="56D674BB" w14:textId="77777777" w:rsidTr="008B1BFC">
        <w:trPr>
          <w:trHeight w:val="294"/>
          <w:jc w:val="center"/>
        </w:trPr>
        <w:tc>
          <w:tcPr>
            <w:tcW w:w="2791" w:type="dxa"/>
            <w:vMerge w:val="restart"/>
            <w:tcBorders>
              <w:top w:val="single" w:sz="8" w:space="0" w:color="000000"/>
              <w:left w:val="single" w:sz="8" w:space="0" w:color="000000"/>
              <w:bottom w:val="single" w:sz="8" w:space="0" w:color="000000"/>
              <w:right w:val="single" w:sz="8" w:space="0" w:color="000000"/>
            </w:tcBorders>
            <w:shd w:val="clear" w:color="auto" w:fill="FFFFFF"/>
          </w:tcPr>
          <w:p w14:paraId="782C5072" w14:textId="77777777" w:rsidR="00A53D2B" w:rsidRDefault="00A53D2B" w:rsidP="00A53D2B">
            <w:pPr>
              <w:spacing w:before="0" w:after="0"/>
              <w:ind w:firstLine="24"/>
              <w:rPr>
                <w:rFonts w:eastAsia="Times New Roman" w:cs="Times New Roman"/>
                <w:sz w:val="20"/>
                <w:szCs w:val="20"/>
              </w:rPr>
            </w:pPr>
            <w:r>
              <w:rPr>
                <w:rFonts w:eastAsia="Times New Roman" w:cs="Times New Roman"/>
                <w:color w:val="000000"/>
                <w:sz w:val="20"/>
                <w:szCs w:val="20"/>
              </w:rPr>
              <w:t>Tone oxizi de azot (N</w:t>
            </w:r>
            <w:r>
              <w:rPr>
                <w:rFonts w:eastAsia="Times New Roman" w:cs="Times New Roman"/>
                <w:color w:val="000000"/>
                <w:sz w:val="20"/>
                <w:szCs w:val="20"/>
                <w:vertAlign w:val="subscript"/>
              </w:rPr>
              <w:t>2</w:t>
            </w:r>
            <w:r>
              <w:rPr>
                <w:rFonts w:eastAsia="Times New Roman" w:cs="Times New Roman"/>
                <w:color w:val="000000"/>
                <w:sz w:val="20"/>
                <w:szCs w:val="20"/>
              </w:rPr>
              <w:t>O)</w:t>
            </w:r>
          </w:p>
        </w:tc>
        <w:tc>
          <w:tcPr>
            <w:tcW w:w="1613" w:type="dxa"/>
            <w:tcBorders>
              <w:top w:val="single" w:sz="8" w:space="0" w:color="000000"/>
              <w:left w:val="single" w:sz="8" w:space="0" w:color="000000"/>
              <w:bottom w:val="single" w:sz="8" w:space="0" w:color="000000"/>
              <w:right w:val="single" w:sz="8" w:space="0" w:color="000000"/>
            </w:tcBorders>
            <w:shd w:val="clear" w:color="auto" w:fill="F2F2F2"/>
          </w:tcPr>
          <w:p w14:paraId="57171E46" w14:textId="77777777" w:rsidR="00A53D2B" w:rsidRDefault="00A53D2B" w:rsidP="00A53D2B">
            <w:pPr>
              <w:spacing w:before="0" w:after="0"/>
              <w:ind w:firstLine="68"/>
              <w:rPr>
                <w:rFonts w:eastAsia="Times New Roman" w:cs="Times New Roman"/>
                <w:sz w:val="20"/>
                <w:szCs w:val="20"/>
              </w:rPr>
            </w:pPr>
            <w:r>
              <w:rPr>
                <w:rFonts w:eastAsia="Times New Roman" w:cs="Times New Roman"/>
                <w:color w:val="000000"/>
                <w:sz w:val="20"/>
                <w:szCs w:val="20"/>
              </w:rPr>
              <w:t>Petromidia</w:t>
            </w:r>
          </w:p>
        </w:tc>
        <w:tc>
          <w:tcPr>
            <w:tcW w:w="1254"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2CF13CD2" w14:textId="77777777" w:rsidR="00A53D2B" w:rsidRDefault="00A53D2B" w:rsidP="00A53D2B">
            <w:pPr>
              <w:spacing w:before="0" w:after="0"/>
              <w:ind w:left="185" w:firstLine="14"/>
              <w:rPr>
                <w:rFonts w:eastAsia="Times New Roman" w:cs="Times New Roman"/>
                <w:sz w:val="20"/>
                <w:szCs w:val="20"/>
              </w:rPr>
            </w:pPr>
            <w:r>
              <w:rPr>
                <w:rFonts w:eastAsia="Times New Roman" w:cs="Times New Roman"/>
                <w:color w:val="000000"/>
                <w:sz w:val="20"/>
                <w:szCs w:val="20"/>
              </w:rPr>
              <w:t>431,45</w:t>
            </w:r>
          </w:p>
        </w:tc>
        <w:tc>
          <w:tcPr>
            <w:tcW w:w="1369"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3DB71284" w14:textId="77777777" w:rsidR="00A53D2B" w:rsidRDefault="00A53D2B" w:rsidP="00A53D2B">
            <w:pPr>
              <w:spacing w:before="0" w:after="0"/>
              <w:ind w:left="69" w:firstLine="36"/>
              <w:rPr>
                <w:rFonts w:eastAsia="Times New Roman" w:cs="Times New Roman"/>
                <w:sz w:val="20"/>
                <w:szCs w:val="20"/>
              </w:rPr>
            </w:pPr>
            <w:r>
              <w:rPr>
                <w:rFonts w:eastAsia="Times New Roman" w:cs="Times New Roman"/>
                <w:color w:val="000000"/>
                <w:sz w:val="20"/>
                <w:szCs w:val="20"/>
              </w:rPr>
              <w:t>320,68</w:t>
            </w:r>
          </w:p>
        </w:tc>
        <w:tc>
          <w:tcPr>
            <w:tcW w:w="1161"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334E1DB5" w14:textId="77777777" w:rsidR="00A53D2B" w:rsidRDefault="00A53D2B" w:rsidP="00A53D2B">
            <w:pPr>
              <w:spacing w:before="0" w:after="0"/>
              <w:ind w:left="117" w:firstLine="85"/>
              <w:rPr>
                <w:rFonts w:eastAsia="Times New Roman" w:cs="Times New Roman"/>
                <w:sz w:val="20"/>
                <w:szCs w:val="20"/>
              </w:rPr>
            </w:pPr>
            <w:r>
              <w:rPr>
                <w:rFonts w:eastAsia="Times New Roman" w:cs="Times New Roman"/>
                <w:color w:val="000000"/>
                <w:sz w:val="20"/>
                <w:szCs w:val="20"/>
              </w:rPr>
              <w:t>291,55</w:t>
            </w:r>
          </w:p>
        </w:tc>
      </w:tr>
      <w:tr w:rsidR="00A53D2B" w14:paraId="77E02C41" w14:textId="77777777" w:rsidTr="008B1BFC">
        <w:trPr>
          <w:trHeight w:val="354"/>
          <w:jc w:val="center"/>
        </w:trPr>
        <w:tc>
          <w:tcPr>
            <w:tcW w:w="2791" w:type="dxa"/>
            <w:vMerge/>
            <w:tcBorders>
              <w:top w:val="single" w:sz="8" w:space="0" w:color="000000"/>
              <w:left w:val="single" w:sz="8" w:space="0" w:color="000000"/>
              <w:bottom w:val="single" w:sz="8" w:space="0" w:color="000000"/>
              <w:right w:val="single" w:sz="8" w:space="0" w:color="000000"/>
            </w:tcBorders>
            <w:shd w:val="clear" w:color="auto" w:fill="FFFFFF"/>
          </w:tcPr>
          <w:p w14:paraId="7C490AD0" w14:textId="77777777" w:rsidR="00A53D2B" w:rsidRDefault="00A53D2B" w:rsidP="00A53D2B">
            <w:pPr>
              <w:widowControl w:val="0"/>
              <w:pBdr>
                <w:top w:val="nil"/>
                <w:left w:val="nil"/>
                <w:bottom w:val="nil"/>
                <w:right w:val="nil"/>
                <w:between w:val="nil"/>
              </w:pBdr>
              <w:spacing w:before="0" w:after="0"/>
              <w:ind w:firstLine="24"/>
              <w:rPr>
                <w:rFonts w:eastAsia="Times New Roman" w:cs="Times New Roman"/>
                <w:sz w:val="20"/>
                <w:szCs w:val="20"/>
              </w:rPr>
            </w:pPr>
          </w:p>
        </w:tc>
        <w:tc>
          <w:tcPr>
            <w:tcW w:w="1613" w:type="dxa"/>
            <w:tcBorders>
              <w:top w:val="single" w:sz="8" w:space="0" w:color="000000"/>
              <w:left w:val="single" w:sz="8" w:space="0" w:color="000000"/>
              <w:bottom w:val="single" w:sz="8" w:space="0" w:color="000000"/>
              <w:right w:val="single" w:sz="8" w:space="0" w:color="000000"/>
            </w:tcBorders>
          </w:tcPr>
          <w:p w14:paraId="1930C873" w14:textId="77777777" w:rsidR="00A53D2B" w:rsidRDefault="00A53D2B" w:rsidP="00A53D2B">
            <w:pPr>
              <w:spacing w:before="0" w:after="0"/>
              <w:ind w:firstLine="68"/>
              <w:rPr>
                <w:rFonts w:eastAsia="Times New Roman" w:cs="Times New Roman"/>
                <w:sz w:val="20"/>
                <w:szCs w:val="20"/>
              </w:rPr>
            </w:pPr>
            <w:r>
              <w:rPr>
                <w:rFonts w:eastAsia="Times New Roman" w:cs="Times New Roman"/>
                <w:color w:val="000000"/>
                <w:sz w:val="20"/>
                <w:szCs w:val="20"/>
              </w:rPr>
              <w:t>Uzina Petrochimică</w:t>
            </w:r>
          </w:p>
        </w:tc>
        <w:tc>
          <w:tcPr>
            <w:tcW w:w="1254" w:type="dxa"/>
            <w:tcBorders>
              <w:top w:val="single" w:sz="8" w:space="0" w:color="000000"/>
              <w:left w:val="single" w:sz="8" w:space="0" w:color="000000"/>
              <w:bottom w:val="single" w:sz="8" w:space="0" w:color="000000"/>
              <w:right w:val="single" w:sz="8" w:space="0" w:color="000000"/>
            </w:tcBorders>
            <w:vAlign w:val="bottom"/>
          </w:tcPr>
          <w:p w14:paraId="7F86930E" w14:textId="77777777" w:rsidR="00A53D2B" w:rsidRDefault="00A53D2B" w:rsidP="00A53D2B">
            <w:pPr>
              <w:spacing w:before="0" w:after="0"/>
              <w:ind w:left="185" w:firstLine="14"/>
              <w:rPr>
                <w:rFonts w:eastAsia="Times New Roman" w:cs="Times New Roman"/>
                <w:sz w:val="20"/>
                <w:szCs w:val="20"/>
              </w:rPr>
            </w:pPr>
            <w:r>
              <w:rPr>
                <w:rFonts w:eastAsia="Times New Roman" w:cs="Times New Roman"/>
                <w:color w:val="000000"/>
                <w:sz w:val="20"/>
                <w:szCs w:val="20"/>
              </w:rPr>
              <w:t>70,91</w:t>
            </w:r>
          </w:p>
        </w:tc>
        <w:tc>
          <w:tcPr>
            <w:tcW w:w="1369" w:type="dxa"/>
            <w:tcBorders>
              <w:top w:val="single" w:sz="8" w:space="0" w:color="000000"/>
              <w:left w:val="single" w:sz="8" w:space="0" w:color="000000"/>
              <w:bottom w:val="single" w:sz="8" w:space="0" w:color="000000"/>
              <w:right w:val="single" w:sz="8" w:space="0" w:color="000000"/>
            </w:tcBorders>
            <w:vAlign w:val="bottom"/>
          </w:tcPr>
          <w:p w14:paraId="68C47186" w14:textId="77777777" w:rsidR="00A53D2B" w:rsidRDefault="00A53D2B" w:rsidP="00A53D2B">
            <w:pPr>
              <w:spacing w:before="0" w:after="0"/>
              <w:ind w:left="69" w:firstLine="36"/>
              <w:rPr>
                <w:rFonts w:eastAsia="Times New Roman" w:cs="Times New Roman"/>
                <w:sz w:val="20"/>
                <w:szCs w:val="20"/>
              </w:rPr>
            </w:pPr>
            <w:r>
              <w:rPr>
                <w:rFonts w:eastAsia="Times New Roman" w:cs="Times New Roman"/>
                <w:color w:val="000000"/>
                <w:sz w:val="20"/>
                <w:szCs w:val="20"/>
              </w:rPr>
              <w:t>67,60</w:t>
            </w:r>
          </w:p>
        </w:tc>
        <w:tc>
          <w:tcPr>
            <w:tcW w:w="1161" w:type="dxa"/>
            <w:tcBorders>
              <w:top w:val="single" w:sz="8" w:space="0" w:color="000000"/>
              <w:left w:val="single" w:sz="8" w:space="0" w:color="000000"/>
              <w:bottom w:val="single" w:sz="8" w:space="0" w:color="000000"/>
              <w:right w:val="single" w:sz="8" w:space="0" w:color="000000"/>
            </w:tcBorders>
            <w:vAlign w:val="bottom"/>
          </w:tcPr>
          <w:p w14:paraId="5344222E" w14:textId="77777777" w:rsidR="00A53D2B" w:rsidRDefault="00A53D2B" w:rsidP="00A53D2B">
            <w:pPr>
              <w:spacing w:before="0" w:after="0"/>
              <w:ind w:left="117" w:firstLine="85"/>
              <w:rPr>
                <w:rFonts w:eastAsia="Times New Roman" w:cs="Times New Roman"/>
                <w:sz w:val="20"/>
                <w:szCs w:val="20"/>
              </w:rPr>
            </w:pPr>
            <w:r>
              <w:rPr>
                <w:rFonts w:eastAsia="Times New Roman" w:cs="Times New Roman"/>
                <w:color w:val="000000"/>
                <w:sz w:val="20"/>
                <w:szCs w:val="20"/>
              </w:rPr>
              <w:t>54,03</w:t>
            </w:r>
          </w:p>
        </w:tc>
      </w:tr>
      <w:tr w:rsidR="00A53D2B" w14:paraId="0E278E4A" w14:textId="77777777" w:rsidTr="008B1BFC">
        <w:trPr>
          <w:trHeight w:val="399"/>
          <w:jc w:val="center"/>
        </w:trPr>
        <w:tc>
          <w:tcPr>
            <w:tcW w:w="2791" w:type="dxa"/>
            <w:vMerge w:val="restart"/>
            <w:tcBorders>
              <w:top w:val="single" w:sz="8" w:space="0" w:color="000000"/>
              <w:left w:val="single" w:sz="8" w:space="0" w:color="000000"/>
              <w:bottom w:val="single" w:sz="8" w:space="0" w:color="000000"/>
              <w:right w:val="single" w:sz="8" w:space="0" w:color="000000"/>
            </w:tcBorders>
            <w:shd w:val="clear" w:color="auto" w:fill="FFFFFF"/>
          </w:tcPr>
          <w:p w14:paraId="6E0EA8E1" w14:textId="77777777" w:rsidR="00A53D2B" w:rsidRDefault="00A53D2B" w:rsidP="00A53D2B">
            <w:pPr>
              <w:spacing w:before="0" w:after="0"/>
              <w:ind w:firstLine="24"/>
              <w:rPr>
                <w:rFonts w:eastAsia="Times New Roman" w:cs="Times New Roman"/>
                <w:sz w:val="20"/>
                <w:szCs w:val="20"/>
              </w:rPr>
            </w:pPr>
            <w:r>
              <w:rPr>
                <w:rFonts w:eastAsia="Times New Roman" w:cs="Times New Roman"/>
                <w:color w:val="000000"/>
                <w:sz w:val="20"/>
                <w:szCs w:val="20"/>
              </w:rPr>
              <w:t>Tone de pulberi în suspensie (PM)</w:t>
            </w:r>
          </w:p>
        </w:tc>
        <w:tc>
          <w:tcPr>
            <w:tcW w:w="1613" w:type="dxa"/>
            <w:tcBorders>
              <w:top w:val="single" w:sz="8" w:space="0" w:color="000000"/>
              <w:left w:val="single" w:sz="8" w:space="0" w:color="000000"/>
              <w:bottom w:val="single" w:sz="8" w:space="0" w:color="000000"/>
              <w:right w:val="single" w:sz="8" w:space="0" w:color="000000"/>
            </w:tcBorders>
            <w:shd w:val="clear" w:color="auto" w:fill="F2F2F2"/>
          </w:tcPr>
          <w:p w14:paraId="4371B5E6" w14:textId="77777777" w:rsidR="00A53D2B" w:rsidRDefault="00A53D2B" w:rsidP="00A53D2B">
            <w:pPr>
              <w:spacing w:before="0" w:after="0"/>
              <w:ind w:firstLine="68"/>
              <w:rPr>
                <w:rFonts w:eastAsia="Times New Roman" w:cs="Times New Roman"/>
                <w:sz w:val="20"/>
                <w:szCs w:val="20"/>
              </w:rPr>
            </w:pPr>
            <w:r>
              <w:rPr>
                <w:rFonts w:eastAsia="Times New Roman" w:cs="Times New Roman"/>
                <w:color w:val="000000"/>
                <w:sz w:val="20"/>
                <w:szCs w:val="20"/>
              </w:rPr>
              <w:t>Petromidia</w:t>
            </w:r>
          </w:p>
        </w:tc>
        <w:tc>
          <w:tcPr>
            <w:tcW w:w="1254"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7C5C23A0" w14:textId="77777777" w:rsidR="00A53D2B" w:rsidRDefault="00A53D2B" w:rsidP="00A53D2B">
            <w:pPr>
              <w:spacing w:before="0" w:after="0"/>
              <w:ind w:left="185" w:firstLine="14"/>
              <w:rPr>
                <w:rFonts w:eastAsia="Times New Roman" w:cs="Times New Roman"/>
                <w:sz w:val="20"/>
                <w:szCs w:val="20"/>
              </w:rPr>
            </w:pPr>
            <w:r>
              <w:rPr>
                <w:rFonts w:eastAsia="Times New Roman" w:cs="Times New Roman"/>
                <w:color w:val="000000"/>
                <w:sz w:val="20"/>
                <w:szCs w:val="20"/>
              </w:rPr>
              <w:t>24,51</w:t>
            </w:r>
          </w:p>
        </w:tc>
        <w:tc>
          <w:tcPr>
            <w:tcW w:w="1369"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75CFA09E" w14:textId="77777777" w:rsidR="00A53D2B" w:rsidRDefault="00A53D2B" w:rsidP="00A53D2B">
            <w:pPr>
              <w:spacing w:before="0" w:after="0"/>
              <w:ind w:left="69" w:firstLine="36"/>
              <w:rPr>
                <w:rFonts w:eastAsia="Times New Roman" w:cs="Times New Roman"/>
                <w:sz w:val="20"/>
                <w:szCs w:val="20"/>
              </w:rPr>
            </w:pPr>
            <w:r>
              <w:rPr>
                <w:rFonts w:eastAsia="Times New Roman" w:cs="Times New Roman"/>
                <w:color w:val="000000"/>
                <w:sz w:val="20"/>
                <w:szCs w:val="20"/>
              </w:rPr>
              <w:t>18,73</w:t>
            </w:r>
          </w:p>
        </w:tc>
        <w:tc>
          <w:tcPr>
            <w:tcW w:w="1161"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3951B207" w14:textId="77777777" w:rsidR="00A53D2B" w:rsidRDefault="00A53D2B" w:rsidP="00A53D2B">
            <w:pPr>
              <w:spacing w:before="0" w:after="0"/>
              <w:ind w:left="117" w:firstLine="85"/>
              <w:rPr>
                <w:rFonts w:eastAsia="Times New Roman" w:cs="Times New Roman"/>
                <w:sz w:val="20"/>
                <w:szCs w:val="20"/>
              </w:rPr>
            </w:pPr>
            <w:r>
              <w:rPr>
                <w:rFonts w:eastAsia="Times New Roman" w:cs="Times New Roman"/>
                <w:color w:val="000000"/>
                <w:sz w:val="20"/>
                <w:szCs w:val="20"/>
              </w:rPr>
              <w:t>16,83</w:t>
            </w:r>
          </w:p>
        </w:tc>
      </w:tr>
      <w:tr w:rsidR="00A53D2B" w14:paraId="57A4BD7D" w14:textId="77777777" w:rsidTr="008B1BFC">
        <w:trPr>
          <w:jc w:val="center"/>
        </w:trPr>
        <w:tc>
          <w:tcPr>
            <w:tcW w:w="2791" w:type="dxa"/>
            <w:vMerge/>
            <w:tcBorders>
              <w:top w:val="single" w:sz="8" w:space="0" w:color="000000"/>
              <w:left w:val="single" w:sz="8" w:space="0" w:color="000000"/>
              <w:bottom w:val="single" w:sz="8" w:space="0" w:color="000000"/>
              <w:right w:val="single" w:sz="8" w:space="0" w:color="000000"/>
            </w:tcBorders>
            <w:shd w:val="clear" w:color="auto" w:fill="FFFFFF"/>
          </w:tcPr>
          <w:p w14:paraId="1E8A54E6" w14:textId="77777777" w:rsidR="00A53D2B" w:rsidRDefault="00A53D2B" w:rsidP="00A53D2B">
            <w:pPr>
              <w:widowControl w:val="0"/>
              <w:pBdr>
                <w:top w:val="nil"/>
                <w:left w:val="nil"/>
                <w:bottom w:val="nil"/>
                <w:right w:val="nil"/>
                <w:between w:val="nil"/>
              </w:pBdr>
              <w:spacing w:before="0" w:after="0"/>
              <w:ind w:firstLine="24"/>
              <w:rPr>
                <w:rFonts w:eastAsia="Times New Roman" w:cs="Times New Roman"/>
                <w:sz w:val="20"/>
                <w:szCs w:val="20"/>
              </w:rPr>
            </w:pPr>
          </w:p>
        </w:tc>
        <w:tc>
          <w:tcPr>
            <w:tcW w:w="1613" w:type="dxa"/>
            <w:tcBorders>
              <w:top w:val="single" w:sz="8" w:space="0" w:color="000000"/>
              <w:left w:val="single" w:sz="8" w:space="0" w:color="000000"/>
              <w:bottom w:val="single" w:sz="8" w:space="0" w:color="000000"/>
              <w:right w:val="single" w:sz="8" w:space="0" w:color="000000"/>
            </w:tcBorders>
          </w:tcPr>
          <w:p w14:paraId="3BE7AEE2" w14:textId="77777777" w:rsidR="00A53D2B" w:rsidRDefault="00A53D2B" w:rsidP="00A53D2B">
            <w:pPr>
              <w:spacing w:before="0" w:after="0"/>
              <w:ind w:firstLine="68"/>
              <w:rPr>
                <w:rFonts w:eastAsia="Times New Roman" w:cs="Times New Roman"/>
                <w:sz w:val="20"/>
                <w:szCs w:val="20"/>
              </w:rPr>
            </w:pPr>
            <w:r>
              <w:rPr>
                <w:rFonts w:eastAsia="Times New Roman" w:cs="Times New Roman"/>
                <w:color w:val="000000"/>
                <w:sz w:val="20"/>
                <w:szCs w:val="20"/>
              </w:rPr>
              <w:t>Uzina Petrochimică</w:t>
            </w:r>
          </w:p>
        </w:tc>
        <w:tc>
          <w:tcPr>
            <w:tcW w:w="1254" w:type="dxa"/>
            <w:tcBorders>
              <w:top w:val="single" w:sz="8" w:space="0" w:color="000000"/>
              <w:left w:val="single" w:sz="8" w:space="0" w:color="000000"/>
              <w:bottom w:val="single" w:sz="8" w:space="0" w:color="000000"/>
              <w:right w:val="single" w:sz="8" w:space="0" w:color="000000"/>
            </w:tcBorders>
            <w:vAlign w:val="bottom"/>
          </w:tcPr>
          <w:p w14:paraId="422CD7D6" w14:textId="77777777" w:rsidR="00A53D2B" w:rsidRDefault="00A53D2B" w:rsidP="00A53D2B">
            <w:pPr>
              <w:spacing w:before="0" w:after="0"/>
              <w:ind w:left="185" w:firstLine="14"/>
              <w:rPr>
                <w:rFonts w:eastAsia="Times New Roman" w:cs="Times New Roman"/>
                <w:sz w:val="20"/>
                <w:szCs w:val="20"/>
              </w:rPr>
            </w:pPr>
            <w:r>
              <w:rPr>
                <w:rFonts w:eastAsia="Times New Roman" w:cs="Times New Roman"/>
                <w:color w:val="000000"/>
                <w:sz w:val="20"/>
                <w:szCs w:val="20"/>
              </w:rPr>
              <w:t>2,43</w:t>
            </w:r>
          </w:p>
        </w:tc>
        <w:tc>
          <w:tcPr>
            <w:tcW w:w="1369" w:type="dxa"/>
            <w:tcBorders>
              <w:top w:val="single" w:sz="8" w:space="0" w:color="000000"/>
              <w:left w:val="single" w:sz="8" w:space="0" w:color="000000"/>
              <w:bottom w:val="single" w:sz="8" w:space="0" w:color="000000"/>
              <w:right w:val="single" w:sz="8" w:space="0" w:color="000000"/>
            </w:tcBorders>
            <w:vAlign w:val="bottom"/>
          </w:tcPr>
          <w:p w14:paraId="4D610E60" w14:textId="77777777" w:rsidR="00A53D2B" w:rsidRDefault="00A53D2B" w:rsidP="00A53D2B">
            <w:pPr>
              <w:spacing w:before="0" w:after="0"/>
              <w:ind w:left="69" w:firstLine="36"/>
              <w:rPr>
                <w:rFonts w:eastAsia="Times New Roman" w:cs="Times New Roman"/>
                <w:sz w:val="20"/>
                <w:szCs w:val="20"/>
              </w:rPr>
            </w:pPr>
            <w:r>
              <w:rPr>
                <w:rFonts w:eastAsia="Times New Roman" w:cs="Times New Roman"/>
                <w:color w:val="000000"/>
                <w:sz w:val="20"/>
                <w:szCs w:val="20"/>
              </w:rPr>
              <w:t>2,33</w:t>
            </w:r>
          </w:p>
        </w:tc>
        <w:tc>
          <w:tcPr>
            <w:tcW w:w="1161" w:type="dxa"/>
            <w:tcBorders>
              <w:top w:val="single" w:sz="8" w:space="0" w:color="000000"/>
              <w:left w:val="single" w:sz="8" w:space="0" w:color="000000"/>
              <w:bottom w:val="single" w:sz="8" w:space="0" w:color="000000"/>
              <w:right w:val="single" w:sz="8" w:space="0" w:color="000000"/>
            </w:tcBorders>
            <w:vAlign w:val="bottom"/>
          </w:tcPr>
          <w:p w14:paraId="1F71465A" w14:textId="77777777" w:rsidR="00A53D2B" w:rsidRDefault="00A53D2B" w:rsidP="00A53D2B">
            <w:pPr>
              <w:spacing w:before="0" w:after="0"/>
              <w:ind w:left="117" w:firstLine="85"/>
              <w:rPr>
                <w:rFonts w:eastAsia="Times New Roman" w:cs="Times New Roman"/>
                <w:sz w:val="20"/>
                <w:szCs w:val="20"/>
              </w:rPr>
            </w:pPr>
            <w:r>
              <w:rPr>
                <w:rFonts w:eastAsia="Times New Roman" w:cs="Times New Roman"/>
                <w:color w:val="000000"/>
                <w:sz w:val="20"/>
                <w:szCs w:val="20"/>
              </w:rPr>
              <w:t>1,72</w:t>
            </w:r>
          </w:p>
        </w:tc>
      </w:tr>
      <w:tr w:rsidR="00A53D2B" w14:paraId="302ADAFA" w14:textId="77777777" w:rsidTr="008B1BFC">
        <w:trPr>
          <w:jc w:val="center"/>
        </w:trPr>
        <w:tc>
          <w:tcPr>
            <w:tcW w:w="2791" w:type="dxa"/>
            <w:vMerge w:val="restart"/>
            <w:tcBorders>
              <w:top w:val="single" w:sz="8" w:space="0" w:color="000000"/>
              <w:left w:val="single" w:sz="8" w:space="0" w:color="000000"/>
              <w:bottom w:val="single" w:sz="8" w:space="0" w:color="000000"/>
              <w:right w:val="single" w:sz="8" w:space="0" w:color="000000"/>
            </w:tcBorders>
            <w:shd w:val="clear" w:color="auto" w:fill="FFFFFF"/>
          </w:tcPr>
          <w:p w14:paraId="66065999" w14:textId="77777777" w:rsidR="00A53D2B" w:rsidRDefault="00A53D2B" w:rsidP="00A53D2B">
            <w:pPr>
              <w:spacing w:before="0" w:after="0"/>
              <w:ind w:firstLine="24"/>
              <w:rPr>
                <w:rFonts w:eastAsia="Times New Roman" w:cs="Times New Roman"/>
                <w:sz w:val="20"/>
                <w:szCs w:val="20"/>
              </w:rPr>
            </w:pPr>
            <w:r>
              <w:rPr>
                <w:rFonts w:eastAsia="Times New Roman" w:cs="Times New Roman"/>
                <w:color w:val="000000"/>
                <w:sz w:val="20"/>
                <w:szCs w:val="20"/>
              </w:rPr>
              <w:t>Tone monoxid de carbon (CO)</w:t>
            </w:r>
          </w:p>
        </w:tc>
        <w:tc>
          <w:tcPr>
            <w:tcW w:w="1613" w:type="dxa"/>
            <w:tcBorders>
              <w:top w:val="single" w:sz="8" w:space="0" w:color="000000"/>
              <w:left w:val="single" w:sz="8" w:space="0" w:color="000000"/>
              <w:bottom w:val="single" w:sz="8" w:space="0" w:color="000000"/>
              <w:right w:val="single" w:sz="8" w:space="0" w:color="000000"/>
            </w:tcBorders>
            <w:shd w:val="clear" w:color="auto" w:fill="F2F2F2"/>
          </w:tcPr>
          <w:p w14:paraId="1CA81FB8" w14:textId="77777777" w:rsidR="00A53D2B" w:rsidRDefault="00A53D2B" w:rsidP="00A53D2B">
            <w:pPr>
              <w:spacing w:before="0" w:after="0"/>
              <w:ind w:firstLine="68"/>
              <w:rPr>
                <w:rFonts w:eastAsia="Times New Roman" w:cs="Times New Roman"/>
                <w:sz w:val="20"/>
                <w:szCs w:val="20"/>
              </w:rPr>
            </w:pPr>
            <w:r>
              <w:rPr>
                <w:rFonts w:eastAsia="Times New Roman" w:cs="Times New Roman"/>
                <w:color w:val="000000"/>
                <w:sz w:val="20"/>
                <w:szCs w:val="20"/>
              </w:rPr>
              <w:t>Petromidia</w:t>
            </w:r>
          </w:p>
        </w:tc>
        <w:tc>
          <w:tcPr>
            <w:tcW w:w="1254"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78D5A736" w14:textId="77777777" w:rsidR="00A53D2B" w:rsidRDefault="00A53D2B" w:rsidP="00A53D2B">
            <w:pPr>
              <w:spacing w:before="0" w:after="0"/>
              <w:ind w:left="185" w:firstLine="14"/>
              <w:rPr>
                <w:rFonts w:eastAsia="Times New Roman" w:cs="Times New Roman"/>
                <w:sz w:val="20"/>
                <w:szCs w:val="20"/>
              </w:rPr>
            </w:pPr>
            <w:r>
              <w:rPr>
                <w:rFonts w:eastAsia="Times New Roman" w:cs="Times New Roman"/>
                <w:color w:val="000000"/>
                <w:sz w:val="20"/>
                <w:szCs w:val="20"/>
              </w:rPr>
              <w:t>140,47</w:t>
            </w:r>
          </w:p>
        </w:tc>
        <w:tc>
          <w:tcPr>
            <w:tcW w:w="1369"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377CCCDC" w14:textId="77777777" w:rsidR="00A53D2B" w:rsidRDefault="00A53D2B" w:rsidP="00A53D2B">
            <w:pPr>
              <w:spacing w:before="0" w:after="0"/>
              <w:ind w:left="69" w:firstLine="36"/>
              <w:rPr>
                <w:rFonts w:eastAsia="Times New Roman" w:cs="Times New Roman"/>
                <w:sz w:val="20"/>
                <w:szCs w:val="20"/>
              </w:rPr>
            </w:pPr>
            <w:r>
              <w:rPr>
                <w:rFonts w:eastAsia="Times New Roman" w:cs="Times New Roman"/>
                <w:color w:val="000000"/>
                <w:sz w:val="20"/>
                <w:szCs w:val="20"/>
              </w:rPr>
              <w:t>106,25</w:t>
            </w:r>
          </w:p>
        </w:tc>
        <w:tc>
          <w:tcPr>
            <w:tcW w:w="1161"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49CBF2B5" w14:textId="77777777" w:rsidR="00A53D2B" w:rsidRDefault="00A53D2B" w:rsidP="00A53D2B">
            <w:pPr>
              <w:spacing w:before="0" w:after="0"/>
              <w:ind w:left="117" w:firstLine="85"/>
              <w:rPr>
                <w:rFonts w:eastAsia="Times New Roman" w:cs="Times New Roman"/>
                <w:sz w:val="20"/>
                <w:szCs w:val="20"/>
              </w:rPr>
            </w:pPr>
            <w:r>
              <w:rPr>
                <w:rFonts w:eastAsia="Times New Roman" w:cs="Times New Roman"/>
                <w:color w:val="000000"/>
                <w:sz w:val="20"/>
                <w:szCs w:val="20"/>
              </w:rPr>
              <w:t>97,11</w:t>
            </w:r>
          </w:p>
        </w:tc>
      </w:tr>
      <w:tr w:rsidR="00A53D2B" w14:paraId="532D10BB" w14:textId="77777777" w:rsidTr="008B1BFC">
        <w:trPr>
          <w:trHeight w:val="339"/>
          <w:jc w:val="center"/>
        </w:trPr>
        <w:tc>
          <w:tcPr>
            <w:tcW w:w="2791" w:type="dxa"/>
            <w:vMerge/>
            <w:tcBorders>
              <w:top w:val="single" w:sz="8" w:space="0" w:color="000000"/>
              <w:left w:val="single" w:sz="8" w:space="0" w:color="000000"/>
              <w:bottom w:val="single" w:sz="8" w:space="0" w:color="000000"/>
              <w:right w:val="single" w:sz="8" w:space="0" w:color="000000"/>
            </w:tcBorders>
            <w:shd w:val="clear" w:color="auto" w:fill="FFFFFF"/>
          </w:tcPr>
          <w:p w14:paraId="771F7EC3" w14:textId="77777777" w:rsidR="00A53D2B" w:rsidRDefault="00A53D2B" w:rsidP="00A53D2B">
            <w:pPr>
              <w:widowControl w:val="0"/>
              <w:pBdr>
                <w:top w:val="nil"/>
                <w:left w:val="nil"/>
                <w:bottom w:val="nil"/>
                <w:right w:val="nil"/>
                <w:between w:val="nil"/>
              </w:pBdr>
              <w:spacing w:before="0" w:after="0"/>
              <w:ind w:firstLine="24"/>
              <w:rPr>
                <w:rFonts w:eastAsia="Times New Roman" w:cs="Times New Roman"/>
                <w:sz w:val="20"/>
                <w:szCs w:val="20"/>
              </w:rPr>
            </w:pPr>
          </w:p>
        </w:tc>
        <w:tc>
          <w:tcPr>
            <w:tcW w:w="1613" w:type="dxa"/>
            <w:tcBorders>
              <w:top w:val="single" w:sz="8" w:space="0" w:color="000000"/>
              <w:left w:val="single" w:sz="8" w:space="0" w:color="000000"/>
              <w:bottom w:val="single" w:sz="8" w:space="0" w:color="000000"/>
              <w:right w:val="single" w:sz="8" w:space="0" w:color="000000"/>
            </w:tcBorders>
          </w:tcPr>
          <w:p w14:paraId="0E4EE5CB" w14:textId="77777777" w:rsidR="00A53D2B" w:rsidRDefault="00A53D2B" w:rsidP="00A53D2B">
            <w:pPr>
              <w:spacing w:before="0" w:after="0"/>
              <w:ind w:firstLine="68"/>
              <w:rPr>
                <w:rFonts w:eastAsia="Times New Roman" w:cs="Times New Roman"/>
                <w:sz w:val="20"/>
                <w:szCs w:val="20"/>
              </w:rPr>
            </w:pPr>
            <w:r>
              <w:rPr>
                <w:rFonts w:eastAsia="Times New Roman" w:cs="Times New Roman"/>
                <w:color w:val="000000"/>
                <w:sz w:val="20"/>
                <w:szCs w:val="20"/>
              </w:rPr>
              <w:t>Uzina Petrochimică</w:t>
            </w:r>
          </w:p>
        </w:tc>
        <w:tc>
          <w:tcPr>
            <w:tcW w:w="1254" w:type="dxa"/>
            <w:tcBorders>
              <w:top w:val="single" w:sz="8" w:space="0" w:color="000000"/>
              <w:left w:val="single" w:sz="8" w:space="0" w:color="000000"/>
              <w:bottom w:val="single" w:sz="8" w:space="0" w:color="000000"/>
              <w:right w:val="single" w:sz="8" w:space="0" w:color="000000"/>
            </w:tcBorders>
            <w:vAlign w:val="bottom"/>
          </w:tcPr>
          <w:p w14:paraId="03D26668" w14:textId="77777777" w:rsidR="00A53D2B" w:rsidRDefault="00A53D2B" w:rsidP="00A53D2B">
            <w:pPr>
              <w:spacing w:before="0" w:after="0"/>
              <w:ind w:left="185" w:firstLine="14"/>
              <w:rPr>
                <w:rFonts w:eastAsia="Times New Roman" w:cs="Times New Roman"/>
                <w:sz w:val="20"/>
                <w:szCs w:val="20"/>
              </w:rPr>
            </w:pPr>
            <w:r>
              <w:rPr>
                <w:rFonts w:eastAsia="Times New Roman" w:cs="Times New Roman"/>
                <w:color w:val="000000"/>
                <w:sz w:val="20"/>
                <w:szCs w:val="20"/>
              </w:rPr>
              <w:t>31,90</w:t>
            </w:r>
          </w:p>
        </w:tc>
        <w:tc>
          <w:tcPr>
            <w:tcW w:w="1369" w:type="dxa"/>
            <w:tcBorders>
              <w:top w:val="single" w:sz="8" w:space="0" w:color="000000"/>
              <w:left w:val="single" w:sz="8" w:space="0" w:color="000000"/>
              <w:bottom w:val="single" w:sz="8" w:space="0" w:color="000000"/>
              <w:right w:val="single" w:sz="8" w:space="0" w:color="000000"/>
            </w:tcBorders>
            <w:vAlign w:val="bottom"/>
          </w:tcPr>
          <w:p w14:paraId="39AF4619" w14:textId="77777777" w:rsidR="00A53D2B" w:rsidRDefault="00A53D2B" w:rsidP="00A53D2B">
            <w:pPr>
              <w:spacing w:before="0" w:after="0"/>
              <w:ind w:left="69" w:firstLine="36"/>
              <w:rPr>
                <w:rFonts w:eastAsia="Times New Roman" w:cs="Times New Roman"/>
                <w:sz w:val="20"/>
                <w:szCs w:val="20"/>
              </w:rPr>
            </w:pPr>
            <w:r>
              <w:rPr>
                <w:rFonts w:eastAsia="Times New Roman" w:cs="Times New Roman"/>
                <w:color w:val="000000"/>
                <w:sz w:val="20"/>
                <w:szCs w:val="20"/>
              </w:rPr>
              <w:t>33,30</w:t>
            </w:r>
          </w:p>
        </w:tc>
        <w:tc>
          <w:tcPr>
            <w:tcW w:w="1161" w:type="dxa"/>
            <w:tcBorders>
              <w:top w:val="single" w:sz="8" w:space="0" w:color="000000"/>
              <w:left w:val="single" w:sz="8" w:space="0" w:color="000000"/>
              <w:bottom w:val="single" w:sz="8" w:space="0" w:color="000000"/>
              <w:right w:val="single" w:sz="8" w:space="0" w:color="000000"/>
            </w:tcBorders>
            <w:vAlign w:val="bottom"/>
          </w:tcPr>
          <w:p w14:paraId="14210E44" w14:textId="77777777" w:rsidR="00A53D2B" w:rsidRDefault="00A53D2B" w:rsidP="00A53D2B">
            <w:pPr>
              <w:spacing w:before="0" w:after="0"/>
              <w:ind w:left="117" w:firstLine="85"/>
              <w:rPr>
                <w:rFonts w:eastAsia="Times New Roman" w:cs="Times New Roman"/>
                <w:sz w:val="20"/>
                <w:szCs w:val="20"/>
              </w:rPr>
            </w:pPr>
            <w:r>
              <w:rPr>
                <w:rFonts w:eastAsia="Times New Roman" w:cs="Times New Roman"/>
                <w:color w:val="000000"/>
                <w:sz w:val="20"/>
                <w:szCs w:val="20"/>
              </w:rPr>
              <w:t>23,76</w:t>
            </w:r>
          </w:p>
        </w:tc>
      </w:tr>
      <w:tr w:rsidR="00A53D2B" w14:paraId="6E39C1A9" w14:textId="77777777" w:rsidTr="008B1BFC">
        <w:trPr>
          <w:trHeight w:val="354"/>
          <w:jc w:val="center"/>
        </w:trPr>
        <w:tc>
          <w:tcPr>
            <w:tcW w:w="2791" w:type="dxa"/>
            <w:vMerge w:val="restart"/>
            <w:tcBorders>
              <w:top w:val="single" w:sz="8" w:space="0" w:color="000000"/>
              <w:left w:val="single" w:sz="8" w:space="0" w:color="000000"/>
              <w:bottom w:val="single" w:sz="8" w:space="0" w:color="000000"/>
              <w:right w:val="single" w:sz="8" w:space="0" w:color="000000"/>
            </w:tcBorders>
            <w:shd w:val="clear" w:color="auto" w:fill="FFFFFF"/>
          </w:tcPr>
          <w:p w14:paraId="02E7C176" w14:textId="77777777" w:rsidR="00A53D2B" w:rsidRDefault="00A53D2B" w:rsidP="00A53D2B">
            <w:pPr>
              <w:spacing w:before="0" w:after="0"/>
              <w:ind w:firstLine="24"/>
              <w:rPr>
                <w:rFonts w:eastAsia="Times New Roman" w:cs="Times New Roman"/>
                <w:sz w:val="20"/>
                <w:szCs w:val="20"/>
              </w:rPr>
            </w:pPr>
            <w:r>
              <w:rPr>
                <w:rFonts w:eastAsia="Times New Roman" w:cs="Times New Roman"/>
                <w:color w:val="000000"/>
                <w:sz w:val="20"/>
                <w:szCs w:val="20"/>
              </w:rPr>
              <w:t>Tone emisii COV la benzină</w:t>
            </w:r>
          </w:p>
        </w:tc>
        <w:tc>
          <w:tcPr>
            <w:tcW w:w="1613" w:type="dxa"/>
            <w:tcBorders>
              <w:top w:val="single" w:sz="8" w:space="0" w:color="000000"/>
              <w:left w:val="single" w:sz="8" w:space="0" w:color="000000"/>
              <w:bottom w:val="single" w:sz="8" w:space="0" w:color="000000"/>
              <w:right w:val="single" w:sz="8" w:space="0" w:color="000000"/>
            </w:tcBorders>
            <w:shd w:val="clear" w:color="auto" w:fill="F2F2F2"/>
          </w:tcPr>
          <w:p w14:paraId="0FF57215" w14:textId="77777777" w:rsidR="00A53D2B" w:rsidRDefault="00A53D2B" w:rsidP="00A53D2B">
            <w:pPr>
              <w:spacing w:before="0" w:after="0"/>
              <w:ind w:firstLine="68"/>
              <w:rPr>
                <w:rFonts w:eastAsia="Times New Roman" w:cs="Times New Roman"/>
                <w:sz w:val="20"/>
                <w:szCs w:val="20"/>
              </w:rPr>
            </w:pPr>
            <w:r>
              <w:rPr>
                <w:rFonts w:eastAsia="Times New Roman" w:cs="Times New Roman"/>
                <w:color w:val="000000"/>
                <w:sz w:val="20"/>
                <w:szCs w:val="20"/>
              </w:rPr>
              <w:t>Petromidia</w:t>
            </w:r>
          </w:p>
        </w:tc>
        <w:tc>
          <w:tcPr>
            <w:tcW w:w="1254"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56265B88" w14:textId="77777777" w:rsidR="00A53D2B" w:rsidRDefault="00A53D2B" w:rsidP="00A53D2B">
            <w:pPr>
              <w:spacing w:before="0" w:after="0"/>
              <w:ind w:left="185" w:firstLine="14"/>
              <w:rPr>
                <w:rFonts w:eastAsia="Times New Roman" w:cs="Times New Roman"/>
                <w:sz w:val="20"/>
                <w:szCs w:val="20"/>
              </w:rPr>
            </w:pPr>
            <w:r>
              <w:rPr>
                <w:rFonts w:eastAsia="Times New Roman" w:cs="Times New Roman"/>
                <w:color w:val="000000"/>
                <w:sz w:val="20"/>
                <w:szCs w:val="20"/>
              </w:rPr>
              <w:t>118,29</w:t>
            </w:r>
          </w:p>
        </w:tc>
        <w:tc>
          <w:tcPr>
            <w:tcW w:w="1369"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18926153" w14:textId="77777777" w:rsidR="00A53D2B" w:rsidRDefault="00A53D2B" w:rsidP="00A53D2B">
            <w:pPr>
              <w:spacing w:before="0" w:after="0"/>
              <w:ind w:left="69" w:firstLine="36"/>
              <w:rPr>
                <w:rFonts w:eastAsia="Times New Roman" w:cs="Times New Roman"/>
                <w:sz w:val="20"/>
                <w:szCs w:val="20"/>
              </w:rPr>
            </w:pPr>
            <w:r>
              <w:rPr>
                <w:rFonts w:eastAsia="Times New Roman" w:cs="Times New Roman"/>
                <w:color w:val="000000"/>
                <w:sz w:val="20"/>
                <w:szCs w:val="20"/>
              </w:rPr>
              <w:t>85,21</w:t>
            </w:r>
          </w:p>
        </w:tc>
        <w:tc>
          <w:tcPr>
            <w:tcW w:w="1161"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42AC7CBA" w14:textId="77777777" w:rsidR="00A53D2B" w:rsidRDefault="00A53D2B" w:rsidP="00A53D2B">
            <w:pPr>
              <w:spacing w:before="0" w:after="0"/>
              <w:ind w:left="117" w:firstLine="85"/>
              <w:rPr>
                <w:rFonts w:eastAsia="Times New Roman" w:cs="Times New Roman"/>
                <w:sz w:val="20"/>
                <w:szCs w:val="20"/>
              </w:rPr>
            </w:pPr>
            <w:r>
              <w:rPr>
                <w:rFonts w:eastAsia="Times New Roman" w:cs="Times New Roman"/>
                <w:color w:val="000000"/>
                <w:sz w:val="20"/>
                <w:szCs w:val="20"/>
              </w:rPr>
              <w:t>72,27</w:t>
            </w:r>
          </w:p>
        </w:tc>
      </w:tr>
      <w:tr w:rsidR="00A53D2B" w14:paraId="115C17C8" w14:textId="77777777" w:rsidTr="008B1BFC">
        <w:trPr>
          <w:trHeight w:val="324"/>
          <w:jc w:val="center"/>
        </w:trPr>
        <w:tc>
          <w:tcPr>
            <w:tcW w:w="2791" w:type="dxa"/>
            <w:vMerge/>
            <w:tcBorders>
              <w:top w:val="single" w:sz="8" w:space="0" w:color="000000"/>
              <w:left w:val="single" w:sz="8" w:space="0" w:color="000000"/>
              <w:bottom w:val="single" w:sz="8" w:space="0" w:color="000000"/>
              <w:right w:val="single" w:sz="8" w:space="0" w:color="000000"/>
            </w:tcBorders>
            <w:shd w:val="clear" w:color="auto" w:fill="FFFFFF"/>
          </w:tcPr>
          <w:p w14:paraId="38C76549" w14:textId="77777777" w:rsidR="00A53D2B" w:rsidRDefault="00A53D2B" w:rsidP="00A53D2B">
            <w:pPr>
              <w:widowControl w:val="0"/>
              <w:pBdr>
                <w:top w:val="nil"/>
                <w:left w:val="nil"/>
                <w:bottom w:val="nil"/>
                <w:right w:val="nil"/>
                <w:between w:val="nil"/>
              </w:pBdr>
              <w:spacing w:before="0" w:after="0"/>
              <w:rPr>
                <w:rFonts w:eastAsia="Times New Roman" w:cs="Times New Roman"/>
                <w:sz w:val="20"/>
                <w:szCs w:val="20"/>
              </w:rPr>
            </w:pPr>
          </w:p>
        </w:tc>
        <w:tc>
          <w:tcPr>
            <w:tcW w:w="1613" w:type="dxa"/>
            <w:tcBorders>
              <w:top w:val="single" w:sz="8" w:space="0" w:color="000000"/>
              <w:left w:val="single" w:sz="8" w:space="0" w:color="000000"/>
              <w:bottom w:val="single" w:sz="8" w:space="0" w:color="000000"/>
              <w:right w:val="single" w:sz="8" w:space="0" w:color="000000"/>
            </w:tcBorders>
          </w:tcPr>
          <w:p w14:paraId="548562C8" w14:textId="77777777" w:rsidR="00A53D2B" w:rsidRDefault="00A53D2B" w:rsidP="00A53D2B">
            <w:pPr>
              <w:spacing w:before="0" w:after="0"/>
              <w:ind w:firstLine="68"/>
              <w:rPr>
                <w:rFonts w:eastAsia="Times New Roman" w:cs="Times New Roman"/>
                <w:sz w:val="20"/>
                <w:szCs w:val="20"/>
              </w:rPr>
            </w:pPr>
            <w:r>
              <w:rPr>
                <w:rFonts w:eastAsia="Times New Roman" w:cs="Times New Roman"/>
                <w:color w:val="000000"/>
                <w:sz w:val="20"/>
                <w:szCs w:val="20"/>
              </w:rPr>
              <w:t>Uzina Petrochimică</w:t>
            </w:r>
          </w:p>
        </w:tc>
        <w:tc>
          <w:tcPr>
            <w:tcW w:w="1254" w:type="dxa"/>
            <w:tcBorders>
              <w:top w:val="single" w:sz="8" w:space="0" w:color="000000"/>
              <w:left w:val="single" w:sz="8" w:space="0" w:color="000000"/>
              <w:bottom w:val="single" w:sz="8" w:space="0" w:color="000000"/>
              <w:right w:val="single" w:sz="8" w:space="0" w:color="000000"/>
            </w:tcBorders>
            <w:vAlign w:val="bottom"/>
          </w:tcPr>
          <w:p w14:paraId="1C2B7484" w14:textId="77777777" w:rsidR="00A53D2B" w:rsidRDefault="00A53D2B" w:rsidP="00A53D2B">
            <w:pPr>
              <w:spacing w:before="0" w:after="0"/>
              <w:ind w:left="185" w:firstLine="14"/>
              <w:rPr>
                <w:rFonts w:eastAsia="Times New Roman" w:cs="Times New Roman"/>
                <w:sz w:val="20"/>
                <w:szCs w:val="20"/>
              </w:rPr>
            </w:pPr>
            <w:r>
              <w:rPr>
                <w:rFonts w:eastAsia="Times New Roman" w:cs="Times New Roman"/>
                <w:color w:val="000000"/>
                <w:sz w:val="20"/>
                <w:szCs w:val="20"/>
              </w:rPr>
              <w:t>-</w:t>
            </w:r>
          </w:p>
        </w:tc>
        <w:tc>
          <w:tcPr>
            <w:tcW w:w="1369" w:type="dxa"/>
            <w:tcBorders>
              <w:top w:val="single" w:sz="8" w:space="0" w:color="000000"/>
              <w:left w:val="single" w:sz="8" w:space="0" w:color="000000"/>
              <w:bottom w:val="single" w:sz="8" w:space="0" w:color="000000"/>
              <w:right w:val="single" w:sz="8" w:space="0" w:color="000000"/>
            </w:tcBorders>
            <w:vAlign w:val="bottom"/>
          </w:tcPr>
          <w:p w14:paraId="4A21A7F8" w14:textId="77777777" w:rsidR="00A53D2B" w:rsidRDefault="00A53D2B" w:rsidP="00A53D2B">
            <w:pPr>
              <w:spacing w:before="0" w:after="0"/>
              <w:ind w:left="69" w:firstLine="36"/>
              <w:rPr>
                <w:rFonts w:eastAsia="Times New Roman" w:cs="Times New Roman"/>
                <w:sz w:val="20"/>
                <w:szCs w:val="20"/>
              </w:rPr>
            </w:pPr>
            <w:r>
              <w:rPr>
                <w:rFonts w:eastAsia="Times New Roman" w:cs="Times New Roman"/>
                <w:color w:val="000000"/>
                <w:sz w:val="20"/>
                <w:szCs w:val="20"/>
              </w:rPr>
              <w:t>-</w:t>
            </w:r>
          </w:p>
        </w:tc>
        <w:tc>
          <w:tcPr>
            <w:tcW w:w="1161" w:type="dxa"/>
            <w:tcBorders>
              <w:top w:val="single" w:sz="8" w:space="0" w:color="000000"/>
              <w:left w:val="single" w:sz="8" w:space="0" w:color="000000"/>
              <w:bottom w:val="single" w:sz="8" w:space="0" w:color="000000"/>
              <w:right w:val="single" w:sz="8" w:space="0" w:color="000000"/>
            </w:tcBorders>
            <w:vAlign w:val="bottom"/>
          </w:tcPr>
          <w:p w14:paraId="0835C1E5" w14:textId="77777777" w:rsidR="00A53D2B" w:rsidRDefault="00A53D2B" w:rsidP="00A53D2B">
            <w:pPr>
              <w:spacing w:before="0" w:after="0"/>
              <w:ind w:left="117" w:firstLine="85"/>
              <w:rPr>
                <w:rFonts w:eastAsia="Times New Roman" w:cs="Times New Roman"/>
                <w:sz w:val="20"/>
                <w:szCs w:val="20"/>
              </w:rPr>
            </w:pPr>
            <w:r>
              <w:rPr>
                <w:rFonts w:eastAsia="Times New Roman" w:cs="Times New Roman"/>
                <w:color w:val="000000"/>
                <w:sz w:val="20"/>
                <w:szCs w:val="20"/>
              </w:rPr>
              <w:t>-</w:t>
            </w:r>
          </w:p>
        </w:tc>
      </w:tr>
      <w:tr w:rsidR="00A53D2B" w14:paraId="04512D8F" w14:textId="77777777" w:rsidTr="008B1BFC">
        <w:trPr>
          <w:jc w:val="center"/>
        </w:trPr>
        <w:tc>
          <w:tcPr>
            <w:tcW w:w="2791" w:type="dxa"/>
            <w:vMerge w:val="restart"/>
            <w:tcBorders>
              <w:top w:val="single" w:sz="8" w:space="0" w:color="000000"/>
              <w:left w:val="single" w:sz="8" w:space="0" w:color="000000"/>
              <w:bottom w:val="single" w:sz="8" w:space="0" w:color="000000"/>
              <w:right w:val="single" w:sz="8" w:space="0" w:color="000000"/>
            </w:tcBorders>
            <w:shd w:val="clear" w:color="auto" w:fill="FFFFFF"/>
          </w:tcPr>
          <w:p w14:paraId="1508FFDE" w14:textId="77777777" w:rsidR="00A53D2B" w:rsidRDefault="00A53D2B" w:rsidP="00A53D2B">
            <w:pPr>
              <w:spacing w:before="0" w:after="0"/>
              <w:rPr>
                <w:rFonts w:eastAsia="Times New Roman" w:cs="Times New Roman"/>
                <w:sz w:val="20"/>
                <w:szCs w:val="20"/>
              </w:rPr>
            </w:pPr>
            <w:r>
              <w:rPr>
                <w:rFonts w:eastAsia="Times New Roman" w:cs="Times New Roman"/>
                <w:color w:val="000000"/>
                <w:sz w:val="20"/>
                <w:szCs w:val="20"/>
              </w:rPr>
              <w:t>Tone emisii difuze COV</w:t>
            </w:r>
          </w:p>
        </w:tc>
        <w:tc>
          <w:tcPr>
            <w:tcW w:w="1613" w:type="dxa"/>
            <w:tcBorders>
              <w:top w:val="single" w:sz="8" w:space="0" w:color="000000"/>
              <w:left w:val="single" w:sz="8" w:space="0" w:color="000000"/>
              <w:bottom w:val="single" w:sz="8" w:space="0" w:color="000000"/>
              <w:right w:val="single" w:sz="8" w:space="0" w:color="000000"/>
            </w:tcBorders>
            <w:shd w:val="clear" w:color="auto" w:fill="F2F2F2"/>
          </w:tcPr>
          <w:p w14:paraId="154CA192" w14:textId="77777777" w:rsidR="00A53D2B" w:rsidRDefault="00A53D2B" w:rsidP="00A53D2B">
            <w:pPr>
              <w:spacing w:before="0" w:after="0"/>
              <w:ind w:firstLine="68"/>
              <w:rPr>
                <w:rFonts w:eastAsia="Times New Roman" w:cs="Times New Roman"/>
                <w:sz w:val="20"/>
                <w:szCs w:val="20"/>
              </w:rPr>
            </w:pPr>
            <w:r>
              <w:rPr>
                <w:rFonts w:eastAsia="Times New Roman" w:cs="Times New Roman"/>
                <w:color w:val="000000"/>
                <w:sz w:val="20"/>
                <w:szCs w:val="20"/>
              </w:rPr>
              <w:t>Petromidia</w:t>
            </w:r>
          </w:p>
        </w:tc>
        <w:tc>
          <w:tcPr>
            <w:tcW w:w="1254"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37DF212D" w14:textId="77777777" w:rsidR="00A53D2B" w:rsidRDefault="00A53D2B" w:rsidP="00A53D2B">
            <w:pPr>
              <w:spacing w:before="0" w:after="0"/>
              <w:ind w:left="185" w:firstLine="14"/>
              <w:rPr>
                <w:rFonts w:eastAsia="Times New Roman" w:cs="Times New Roman"/>
                <w:sz w:val="20"/>
                <w:szCs w:val="20"/>
              </w:rPr>
            </w:pPr>
            <w:r>
              <w:rPr>
                <w:rFonts w:eastAsia="Times New Roman" w:cs="Times New Roman"/>
                <w:color w:val="000000"/>
                <w:sz w:val="20"/>
                <w:szCs w:val="20"/>
              </w:rPr>
              <w:t>1,103,00</w:t>
            </w:r>
          </w:p>
        </w:tc>
        <w:tc>
          <w:tcPr>
            <w:tcW w:w="1369"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06088B9A" w14:textId="77777777" w:rsidR="00A53D2B" w:rsidRDefault="00A53D2B" w:rsidP="00A53D2B">
            <w:pPr>
              <w:spacing w:before="0" w:after="0"/>
              <w:ind w:left="69" w:firstLine="36"/>
              <w:rPr>
                <w:rFonts w:eastAsia="Times New Roman" w:cs="Times New Roman"/>
                <w:sz w:val="20"/>
                <w:szCs w:val="20"/>
              </w:rPr>
            </w:pPr>
            <w:r>
              <w:rPr>
                <w:rFonts w:eastAsia="Times New Roman" w:cs="Times New Roman"/>
                <w:color w:val="000000"/>
                <w:sz w:val="20"/>
                <w:szCs w:val="20"/>
              </w:rPr>
              <w:t>815,00</w:t>
            </w:r>
          </w:p>
        </w:tc>
        <w:tc>
          <w:tcPr>
            <w:tcW w:w="1161" w:type="dxa"/>
            <w:tcBorders>
              <w:top w:val="single" w:sz="8" w:space="0" w:color="000000"/>
              <w:left w:val="single" w:sz="8" w:space="0" w:color="000000"/>
              <w:bottom w:val="single" w:sz="8" w:space="0" w:color="000000"/>
              <w:right w:val="single" w:sz="8" w:space="0" w:color="000000"/>
            </w:tcBorders>
            <w:shd w:val="clear" w:color="auto" w:fill="F2F2F2"/>
            <w:vAlign w:val="bottom"/>
          </w:tcPr>
          <w:p w14:paraId="10E034AB" w14:textId="77777777" w:rsidR="00A53D2B" w:rsidRDefault="00A53D2B" w:rsidP="00A53D2B">
            <w:pPr>
              <w:spacing w:before="0" w:after="0"/>
              <w:ind w:left="117" w:firstLine="85"/>
              <w:rPr>
                <w:rFonts w:eastAsia="Times New Roman" w:cs="Times New Roman"/>
                <w:sz w:val="20"/>
                <w:szCs w:val="20"/>
              </w:rPr>
            </w:pPr>
            <w:r>
              <w:rPr>
                <w:rFonts w:eastAsia="Times New Roman" w:cs="Times New Roman"/>
                <w:color w:val="000000"/>
                <w:sz w:val="20"/>
                <w:szCs w:val="20"/>
              </w:rPr>
              <w:t>734,24</w:t>
            </w:r>
          </w:p>
        </w:tc>
      </w:tr>
      <w:tr w:rsidR="00A53D2B" w14:paraId="531B056C" w14:textId="77777777" w:rsidTr="008B1BFC">
        <w:trPr>
          <w:trHeight w:val="339"/>
          <w:jc w:val="center"/>
        </w:trPr>
        <w:tc>
          <w:tcPr>
            <w:tcW w:w="2791" w:type="dxa"/>
            <w:vMerge/>
            <w:tcBorders>
              <w:top w:val="single" w:sz="8" w:space="0" w:color="000000"/>
              <w:left w:val="single" w:sz="8" w:space="0" w:color="000000"/>
              <w:bottom w:val="single" w:sz="8" w:space="0" w:color="000000"/>
              <w:right w:val="single" w:sz="8" w:space="0" w:color="000000"/>
            </w:tcBorders>
            <w:shd w:val="clear" w:color="auto" w:fill="FFFFFF"/>
          </w:tcPr>
          <w:p w14:paraId="394D8B96" w14:textId="77777777" w:rsidR="00A53D2B" w:rsidRDefault="00A53D2B" w:rsidP="00A53D2B">
            <w:pPr>
              <w:widowControl w:val="0"/>
              <w:pBdr>
                <w:top w:val="nil"/>
                <w:left w:val="nil"/>
                <w:bottom w:val="nil"/>
                <w:right w:val="nil"/>
                <w:between w:val="nil"/>
              </w:pBdr>
              <w:spacing w:before="0" w:after="0"/>
              <w:rPr>
                <w:rFonts w:eastAsia="Times New Roman" w:cs="Times New Roman"/>
                <w:sz w:val="20"/>
                <w:szCs w:val="20"/>
              </w:rPr>
            </w:pPr>
          </w:p>
        </w:tc>
        <w:tc>
          <w:tcPr>
            <w:tcW w:w="1613" w:type="dxa"/>
            <w:tcBorders>
              <w:top w:val="single" w:sz="8" w:space="0" w:color="000000"/>
              <w:left w:val="single" w:sz="8" w:space="0" w:color="000000"/>
              <w:bottom w:val="single" w:sz="8" w:space="0" w:color="000000"/>
              <w:right w:val="single" w:sz="8" w:space="0" w:color="000000"/>
            </w:tcBorders>
          </w:tcPr>
          <w:p w14:paraId="6EF0BBA7" w14:textId="77777777" w:rsidR="00A53D2B" w:rsidRDefault="00A53D2B" w:rsidP="00A53D2B">
            <w:pPr>
              <w:spacing w:before="0" w:after="0"/>
              <w:ind w:firstLine="68"/>
              <w:rPr>
                <w:rFonts w:eastAsia="Times New Roman" w:cs="Times New Roman"/>
                <w:sz w:val="20"/>
                <w:szCs w:val="20"/>
              </w:rPr>
            </w:pPr>
            <w:r>
              <w:rPr>
                <w:rFonts w:eastAsia="Times New Roman" w:cs="Times New Roman"/>
                <w:color w:val="000000"/>
                <w:sz w:val="20"/>
                <w:szCs w:val="20"/>
              </w:rPr>
              <w:t>Uzina Petrochimică</w:t>
            </w:r>
          </w:p>
        </w:tc>
        <w:tc>
          <w:tcPr>
            <w:tcW w:w="1254" w:type="dxa"/>
            <w:tcBorders>
              <w:top w:val="single" w:sz="8" w:space="0" w:color="000000"/>
              <w:left w:val="single" w:sz="8" w:space="0" w:color="000000"/>
              <w:bottom w:val="single" w:sz="8" w:space="0" w:color="000000"/>
              <w:right w:val="single" w:sz="8" w:space="0" w:color="000000"/>
            </w:tcBorders>
            <w:vAlign w:val="bottom"/>
          </w:tcPr>
          <w:p w14:paraId="245BDE6B" w14:textId="77777777" w:rsidR="00A53D2B" w:rsidRDefault="00A53D2B" w:rsidP="00A53D2B">
            <w:pPr>
              <w:spacing w:before="0" w:after="0"/>
              <w:ind w:left="185" w:firstLine="14"/>
              <w:rPr>
                <w:rFonts w:eastAsia="Times New Roman" w:cs="Times New Roman"/>
                <w:sz w:val="20"/>
                <w:szCs w:val="20"/>
              </w:rPr>
            </w:pPr>
            <w:r>
              <w:rPr>
                <w:rFonts w:eastAsia="Times New Roman" w:cs="Times New Roman"/>
                <w:color w:val="000000"/>
                <w:sz w:val="20"/>
                <w:szCs w:val="20"/>
              </w:rPr>
              <w:t>-</w:t>
            </w:r>
          </w:p>
        </w:tc>
        <w:tc>
          <w:tcPr>
            <w:tcW w:w="1369" w:type="dxa"/>
            <w:tcBorders>
              <w:top w:val="single" w:sz="8" w:space="0" w:color="000000"/>
              <w:left w:val="single" w:sz="8" w:space="0" w:color="000000"/>
              <w:bottom w:val="single" w:sz="8" w:space="0" w:color="000000"/>
              <w:right w:val="single" w:sz="8" w:space="0" w:color="000000"/>
            </w:tcBorders>
            <w:vAlign w:val="bottom"/>
          </w:tcPr>
          <w:p w14:paraId="7370864F" w14:textId="77777777" w:rsidR="00A53D2B" w:rsidRDefault="00A53D2B" w:rsidP="00A53D2B">
            <w:pPr>
              <w:spacing w:before="0" w:after="0"/>
              <w:ind w:left="69" w:firstLine="36"/>
              <w:rPr>
                <w:rFonts w:eastAsia="Times New Roman" w:cs="Times New Roman"/>
                <w:sz w:val="20"/>
                <w:szCs w:val="20"/>
              </w:rPr>
            </w:pPr>
            <w:r>
              <w:rPr>
                <w:rFonts w:eastAsia="Times New Roman" w:cs="Times New Roman"/>
                <w:color w:val="000000"/>
                <w:sz w:val="20"/>
                <w:szCs w:val="20"/>
              </w:rPr>
              <w:t>-</w:t>
            </w:r>
          </w:p>
        </w:tc>
        <w:tc>
          <w:tcPr>
            <w:tcW w:w="1161" w:type="dxa"/>
            <w:tcBorders>
              <w:top w:val="single" w:sz="8" w:space="0" w:color="000000"/>
              <w:left w:val="single" w:sz="8" w:space="0" w:color="000000"/>
              <w:bottom w:val="single" w:sz="8" w:space="0" w:color="000000"/>
              <w:right w:val="single" w:sz="8" w:space="0" w:color="000000"/>
            </w:tcBorders>
            <w:vAlign w:val="bottom"/>
          </w:tcPr>
          <w:p w14:paraId="3EDD83EE" w14:textId="77777777" w:rsidR="00A53D2B" w:rsidRDefault="00A53D2B" w:rsidP="00A53D2B">
            <w:pPr>
              <w:spacing w:before="0" w:after="0"/>
              <w:ind w:left="117" w:firstLine="85"/>
              <w:rPr>
                <w:rFonts w:eastAsia="Times New Roman" w:cs="Times New Roman"/>
                <w:sz w:val="20"/>
                <w:szCs w:val="20"/>
              </w:rPr>
            </w:pPr>
            <w:r>
              <w:rPr>
                <w:rFonts w:eastAsia="Times New Roman" w:cs="Times New Roman"/>
                <w:color w:val="000000"/>
                <w:sz w:val="20"/>
                <w:szCs w:val="20"/>
              </w:rPr>
              <w:t>-</w:t>
            </w:r>
          </w:p>
        </w:tc>
      </w:tr>
    </w:tbl>
    <w:p w14:paraId="4EABD068" w14:textId="77777777" w:rsidR="00A53D2B" w:rsidRDefault="00A53D2B" w:rsidP="00A53D2B"/>
    <w:p w14:paraId="30670D42" w14:textId="77777777" w:rsidR="00A53D2B" w:rsidRDefault="00A53D2B" w:rsidP="00A53D2B">
      <w:pPr>
        <w:spacing w:before="0"/>
        <w:ind w:firstLine="567"/>
        <w:rPr>
          <w:rFonts w:eastAsia="Times New Roman" w:cs="Times New Roman"/>
        </w:rPr>
      </w:pPr>
      <w:r>
        <w:rPr>
          <w:rFonts w:eastAsia="Times New Roman" w:cs="Times New Roman"/>
          <w:color w:val="000000"/>
        </w:rPr>
        <w:t>Referitor la industria extractivă, exploatarea carierelor de calcar industrial din zona lacului Tașaul, precum și activitățile conexe (în special transportul materialelor) pot genera o poluare semnificativă la nivel local, prin praful de carieră, care poate adăposti niveluri destul de ridicate de metale grele (Ni, As, V, Cu, etc.) (Vasiliu și colab., 2020).</w:t>
      </w:r>
    </w:p>
    <w:p w14:paraId="7C7470E5" w14:textId="77777777" w:rsidR="00A53D2B" w:rsidRDefault="00A53D2B" w:rsidP="00A53D2B">
      <w:pPr>
        <w:pStyle w:val="Heading5"/>
        <w:spacing w:before="0" w:after="120"/>
        <w:rPr>
          <w:b w:val="0"/>
        </w:rPr>
      </w:pPr>
      <w:r>
        <w:rPr>
          <w:b w:val="0"/>
        </w:rPr>
        <w:t>Activități portuare </w:t>
      </w:r>
    </w:p>
    <w:p w14:paraId="1A1BEBD1" w14:textId="77777777" w:rsidR="00A53D2B" w:rsidRDefault="00A53D2B" w:rsidP="00A53D2B">
      <w:pPr>
        <w:spacing w:before="0"/>
        <w:ind w:firstLine="567"/>
        <w:rPr>
          <w:rFonts w:eastAsia="Times New Roman" w:cs="Times New Roman"/>
        </w:rPr>
      </w:pPr>
      <w:r>
        <w:rPr>
          <w:rFonts w:eastAsia="Times New Roman" w:cs="Times New Roman"/>
          <w:color w:val="000000"/>
        </w:rPr>
        <w:t>Principalele activități generatoare de emisii de poluanți atmosferici, desfășurate în interiorul porturilor maritime și fluviale din zona de studiu, sunt traficul rutier, feroviar și maritim în incintele portuare; activitatea operatorilor portuari ce desfășoară activități cu impact asupra factorului de mediu aer și depozitarea și eliminarea deșeurilor.</w:t>
      </w:r>
    </w:p>
    <w:p w14:paraId="3C3276AF" w14:textId="77777777" w:rsidR="00A53D2B" w:rsidRDefault="00A53D2B" w:rsidP="00A53D2B">
      <w:pPr>
        <w:spacing w:before="0"/>
        <w:ind w:firstLine="567"/>
        <w:rPr>
          <w:rFonts w:eastAsia="Times New Roman" w:cs="Times New Roman"/>
        </w:rPr>
      </w:pPr>
      <w:r>
        <w:rPr>
          <w:rFonts w:eastAsia="Times New Roman" w:cs="Times New Roman"/>
          <w:color w:val="000000"/>
        </w:rPr>
        <w:t>Din Bilanțul de Nivel I al Portului Constanța emisiile generate de trafic au fost estimate în baza unui consum de carburanți de 140 tone/an (motorină), pentru mijloacele de transport. Emisiile estimate pentru mijloacele de transport din dotare: pulberi - 218,4 kg/an, CO – 1.540 kg/an, NOx – 3.500 kg/an, SOx - 453,6 kg/an și hidrocarburi - 623 kg/an.</w:t>
      </w:r>
    </w:p>
    <w:p w14:paraId="76FFF588" w14:textId="77777777" w:rsidR="00A53D2B" w:rsidRDefault="00A53D2B" w:rsidP="00A53D2B">
      <w:pPr>
        <w:spacing w:before="0"/>
        <w:ind w:firstLine="567"/>
        <w:rPr>
          <w:rFonts w:eastAsia="Times New Roman" w:cs="Times New Roman"/>
        </w:rPr>
      </w:pPr>
      <w:r>
        <w:rPr>
          <w:rFonts w:eastAsia="Times New Roman" w:cs="Times New Roman"/>
          <w:color w:val="000000"/>
        </w:rPr>
        <w:t>Pentru navele tehnice din dotare, emisiile estimate pentru un consum de motorină de 340 tone/an sunt: pulberi - 530 kg/an, CO - 3.740 kg/an, NOx - 8.500 kg/an, SOx - 1.101 kg/an; și hidrocarburi - 1.513 kg/an (CNAPM, 2015).</w:t>
      </w:r>
    </w:p>
    <w:p w14:paraId="547B5A11" w14:textId="77777777" w:rsidR="00A53D2B" w:rsidRDefault="00A53D2B" w:rsidP="00A53D2B">
      <w:pPr>
        <w:spacing w:before="0"/>
        <w:ind w:firstLine="567"/>
        <w:rPr>
          <w:rFonts w:eastAsia="Times New Roman" w:cs="Times New Roman"/>
        </w:rPr>
      </w:pPr>
      <w:r>
        <w:rPr>
          <w:rFonts w:eastAsia="Times New Roman" w:cs="Times New Roman"/>
          <w:color w:val="000000"/>
        </w:rPr>
        <w:t>Operatorii portuari ce desfășoară activități cu impact asupra mediului, au activitatea reglementată prin Autorizația de Mediu, fiind obligați, să monitorizeze prin măsurători periodice calitatea factorilor de mediu afectați. Au fost impuse instalații de reducere a emisiilor (filtre, benzi carcasate), iar acolo unde acest lucru nu se poate realiza, prin programul de conformare au fost impuse perdele forestiere pentru reținerea pulberilor și instalații de umectare.</w:t>
      </w:r>
    </w:p>
    <w:p w14:paraId="1B3B1B2A" w14:textId="77777777" w:rsidR="00A53D2B" w:rsidRDefault="00A53D2B" w:rsidP="00A53D2B">
      <w:pPr>
        <w:pStyle w:val="Heading5"/>
        <w:spacing w:before="0" w:after="120"/>
        <w:rPr>
          <w:b w:val="0"/>
        </w:rPr>
      </w:pPr>
      <w:r>
        <w:rPr>
          <w:b w:val="0"/>
        </w:rPr>
        <w:lastRenderedPageBreak/>
        <w:t>Producere de energie (electrică și termică)</w:t>
      </w:r>
    </w:p>
    <w:p w14:paraId="458DDDB1" w14:textId="77777777" w:rsidR="00A53D2B" w:rsidRDefault="00A53D2B" w:rsidP="00A53D2B">
      <w:pPr>
        <w:spacing w:before="0"/>
        <w:ind w:firstLine="567"/>
        <w:rPr>
          <w:rFonts w:eastAsia="Times New Roman" w:cs="Times New Roman"/>
        </w:rPr>
      </w:pPr>
      <w:r>
        <w:rPr>
          <w:rFonts w:eastAsia="Times New Roman" w:cs="Times New Roman"/>
          <w:color w:val="000000"/>
        </w:rPr>
        <w:t>În zona costieră românească nu sunt prezenți mari producători de energie electrică, existând doar inițiative locale de producere a energiei electrice din surse regenerabile (panouri solare și fotovoltaice - ex. Midia Green Energy). Referitor la producerea de energie termică, cel mai mare producător din zona costieră este CET Palas Constanța, care folosește gazul natural drept combustibil, urmat de SC Goldterm SA-Mangalia, ce folosește combustibil lichid ușor (CLU). Emisiile de NOx generate de activitatea de producere de energie sunt semnificative la nivelul municipiului Constanța, în 2018 ridicându-se la 324,8 tone/an, reprezentând circa 88 % din totalul emisiilor din surse staționare (acestea, la rândul lor reprezentând 18 % din totalul emisiilor de NOx la nivel de municipiu), conform conform datelor furnizate de Agenția Națională de Protecție a Mediului – Inventar local de emisii 2018. Referitor la emisiilor de monoxid de carbon (CO) și compuși organici volatili nemetanici (NMVOC) generate de sectorul de producere de energie, acestea au fost mai puțin semnificative raportat la totalul emisiilor, cu procente mai mici de 5 %.</w:t>
      </w:r>
    </w:p>
    <w:p w14:paraId="6E7EBB6B" w14:textId="77777777" w:rsidR="00A53D2B" w:rsidRDefault="00A53D2B" w:rsidP="00A53D2B">
      <w:pPr>
        <w:pStyle w:val="Heading5"/>
        <w:spacing w:before="0" w:after="120"/>
        <w:rPr>
          <w:b w:val="0"/>
        </w:rPr>
      </w:pPr>
      <w:r>
        <w:rPr>
          <w:b w:val="0"/>
        </w:rPr>
        <w:t>Încălzire rezidențială</w:t>
      </w:r>
    </w:p>
    <w:p w14:paraId="0EE8FC33" w14:textId="77777777" w:rsidR="00A53D2B" w:rsidRDefault="00A53D2B" w:rsidP="00A53D2B">
      <w:pPr>
        <w:spacing w:before="0"/>
        <w:ind w:firstLine="567"/>
        <w:rPr>
          <w:rFonts w:eastAsia="Times New Roman" w:cs="Times New Roman"/>
          <w:color w:val="000000"/>
        </w:rPr>
      </w:pPr>
      <w:r>
        <w:rPr>
          <w:rFonts w:eastAsia="Times New Roman" w:cs="Times New Roman"/>
          <w:color w:val="000000"/>
        </w:rPr>
        <w:t>În ceea ce privește emisiile de poluanți în atmosferă datorate încălzirii rezidențiale, procentele principalilor poluanți din totalul emisiilor la nivelul anului 2018, în Municipiul Constanța au fost următoarele: NOx - 4,25 %, CO - 5,55 % și NMVOC - 1,39 % (sursa: Agenția Națională de Protecție a Mediului – Inventar local de emisii 2018 și publicate în Studiul de calitate a aerului în municipiul Constanța).</w:t>
      </w:r>
    </w:p>
    <w:p w14:paraId="1B1FDB9D" w14:textId="77777777" w:rsidR="00A53D2B" w:rsidRDefault="00A53D2B" w:rsidP="00A53D2B">
      <w:pPr>
        <w:spacing w:before="0"/>
        <w:rPr>
          <w:rFonts w:eastAsia="Times New Roman" w:cs="Times New Roman"/>
        </w:rPr>
      </w:pPr>
      <w:r>
        <w:rPr>
          <w:rFonts w:eastAsia="Times New Roman" w:cs="Times New Roman"/>
        </w:rPr>
        <w:t>Transport</w:t>
      </w:r>
    </w:p>
    <w:p w14:paraId="3038DA85" w14:textId="77777777" w:rsidR="00A53D2B" w:rsidRDefault="00A53D2B" w:rsidP="00A53D2B">
      <w:pPr>
        <w:spacing w:before="0"/>
        <w:ind w:firstLine="567"/>
        <w:rPr>
          <w:rFonts w:eastAsia="Times New Roman" w:cs="Times New Roman"/>
        </w:rPr>
      </w:pPr>
      <w:r>
        <w:rPr>
          <w:rFonts w:eastAsia="Times New Roman" w:cs="Times New Roman"/>
          <w:color w:val="000000"/>
        </w:rPr>
        <w:t>Sursele mobile prin arderea diferitelor tipuri de combustibili generează emisii directe de gaze cu efect de seră</w:t>
      </w:r>
      <w:r>
        <w:rPr>
          <w:rFonts w:eastAsia="Times New Roman" w:cs="Times New Roman"/>
        </w:rPr>
        <w:t xml:space="preserve"> (</w:t>
      </w:r>
      <w:r>
        <w:rPr>
          <w:rFonts w:eastAsia="Times New Roman" w:cs="Times New Roman"/>
          <w:color w:val="000000"/>
        </w:rPr>
        <w:t>dioxid de carbon, metan și protoxid de azot), precum și mai mulți alți poluanți cum ar fi monoxidul de carbon (CO), compuși organici volatili n</w:t>
      </w:r>
      <w:r>
        <w:rPr>
          <w:rFonts w:eastAsia="Times New Roman" w:cs="Times New Roman"/>
        </w:rPr>
        <w:t>e</w:t>
      </w:r>
      <w:r>
        <w:rPr>
          <w:rFonts w:eastAsia="Times New Roman" w:cs="Times New Roman"/>
          <w:color w:val="000000"/>
        </w:rPr>
        <w:t>metanici (NMVOC), dioxid de sulf (SO</w:t>
      </w:r>
      <w:r>
        <w:rPr>
          <w:rFonts w:eastAsia="Times New Roman" w:cs="Times New Roman"/>
          <w:color w:val="000000"/>
          <w:vertAlign w:val="subscript"/>
        </w:rPr>
        <w:t>2</w:t>
      </w:r>
      <w:r>
        <w:rPr>
          <w:rFonts w:eastAsia="Times New Roman" w:cs="Times New Roman"/>
          <w:color w:val="000000"/>
        </w:rPr>
        <w:t>), particule în suspensie (PM) și oxizi de azot (NOx), care contribuie la poluarea aerului la nivel local sau regional.</w:t>
      </w:r>
    </w:p>
    <w:p w14:paraId="1023FAE8" w14:textId="77777777" w:rsidR="00A53D2B" w:rsidRDefault="00A53D2B" w:rsidP="00A53D2B">
      <w:pPr>
        <w:spacing w:before="0"/>
        <w:ind w:firstLine="567"/>
        <w:rPr>
          <w:rFonts w:eastAsia="Times New Roman" w:cs="Times New Roman"/>
        </w:rPr>
      </w:pPr>
      <w:r>
        <w:rPr>
          <w:rFonts w:eastAsia="Times New Roman" w:cs="Times New Roman"/>
          <w:color w:val="000000"/>
        </w:rPr>
        <w:t>În partea nordică a zonei costiere, transportul rutier nu este atât de intens comparativ cu zona sudică, sursa majoră de poluare atmosferică fiind activitatea de transport naval desfăşurată pe căile navigabile, atât de ambarcaţiunile mici, cât şi de navele maritime şi fluviale aflate în tranzit. Totuși, nu trebuie neglijate emisiile rezultate din activitatea de transport naval din zonele adiacente părții nordice a zonei costiere, în special în perioada sezonului turistic, majoritatea ambarcațiunilor folosite fiind destul de vechi și poluatoare</w:t>
      </w:r>
    </w:p>
    <w:p w14:paraId="4F5D60E9" w14:textId="77777777" w:rsidR="00A53D2B" w:rsidRDefault="00A53D2B" w:rsidP="00A53D2B">
      <w:pPr>
        <w:spacing w:before="0"/>
        <w:ind w:firstLine="567"/>
        <w:rPr>
          <w:rFonts w:eastAsia="Times New Roman" w:cs="Times New Roman"/>
          <w:color w:val="000000"/>
        </w:rPr>
      </w:pPr>
      <w:r>
        <w:rPr>
          <w:rFonts w:eastAsia="Times New Roman" w:cs="Times New Roman"/>
          <w:color w:val="000000"/>
        </w:rPr>
        <w:t xml:space="preserve">În partea sudică a zonei costiere (aferentă județului Constanța), mai populată și mai dezvoltată economic, sectorul transporturi este mult mai dezvoltat, atât în ceea ce privește transportul rutier, feroviar, cât și naval. La nivelul municipiului Constanța, contribuția sectorului transportului la totalul emisiilor de NOx a fost de 77,78 % (1.590 t/an), în condițiile în care emisiile din traficul rutier pentru municipiul Constanța aproximativ 52% din emisiile din trafic de la nivelul județului Constanța (conform datelor furnizate de Agenția Națională de Protecție a Mediului – Inventar local de emisii 2018). Referitor la emisiile de CO și NMVOC generate de sectorul transport, acestea au avut o pondere semnificativă în totalul emisiilor, cu procente de 86 %, respectiv 69 % (conform datelor furnizate de Agenția Națională de Protecție </w:t>
      </w:r>
      <w:r>
        <w:rPr>
          <w:rFonts w:eastAsia="Times New Roman" w:cs="Times New Roman"/>
          <w:color w:val="000000"/>
        </w:rPr>
        <w:lastRenderedPageBreak/>
        <w:t xml:space="preserve">a Mediului – Inventar local de emisii 2018 și publicate în Studiul de calitate a aerului în municipiul Constanța). </w:t>
      </w:r>
    </w:p>
    <w:p w14:paraId="4C5BA130" w14:textId="77777777" w:rsidR="00A53D2B" w:rsidRDefault="00A53D2B" w:rsidP="00A53D2B">
      <w:pPr>
        <w:spacing w:before="0"/>
        <w:ind w:firstLine="567"/>
        <w:rPr>
          <w:rFonts w:eastAsia="Times New Roman" w:cs="Times New Roman"/>
        </w:rPr>
      </w:pPr>
      <w:r>
        <w:rPr>
          <w:rFonts w:eastAsia="Times New Roman" w:cs="Times New Roman"/>
        </w:rPr>
        <w:t xml:space="preserve">Actualele mǎsuri de reducere a emisiilor generate de traficul urban, în special, sunt insuficiente, fapt demonstrat de valorile zilnice înregistrate în stațiile de tip trafic din partea sudică a zonei costiere, care de multe ori, în sezonul turistic, depășesc valorile limită. În acest caz apar clar nevoia de oferire de alternative viabile de transport urban și interurban, înnoirea parcului auto și restricționarea accesului cu mijloace auto poluante în anumite zone sensibile, precum și dezvoltarea transportului public ecologic. Referitor la transportul naval, deși România a făcut unii pași pentru ecologizarea acestuia (cel puțin la nivel de politici), este nevoie de întărirea eforturilor coordonate ale autorităților competente în domeniul transportului și mediului pentru reducerea amprentei ecologice a transportului naval (exemplu - folosirea diferitelor surse de energie alternativă, alimentarea cu energie electrică a navelor în porturile românești, etc.). </w:t>
      </w:r>
    </w:p>
    <w:p w14:paraId="72438068" w14:textId="77777777" w:rsidR="00A53D2B" w:rsidRDefault="00A53D2B" w:rsidP="00A53D2B">
      <w:pPr>
        <w:pStyle w:val="Heading5"/>
        <w:spacing w:before="0" w:after="120"/>
        <w:rPr>
          <w:b w:val="0"/>
          <w:u w:val="single"/>
        </w:rPr>
      </w:pPr>
      <w:r>
        <w:rPr>
          <w:b w:val="0"/>
          <w:u w:val="single"/>
        </w:rPr>
        <w:t>Efecte ale poluării aerului</w:t>
      </w:r>
    </w:p>
    <w:p w14:paraId="22A20B0C" w14:textId="77777777" w:rsidR="00A53D2B" w:rsidRDefault="00A53D2B" w:rsidP="00A53D2B">
      <w:pPr>
        <w:spacing w:before="0"/>
        <w:ind w:firstLine="567"/>
        <w:rPr>
          <w:rFonts w:eastAsia="Times New Roman" w:cs="Times New Roman"/>
        </w:rPr>
      </w:pPr>
      <w:r>
        <w:rPr>
          <w:rFonts w:eastAsia="Times New Roman" w:cs="Times New Roman"/>
          <w:color w:val="000000"/>
        </w:rPr>
        <w:t>Conform Studiului de calitate a aerului în municipiul Constanța, efectele agenților poluanți din atmosferă asupra florei, faunei, omului și construcțiilor depind de mai mulți factori, respectiv concentrația poluanților în aer și timpul de expunere. Din punct de vedere al acțiunii substanțelor poluante din atmosferă asupra florei, faunei și omului, se pot distinge efecte directe și efecte indirecte, astfel:</w:t>
      </w:r>
    </w:p>
    <w:p w14:paraId="3D8E892D" w14:textId="77777777" w:rsidR="00A53D2B" w:rsidRDefault="00A53D2B" w:rsidP="00A53D2B">
      <w:pPr>
        <w:numPr>
          <w:ilvl w:val="0"/>
          <w:numId w:val="24"/>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efectele directe, caracterizate prin modificări bruște ale morbidității și mortalității plantelor, animalelor și omului;</w:t>
      </w:r>
    </w:p>
    <w:p w14:paraId="20315792" w14:textId="77777777" w:rsidR="00A53D2B" w:rsidRDefault="00A53D2B" w:rsidP="00A53D2B">
      <w:pPr>
        <w:numPr>
          <w:ilvl w:val="0"/>
          <w:numId w:val="24"/>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efecte indirecte, prin ploile acide. Caracterul acid al precipitațiilor (pH&lt;5,6) se datorează în special prezenței în atmosferă a dioxidului de sulf și a oxizilor de azot, gaze solubile în apă cu formarea acizilor sulfurici și azotici. </w:t>
      </w:r>
    </w:p>
    <w:p w14:paraId="1FF935D0" w14:textId="77777777" w:rsidR="00A53D2B" w:rsidRDefault="00A53D2B" w:rsidP="00A53D2B">
      <w:pPr>
        <w:spacing w:before="0"/>
        <w:ind w:firstLine="567"/>
        <w:rPr>
          <w:rFonts w:eastAsia="Times New Roman" w:cs="Times New Roman"/>
        </w:rPr>
      </w:pPr>
      <w:r>
        <w:rPr>
          <w:rFonts w:eastAsia="Times New Roman" w:cs="Times New Roman"/>
          <w:color w:val="000000"/>
        </w:rPr>
        <w:t>Aceste ploi acide pot avea efecte: </w:t>
      </w:r>
    </w:p>
    <w:p w14:paraId="369221C3" w14:textId="77777777" w:rsidR="00A53D2B" w:rsidRDefault="00A53D2B" w:rsidP="00A53D2B">
      <w:pPr>
        <w:numPr>
          <w:ilvl w:val="0"/>
          <w:numId w:val="46"/>
        </w:numPr>
        <w:spacing w:before="0"/>
        <w:ind w:left="1434" w:hanging="357"/>
        <w:rPr>
          <w:rFonts w:eastAsia="Times New Roman" w:cs="Times New Roman"/>
          <w:color w:val="000000"/>
        </w:rPr>
      </w:pPr>
      <w:r>
        <w:rPr>
          <w:rFonts w:eastAsia="Times New Roman" w:cs="Times New Roman"/>
          <w:color w:val="000000"/>
        </w:rPr>
        <w:t>directe asupra organismelor animale și omului (creșterea frecvenței tulburărilor cardio-respiratorii), plantelor (cloroze, necroze, etc.) și asupra materialelor de construcție (acțiune corozivă asupra metalelor, decolorează materialele de construcție, modifică porozitatea acestora);</w:t>
      </w:r>
    </w:p>
    <w:p w14:paraId="1F260E55" w14:textId="77777777" w:rsidR="00A53D2B" w:rsidRDefault="00A53D2B" w:rsidP="00A53D2B">
      <w:pPr>
        <w:numPr>
          <w:ilvl w:val="0"/>
          <w:numId w:val="46"/>
        </w:numPr>
        <w:spacing w:before="0"/>
        <w:ind w:left="1434" w:hanging="357"/>
        <w:rPr>
          <w:rFonts w:eastAsia="Times New Roman" w:cs="Times New Roman"/>
        </w:rPr>
      </w:pPr>
      <w:r>
        <w:rPr>
          <w:rFonts w:eastAsia="Times New Roman" w:cs="Times New Roman"/>
          <w:color w:val="000000"/>
        </w:rPr>
        <w:t>indirecte asupra componentelor mediului: depunerea compușilor acizi din precipitații pe suprafețele apelor conduce la modificări ai parametrilor fizico-chimici ai acesteia: creșterea conținutului de sulfați și azotați, iar scăderea pH-ului favorizează disocierea unor compuși metalici în apă și creșterea toxicității acestora pentru organismele acvatice; acidifierea solului, conduce la creșterea solubilității ionilor metalelor toxice din sol și absorbția acestora de către plante sau poluarea pânzei freatice.</w:t>
      </w:r>
    </w:p>
    <w:p w14:paraId="12009A37" w14:textId="77777777" w:rsidR="00A53D2B" w:rsidRDefault="00A53D2B" w:rsidP="00A53D2B">
      <w:pPr>
        <w:pStyle w:val="Heading5"/>
        <w:spacing w:before="0" w:after="120"/>
        <w:rPr>
          <w:b w:val="0"/>
          <w:i w:val="0"/>
        </w:rPr>
      </w:pPr>
      <w:r>
        <w:rPr>
          <w:b w:val="0"/>
          <w:i w:val="0"/>
        </w:rPr>
        <w:t>Apă (Poluarea apei)</w:t>
      </w:r>
    </w:p>
    <w:p w14:paraId="3C28E076" w14:textId="77777777" w:rsidR="00A53D2B" w:rsidRDefault="00A53D2B" w:rsidP="00A53D2B">
      <w:pPr>
        <w:spacing w:before="0"/>
        <w:rPr>
          <w:rFonts w:eastAsia="Times New Roman" w:cs="Times New Roman"/>
          <w:u w:val="single"/>
        </w:rPr>
      </w:pPr>
      <w:r>
        <w:rPr>
          <w:rFonts w:eastAsia="Times New Roman" w:cs="Times New Roman"/>
          <w:color w:val="000000"/>
          <w:u w:val="single"/>
        </w:rPr>
        <w:t>Ape costiere</w:t>
      </w:r>
    </w:p>
    <w:p w14:paraId="0737D65A" w14:textId="77777777" w:rsidR="00A53D2B" w:rsidRDefault="00A53D2B" w:rsidP="00A53D2B">
      <w:pPr>
        <w:spacing w:before="0"/>
        <w:ind w:firstLine="567"/>
        <w:rPr>
          <w:rFonts w:eastAsia="Times New Roman" w:cs="Times New Roman"/>
        </w:rPr>
      </w:pPr>
      <w:r>
        <w:rPr>
          <w:rFonts w:eastAsia="Times New Roman" w:cs="Times New Roman"/>
          <w:color w:val="000000"/>
        </w:rPr>
        <w:lastRenderedPageBreak/>
        <w:t>Principala sursă de poluare a mediului marin cu compuși non-sintetici și sintetici o constituie fluviul Dunărea al cărui bazin hidrografic dreneză o suprafață de peste 800.000 km</w:t>
      </w:r>
      <w:r>
        <w:rPr>
          <w:rFonts w:eastAsia="Times New Roman" w:cs="Times New Roman"/>
          <w:color w:val="000000"/>
          <w:vertAlign w:val="superscript"/>
        </w:rPr>
        <w:t>2</w:t>
      </w:r>
      <w:r>
        <w:rPr>
          <w:rFonts w:eastAsia="Times New Roman" w:cs="Times New Roman"/>
          <w:color w:val="000000"/>
        </w:rPr>
        <w:t>, acoperind total sau parțial teritoriul a 18 state europene, colectând evacuările, emisiile și pierderile de poluanți în mediul acvatic. Datele furnizate de către ANAR în 2021 referitoare la nivelul hidrocarburilor totale în apele Dunării, măsurat în stația Reni, raportate la o descărcare de apă anuală de 191,23 km</w:t>
      </w:r>
      <w:r>
        <w:rPr>
          <w:rFonts w:eastAsia="Times New Roman" w:cs="Times New Roman"/>
          <w:color w:val="000000"/>
          <w:vertAlign w:val="superscript"/>
        </w:rPr>
        <w:t>3</w:t>
      </w:r>
      <w:r>
        <w:rPr>
          <w:rFonts w:eastAsia="Times New Roman" w:cs="Times New Roman"/>
          <w:color w:val="000000"/>
        </w:rPr>
        <w:t>, arată un aport de 34.231 tone, semnificativ mai ridicat comparativ cu 2019 (13.555 tone, raportat la o descărcare de apă anuală de 176,04 Km</w:t>
      </w:r>
      <w:r>
        <w:rPr>
          <w:rFonts w:eastAsia="Times New Roman" w:cs="Times New Roman"/>
          <w:color w:val="000000"/>
          <w:vertAlign w:val="superscript"/>
        </w:rPr>
        <w:t>3</w:t>
      </w:r>
      <w:r>
        <w:rPr>
          <w:rFonts w:eastAsia="Times New Roman" w:cs="Times New Roman"/>
          <w:color w:val="000000"/>
        </w:rPr>
        <w:t>). Aceasta se datorează pe de o parte debitului mai ridicat al Dunării în 2021 față de 2019 (media zilnică a debitului la Isaccea în 2021 – 6.064 m</w:t>
      </w:r>
      <w:r>
        <w:rPr>
          <w:rFonts w:eastAsia="Times New Roman" w:cs="Times New Roman"/>
          <w:color w:val="000000"/>
          <w:vertAlign w:val="superscript"/>
        </w:rPr>
        <w:t>3</w:t>
      </w:r>
      <w:r>
        <w:rPr>
          <w:rFonts w:eastAsia="Times New Roman" w:cs="Times New Roman"/>
          <w:color w:val="000000"/>
        </w:rPr>
        <w:t>/s, față de 5.582 m</w:t>
      </w:r>
      <w:r>
        <w:rPr>
          <w:rFonts w:eastAsia="Times New Roman" w:cs="Times New Roman"/>
          <w:color w:val="000000"/>
          <w:vertAlign w:val="superscript"/>
        </w:rPr>
        <w:t>3</w:t>
      </w:r>
      <w:r>
        <w:rPr>
          <w:rFonts w:eastAsia="Times New Roman" w:cs="Times New Roman"/>
          <w:color w:val="000000"/>
        </w:rPr>
        <w:t>/s în 2019, conform Institutului Național de Hidrologie și Gospodărire a Apelor), dar mai ales concentrațiilor semnificativ mai ridicate în 2021 (media anuală de 178,9 µg/l, față de 77,2 µg/l în 2019). Aceste concentrații mult mai ridicate determinate în 2021, comparativ cu anii precedenți, cel mai probabil se datorează intensificării traficului naval pe Dunăre, precum și a activităților portuare, în contextul conflictului generat de invazia Rusiei asupra Ucrainei. Referitor la alți poluanți organici, aportul de bifenili policlorurați (PCB - sumă de 7) și acenaften  al Dunării în 2021 s-a ridicat la 5,5 tone/an, respectiv 1,4 tone/an, mai ridicate comparativ cu 2019, respectiv PCB - 1,8 t/an (ANEMONE Deliverable 2.2, 2021) și acenaften - 1,3 tone/an.</w:t>
      </w:r>
    </w:p>
    <w:p w14:paraId="0426F91D" w14:textId="77777777" w:rsidR="00A53D2B" w:rsidRDefault="00A53D2B" w:rsidP="00A53D2B">
      <w:pPr>
        <w:spacing w:before="0"/>
        <w:ind w:firstLine="567"/>
        <w:rPr>
          <w:rFonts w:eastAsia="Times New Roman" w:cs="Times New Roman"/>
        </w:rPr>
      </w:pPr>
      <w:r>
        <w:rPr>
          <w:rFonts w:eastAsia="Times New Roman" w:cs="Times New Roman"/>
          <w:color w:val="000000"/>
        </w:rPr>
        <w:t>Referitor la metalele grele, datele furnizate de ANAR arată un aport al Dunării, în 2021, de 342,3 tone/an As, 171,3 tone/an Cr, 898,8 tone/an Cu și 4780 ton/an Zn, pe baza concentrațiilor măsurate la Reni și raportat la un aport de apă dulce de 191,23 km</w:t>
      </w:r>
      <w:r>
        <w:rPr>
          <w:rFonts w:eastAsia="Times New Roman" w:cs="Times New Roman"/>
          <w:color w:val="000000"/>
          <w:vertAlign w:val="superscript"/>
        </w:rPr>
        <w:t>3</w:t>
      </w:r>
      <w:r>
        <w:rPr>
          <w:rFonts w:eastAsia="Times New Roman" w:cs="Times New Roman"/>
          <w:color w:val="000000"/>
        </w:rPr>
        <w:t xml:space="preserve"> (conform INHGA). Aceste date arată aporturi mai ridicate față de 2019 pentru As și Cr (299,2 tone /an As, respectiv 119,7 tone/an Cr, în 2019), în mare parte datorită debitului mai redus al Dunării în 2019, dar mai scăzute pentru Cu (1.126,6 tone/an, în 2019) și Zn (6.865 tone/an, în 2019), sugerând o poluare mai redusă în 2021 cu ape uzate neepurate sau epurate necorespunzător, în special în bazinul Dunării inferioare.</w:t>
      </w:r>
    </w:p>
    <w:p w14:paraId="662F8CC6" w14:textId="77777777" w:rsidR="00A53D2B" w:rsidRDefault="00A53D2B" w:rsidP="00A53D2B">
      <w:pPr>
        <w:spacing w:before="0"/>
        <w:ind w:firstLine="567"/>
        <w:rPr>
          <w:rFonts w:eastAsia="Times New Roman" w:cs="Times New Roman"/>
        </w:rPr>
      </w:pPr>
      <w:r>
        <w:rPr>
          <w:rFonts w:eastAsia="Times New Roman" w:cs="Times New Roman"/>
          <w:color w:val="000000"/>
        </w:rPr>
        <w:t>Alte surse majore de poluare difuză a apelor costiere sunt, în special, depunerile atmosferice și apele uzate din unități agricole care utilizează pesticide şi nu se conformează legislaţiei în vigoare, unități agricole unde nu există sistem de canalizare. Estimarea acestor presiuni este dificil de realizat și se bazează pe modele matematice.</w:t>
      </w:r>
    </w:p>
    <w:p w14:paraId="49386D75" w14:textId="77777777" w:rsidR="00A53D2B" w:rsidRDefault="00A53D2B" w:rsidP="00A53D2B">
      <w:pPr>
        <w:spacing w:before="0"/>
        <w:ind w:firstLine="567"/>
        <w:rPr>
          <w:rFonts w:eastAsia="Times New Roman" w:cs="Times New Roman"/>
        </w:rPr>
      </w:pPr>
      <w:r>
        <w:rPr>
          <w:rFonts w:eastAsia="Times New Roman" w:cs="Times New Roman"/>
          <w:color w:val="000000"/>
        </w:rPr>
        <w:t>Referitor la sursele punctiforme, cele mai importante sunt stațiile de epurare care deversează apă epurată în mare.</w:t>
      </w:r>
    </w:p>
    <w:p w14:paraId="14CC0011" w14:textId="77777777" w:rsidR="00A53D2B" w:rsidRDefault="00A53D2B" w:rsidP="00A53D2B">
      <w:pPr>
        <w:spacing w:before="0"/>
        <w:ind w:firstLine="567"/>
        <w:rPr>
          <w:rFonts w:eastAsia="Times New Roman" w:cs="Times New Roman"/>
        </w:rPr>
      </w:pPr>
      <w:r>
        <w:rPr>
          <w:rFonts w:eastAsia="Times New Roman" w:cs="Times New Roman"/>
          <w:color w:val="000000"/>
        </w:rPr>
        <w:t>Complexul industrial Petromidia este deservit de stația de epurare Rafinăria Petromidia Năvodari și Uzina Petrochimică, situate în UAT Năvodari. Categoriile de ape uzate care ajung la stația de epurare includ: i) apa menajeră (inclusiv din instalaţiile Rompetrol Energy și din orașele Năvodari și Corbu); ii) apa pluvială (meteorică); iii) apa cu săruri (din sistemul de răcire cu apă); și iv) apă impură din punct de vedere chimic. </w:t>
      </w:r>
    </w:p>
    <w:p w14:paraId="712B487E" w14:textId="236A72A1" w:rsidR="00A53D2B" w:rsidRDefault="00A53D2B" w:rsidP="00A53D2B">
      <w:pPr>
        <w:spacing w:before="0"/>
        <w:ind w:firstLine="567"/>
        <w:rPr>
          <w:rFonts w:eastAsia="Times New Roman" w:cs="Times New Roman"/>
        </w:rPr>
      </w:pPr>
      <w:r>
        <w:rPr>
          <w:rFonts w:eastAsia="Times New Roman" w:cs="Times New Roman"/>
          <w:color w:val="000000"/>
        </w:rPr>
        <w:t xml:space="preserve">Sistemul de canalizare al rafinăriei este prevăzut cu trasee separate pentru fiecare categorie de ape uzate colectate de pe amplasament. Apa contaminată din punct de vedere chimic rezultată din procesele tehnologice de pe amplasament este colectată în rețeaua dedicată. Toate apele uzate (chimice, meteorice și menajere) de pe amplasament sunt direcționate către Stația de Epurare finală. Apa tratată este evacuată de la stația de epurare a apelor reziduale în cele două iazuri de autoepurare – Iazul I (de liniștire) și Iazul II (cu </w:t>
      </w:r>
      <w:r>
        <w:rPr>
          <w:rFonts w:eastAsia="Times New Roman" w:cs="Times New Roman"/>
          <w:color w:val="000000"/>
        </w:rPr>
        <w:lastRenderedPageBreak/>
        <w:t>macrofite), unde se încheie procesul de epurare biologică (epurare terțiară), iar apoi prin Pârâul Buhaz, în Marea Neagră. Monitorizarea calităţii apei tratate se face la punctul de deversare din Iazul II în pârâul Buhaz.</w:t>
      </w:r>
      <w:r>
        <w:rPr>
          <w:rFonts w:eastAsia="Times New Roman" w:cs="Times New Roman"/>
        </w:rPr>
        <w:t xml:space="preserve"> </w:t>
      </w:r>
      <w:r>
        <w:rPr>
          <w:rFonts w:eastAsia="Times New Roman" w:cs="Times New Roman"/>
          <w:color w:val="000000"/>
        </w:rPr>
        <w:t>Cantitățile de compuși sintetici și nesintetici (monitorizați) care deversează în mare din stația Petromidia sunt redate în Tabelul 2.5.2.2.</w:t>
      </w:r>
    </w:p>
    <w:p w14:paraId="2488EC15" w14:textId="77777777" w:rsidR="00A53D2B" w:rsidRDefault="00A53D2B" w:rsidP="00A53D2B">
      <w:bookmarkStart w:id="123" w:name="_heading=h.46r0co2" w:colFirst="0" w:colLast="0"/>
      <w:bookmarkEnd w:id="123"/>
    </w:p>
    <w:p w14:paraId="33D5A118" w14:textId="5C86334A" w:rsidR="00A53D2B" w:rsidRDefault="00A53D2B" w:rsidP="00A53D2B">
      <w:pPr>
        <w:spacing w:after="0" w:line="240" w:lineRule="auto"/>
        <w:jc w:val="center"/>
        <w:rPr>
          <w:rFonts w:eastAsia="Times New Roman" w:cs="Times New Roman"/>
        </w:rPr>
      </w:pPr>
      <w:r>
        <w:rPr>
          <w:rFonts w:eastAsia="Times New Roman" w:cs="Times New Roman"/>
          <w:b/>
          <w:color w:val="000000"/>
        </w:rPr>
        <w:t>Tabel 2.5.2.2 Emisii de substanțe sintetice și nesintetice (tone/an) evacuate din stația de epurare Petromidia (</w:t>
      </w:r>
      <w:r>
        <w:rPr>
          <w:rFonts w:eastAsia="Times New Roman" w:cs="Times New Roman"/>
          <w:b/>
          <w:i/>
          <w:color w:val="000000"/>
        </w:rPr>
        <w:t>sursa: Administrația Națională Apele Române, 2023</w:t>
      </w:r>
      <w:r>
        <w:rPr>
          <w:rFonts w:eastAsia="Times New Roman" w:cs="Times New Roman"/>
          <w:b/>
          <w:color w:val="000000"/>
        </w:rPr>
        <w:t>)</w:t>
      </w:r>
    </w:p>
    <w:tbl>
      <w:tblPr>
        <w:tblW w:w="9006" w:type="dxa"/>
        <w:tblLayout w:type="fixed"/>
        <w:tblLook w:val="0400" w:firstRow="0" w:lastRow="0" w:firstColumn="0" w:lastColumn="0" w:noHBand="0" w:noVBand="1"/>
      </w:tblPr>
      <w:tblGrid>
        <w:gridCol w:w="600"/>
        <w:gridCol w:w="1341"/>
        <w:gridCol w:w="1312"/>
        <w:gridCol w:w="989"/>
        <w:gridCol w:w="1981"/>
        <w:gridCol w:w="1529"/>
        <w:gridCol w:w="1254"/>
      </w:tblGrid>
      <w:tr w:rsidR="00A53D2B" w14:paraId="2CD68078" w14:textId="77777777" w:rsidTr="008B1BFC">
        <w:trPr>
          <w:trHeight w:val="448"/>
        </w:trPr>
        <w:tc>
          <w:tcPr>
            <w:tcW w:w="60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91E9CA"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An</w:t>
            </w:r>
          </w:p>
        </w:tc>
        <w:tc>
          <w:tcPr>
            <w:tcW w:w="3642"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C2BC94" w14:textId="77777777" w:rsidR="00A53D2B" w:rsidRDefault="00A53D2B" w:rsidP="00A53D2B">
            <w:pPr>
              <w:spacing w:before="0" w:after="0" w:line="240" w:lineRule="auto"/>
              <w:jc w:val="center"/>
              <w:rPr>
                <w:rFonts w:eastAsia="Times New Roman" w:cs="Times New Roman"/>
                <w:sz w:val="20"/>
                <w:szCs w:val="20"/>
              </w:rPr>
            </w:pPr>
            <w:r>
              <w:rPr>
                <w:rFonts w:eastAsia="Times New Roman" w:cs="Times New Roman"/>
                <w:color w:val="000000"/>
                <w:sz w:val="20"/>
                <w:szCs w:val="20"/>
              </w:rPr>
              <w:t>Metale grele</w:t>
            </w:r>
          </w:p>
        </w:tc>
        <w:tc>
          <w:tcPr>
            <w:tcW w:w="1981"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C95D91"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Hidrocarburi totale, tone/an </w:t>
            </w:r>
          </w:p>
        </w:tc>
        <w:tc>
          <w:tcPr>
            <w:tcW w:w="1529"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1781C8"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Detergenți tone/an</w:t>
            </w:r>
          </w:p>
        </w:tc>
        <w:tc>
          <w:tcPr>
            <w:tcW w:w="125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DAA41C"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Fenoli tone/an</w:t>
            </w:r>
          </w:p>
        </w:tc>
      </w:tr>
      <w:tr w:rsidR="00A53D2B" w14:paraId="15AA62D4" w14:textId="77777777" w:rsidTr="008B1BFC">
        <w:trPr>
          <w:trHeight w:val="440"/>
        </w:trPr>
        <w:tc>
          <w:tcPr>
            <w:tcW w:w="60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0B3B35" w14:textId="77777777" w:rsidR="00A53D2B" w:rsidRDefault="00A53D2B" w:rsidP="00A53D2B">
            <w:pPr>
              <w:widowControl w:val="0"/>
              <w:pBdr>
                <w:top w:val="nil"/>
                <w:left w:val="nil"/>
                <w:bottom w:val="nil"/>
                <w:right w:val="nil"/>
                <w:between w:val="nil"/>
              </w:pBdr>
              <w:spacing w:before="0" w:after="0"/>
              <w:rPr>
                <w:rFonts w:eastAsia="Times New Roman" w:cs="Times New Roman"/>
                <w:sz w:val="20"/>
                <w:szCs w:val="20"/>
              </w:rPr>
            </w:pP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EB4243"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Zn total, tone/an</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59CE4A"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Cu total tone/an</w:t>
            </w:r>
          </w:p>
        </w:tc>
        <w:tc>
          <w:tcPr>
            <w:tcW w:w="9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4BF7CC" w14:textId="77777777" w:rsidR="00A53D2B" w:rsidRDefault="00A53D2B" w:rsidP="00A53D2B">
            <w:pPr>
              <w:spacing w:before="0" w:after="0" w:line="240" w:lineRule="auto"/>
              <w:ind w:firstLine="39"/>
              <w:rPr>
                <w:rFonts w:eastAsia="Times New Roman" w:cs="Times New Roman"/>
                <w:sz w:val="20"/>
                <w:szCs w:val="20"/>
              </w:rPr>
            </w:pPr>
            <w:r>
              <w:rPr>
                <w:rFonts w:eastAsia="Times New Roman" w:cs="Times New Roman"/>
                <w:color w:val="000000"/>
                <w:sz w:val="20"/>
                <w:szCs w:val="20"/>
              </w:rPr>
              <w:t>Cr total</w:t>
            </w:r>
          </w:p>
          <w:p w14:paraId="726E4451" w14:textId="77777777" w:rsidR="00A53D2B" w:rsidRDefault="00A53D2B" w:rsidP="00A53D2B">
            <w:pPr>
              <w:spacing w:before="0" w:after="0" w:line="240" w:lineRule="auto"/>
              <w:ind w:firstLine="39"/>
              <w:rPr>
                <w:rFonts w:eastAsia="Times New Roman" w:cs="Times New Roman"/>
                <w:sz w:val="20"/>
                <w:szCs w:val="20"/>
              </w:rPr>
            </w:pPr>
            <w:r>
              <w:rPr>
                <w:rFonts w:eastAsia="Times New Roman" w:cs="Times New Roman"/>
                <w:color w:val="000000"/>
                <w:sz w:val="20"/>
                <w:szCs w:val="20"/>
              </w:rPr>
              <w:t>tone/an</w:t>
            </w:r>
          </w:p>
        </w:tc>
        <w:tc>
          <w:tcPr>
            <w:tcW w:w="1981"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3FD755" w14:textId="77777777" w:rsidR="00A53D2B" w:rsidRDefault="00A53D2B" w:rsidP="00A53D2B">
            <w:pPr>
              <w:widowControl w:val="0"/>
              <w:pBdr>
                <w:top w:val="nil"/>
                <w:left w:val="nil"/>
                <w:bottom w:val="nil"/>
                <w:right w:val="nil"/>
                <w:between w:val="nil"/>
              </w:pBdr>
              <w:spacing w:before="0" w:after="0"/>
              <w:rPr>
                <w:rFonts w:eastAsia="Times New Roman" w:cs="Times New Roman"/>
                <w:sz w:val="20"/>
                <w:szCs w:val="20"/>
              </w:rPr>
            </w:pPr>
          </w:p>
        </w:tc>
        <w:tc>
          <w:tcPr>
            <w:tcW w:w="1529"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348DC1" w14:textId="77777777" w:rsidR="00A53D2B" w:rsidRDefault="00A53D2B" w:rsidP="00A53D2B">
            <w:pPr>
              <w:widowControl w:val="0"/>
              <w:pBdr>
                <w:top w:val="nil"/>
                <w:left w:val="nil"/>
                <w:bottom w:val="nil"/>
                <w:right w:val="nil"/>
                <w:between w:val="nil"/>
              </w:pBdr>
              <w:spacing w:before="0" w:after="0"/>
              <w:rPr>
                <w:rFonts w:eastAsia="Times New Roman" w:cs="Times New Roman"/>
                <w:sz w:val="20"/>
                <w:szCs w:val="20"/>
              </w:rPr>
            </w:pPr>
          </w:p>
        </w:tc>
        <w:tc>
          <w:tcPr>
            <w:tcW w:w="1254"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2EEF98" w14:textId="77777777" w:rsidR="00A53D2B" w:rsidRDefault="00A53D2B" w:rsidP="00A53D2B">
            <w:pPr>
              <w:widowControl w:val="0"/>
              <w:pBdr>
                <w:top w:val="nil"/>
                <w:left w:val="nil"/>
                <w:bottom w:val="nil"/>
                <w:right w:val="nil"/>
                <w:between w:val="nil"/>
              </w:pBdr>
              <w:spacing w:before="0" w:after="0"/>
              <w:rPr>
                <w:rFonts w:eastAsia="Times New Roman" w:cs="Times New Roman"/>
                <w:sz w:val="20"/>
                <w:szCs w:val="20"/>
              </w:rPr>
            </w:pPr>
          </w:p>
        </w:tc>
      </w:tr>
      <w:tr w:rsidR="00A53D2B" w14:paraId="342CA319" w14:textId="77777777" w:rsidTr="008B1BFC">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9E12DE"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2015</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469CCC"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0,16</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FA2942"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0,01</w:t>
            </w:r>
          </w:p>
        </w:tc>
        <w:tc>
          <w:tcPr>
            <w:tcW w:w="9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0D9939" w14:textId="77777777" w:rsidR="00A53D2B" w:rsidRDefault="00A53D2B" w:rsidP="00A53D2B">
            <w:pPr>
              <w:spacing w:before="0" w:after="0" w:line="240" w:lineRule="auto"/>
              <w:ind w:firstLine="39"/>
              <w:rPr>
                <w:rFonts w:eastAsia="Times New Roman" w:cs="Times New Roman"/>
                <w:sz w:val="20"/>
                <w:szCs w:val="20"/>
              </w:rPr>
            </w:pPr>
            <w:r>
              <w:rPr>
                <w:rFonts w:eastAsia="Times New Roman" w:cs="Times New Roman"/>
                <w:color w:val="000000"/>
                <w:sz w:val="20"/>
                <w:szCs w:val="20"/>
              </w:rPr>
              <w:t>0,25</w:t>
            </w:r>
          </w:p>
        </w:tc>
        <w:tc>
          <w:tcPr>
            <w:tcW w:w="1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BC0E27"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0,0006</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77BDF7"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0,0004</w:t>
            </w:r>
          </w:p>
        </w:tc>
        <w:tc>
          <w:tcPr>
            <w:tcW w:w="1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BF97BA"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0,00002</w:t>
            </w:r>
          </w:p>
        </w:tc>
      </w:tr>
      <w:tr w:rsidR="00A53D2B" w14:paraId="5539F31C" w14:textId="77777777" w:rsidTr="008B1BFC">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79B878"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2016</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A6AAE2"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0,05</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F69164"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0,02</w:t>
            </w:r>
          </w:p>
        </w:tc>
        <w:tc>
          <w:tcPr>
            <w:tcW w:w="9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349BBE" w14:textId="77777777" w:rsidR="00A53D2B" w:rsidRDefault="00A53D2B" w:rsidP="00A53D2B">
            <w:pPr>
              <w:spacing w:before="0" w:after="0" w:line="240" w:lineRule="auto"/>
              <w:ind w:firstLine="39"/>
              <w:rPr>
                <w:rFonts w:eastAsia="Times New Roman" w:cs="Times New Roman"/>
                <w:sz w:val="20"/>
                <w:szCs w:val="20"/>
              </w:rPr>
            </w:pPr>
            <w:r>
              <w:rPr>
                <w:rFonts w:eastAsia="Times New Roman" w:cs="Times New Roman"/>
                <w:color w:val="000000"/>
                <w:sz w:val="20"/>
                <w:szCs w:val="20"/>
              </w:rPr>
              <w:t>0,003</w:t>
            </w:r>
          </w:p>
        </w:tc>
        <w:tc>
          <w:tcPr>
            <w:tcW w:w="1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47AFF3"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0,002</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35D4A4"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0,0003</w:t>
            </w:r>
          </w:p>
        </w:tc>
        <w:tc>
          <w:tcPr>
            <w:tcW w:w="1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2B8FD6"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0,000003</w:t>
            </w:r>
          </w:p>
        </w:tc>
      </w:tr>
      <w:tr w:rsidR="00A53D2B" w14:paraId="68BA1B79" w14:textId="77777777" w:rsidTr="008B1BFC">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30685E"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2017</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20A6E7"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0,46</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AFD412"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0,06</w:t>
            </w:r>
          </w:p>
        </w:tc>
        <w:tc>
          <w:tcPr>
            <w:tcW w:w="9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677C99" w14:textId="77777777" w:rsidR="00A53D2B" w:rsidRDefault="00A53D2B" w:rsidP="00A53D2B">
            <w:pPr>
              <w:spacing w:before="0" w:after="0" w:line="240" w:lineRule="auto"/>
              <w:ind w:firstLine="39"/>
              <w:rPr>
                <w:rFonts w:eastAsia="Times New Roman" w:cs="Times New Roman"/>
                <w:sz w:val="20"/>
                <w:szCs w:val="20"/>
              </w:rPr>
            </w:pPr>
            <w:r>
              <w:rPr>
                <w:rFonts w:eastAsia="Times New Roman" w:cs="Times New Roman"/>
                <w:color w:val="000000"/>
                <w:sz w:val="20"/>
                <w:szCs w:val="20"/>
              </w:rPr>
              <w:t>0,007</w:t>
            </w:r>
          </w:p>
        </w:tc>
        <w:tc>
          <w:tcPr>
            <w:tcW w:w="1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23CD0D"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0,003</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7E52E5"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0,0005</w:t>
            </w:r>
          </w:p>
        </w:tc>
        <w:tc>
          <w:tcPr>
            <w:tcW w:w="1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3F1FF7"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0,00004</w:t>
            </w:r>
          </w:p>
        </w:tc>
      </w:tr>
      <w:tr w:rsidR="00A53D2B" w14:paraId="5EAC45DD" w14:textId="77777777" w:rsidTr="008B1BFC">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BCDB81"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2018</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3DC8F1"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0,18</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52A0AB"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0,03</w:t>
            </w:r>
          </w:p>
        </w:tc>
        <w:tc>
          <w:tcPr>
            <w:tcW w:w="9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EA6ECD" w14:textId="77777777" w:rsidR="00A53D2B" w:rsidRDefault="00A53D2B" w:rsidP="00A53D2B">
            <w:pPr>
              <w:spacing w:before="0" w:after="0" w:line="240" w:lineRule="auto"/>
              <w:ind w:firstLine="39"/>
              <w:rPr>
                <w:rFonts w:eastAsia="Times New Roman" w:cs="Times New Roman"/>
                <w:sz w:val="20"/>
                <w:szCs w:val="20"/>
              </w:rPr>
            </w:pPr>
            <w:r>
              <w:rPr>
                <w:rFonts w:eastAsia="Times New Roman" w:cs="Times New Roman"/>
                <w:color w:val="000000"/>
                <w:sz w:val="20"/>
                <w:szCs w:val="20"/>
              </w:rPr>
              <w:t>0,004</w:t>
            </w:r>
          </w:p>
        </w:tc>
        <w:tc>
          <w:tcPr>
            <w:tcW w:w="1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A98E87"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0,001</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CDCC00"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0,0003</w:t>
            </w:r>
          </w:p>
        </w:tc>
        <w:tc>
          <w:tcPr>
            <w:tcW w:w="1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17F8B0"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0,00002</w:t>
            </w:r>
          </w:p>
        </w:tc>
      </w:tr>
      <w:tr w:rsidR="00A53D2B" w14:paraId="42E660B9" w14:textId="77777777" w:rsidTr="008B1BFC">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010588"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2019</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3DE881"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0,24</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0D7C3E"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0,02</w:t>
            </w:r>
          </w:p>
        </w:tc>
        <w:tc>
          <w:tcPr>
            <w:tcW w:w="9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645F7E" w14:textId="77777777" w:rsidR="00A53D2B" w:rsidRDefault="00A53D2B" w:rsidP="00A53D2B">
            <w:pPr>
              <w:spacing w:before="0" w:after="0" w:line="240" w:lineRule="auto"/>
              <w:ind w:firstLine="39"/>
              <w:rPr>
                <w:rFonts w:eastAsia="Times New Roman" w:cs="Times New Roman"/>
                <w:sz w:val="20"/>
                <w:szCs w:val="20"/>
              </w:rPr>
            </w:pPr>
            <w:r>
              <w:rPr>
                <w:rFonts w:eastAsia="Times New Roman" w:cs="Times New Roman"/>
                <w:color w:val="000000"/>
                <w:sz w:val="20"/>
                <w:szCs w:val="20"/>
              </w:rPr>
              <w:t>0,003</w:t>
            </w:r>
          </w:p>
        </w:tc>
        <w:tc>
          <w:tcPr>
            <w:tcW w:w="1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B0401D"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0,001</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985C20"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0,0004</w:t>
            </w:r>
          </w:p>
        </w:tc>
        <w:tc>
          <w:tcPr>
            <w:tcW w:w="1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12E4F4"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0,00001</w:t>
            </w:r>
          </w:p>
        </w:tc>
      </w:tr>
      <w:tr w:rsidR="00A53D2B" w14:paraId="61291176" w14:textId="77777777" w:rsidTr="008B1BFC">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196B42"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2020</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34727B"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0,22</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18B8AB"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0,09</w:t>
            </w:r>
          </w:p>
        </w:tc>
        <w:tc>
          <w:tcPr>
            <w:tcW w:w="9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7145BF" w14:textId="77777777" w:rsidR="00A53D2B" w:rsidRDefault="00A53D2B" w:rsidP="00A53D2B">
            <w:pPr>
              <w:spacing w:before="0" w:after="0" w:line="240" w:lineRule="auto"/>
              <w:ind w:firstLine="39"/>
              <w:rPr>
                <w:rFonts w:eastAsia="Times New Roman" w:cs="Times New Roman"/>
                <w:sz w:val="20"/>
                <w:szCs w:val="20"/>
              </w:rPr>
            </w:pPr>
            <w:r>
              <w:rPr>
                <w:rFonts w:eastAsia="Times New Roman" w:cs="Times New Roman"/>
                <w:color w:val="000000"/>
                <w:sz w:val="20"/>
                <w:szCs w:val="20"/>
              </w:rPr>
              <w:t>0,005</w:t>
            </w:r>
          </w:p>
        </w:tc>
        <w:tc>
          <w:tcPr>
            <w:tcW w:w="1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8D911E"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0,001</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0518D7"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0,0004</w:t>
            </w:r>
          </w:p>
        </w:tc>
        <w:tc>
          <w:tcPr>
            <w:tcW w:w="1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96F45A"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0,00001</w:t>
            </w:r>
          </w:p>
        </w:tc>
      </w:tr>
      <w:tr w:rsidR="00A53D2B" w14:paraId="3445DDB4" w14:textId="77777777" w:rsidTr="008B1BFC">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8FC3DD"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2021</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59F9FC"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0,22</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D80666"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0,08</w:t>
            </w:r>
          </w:p>
        </w:tc>
        <w:tc>
          <w:tcPr>
            <w:tcW w:w="9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7A4654" w14:textId="77777777" w:rsidR="00A53D2B" w:rsidRDefault="00A53D2B" w:rsidP="00A53D2B">
            <w:pPr>
              <w:spacing w:before="0" w:after="0" w:line="240" w:lineRule="auto"/>
              <w:ind w:firstLine="39"/>
              <w:rPr>
                <w:rFonts w:eastAsia="Times New Roman" w:cs="Times New Roman"/>
                <w:sz w:val="20"/>
                <w:szCs w:val="20"/>
              </w:rPr>
            </w:pPr>
            <w:r>
              <w:rPr>
                <w:rFonts w:eastAsia="Times New Roman" w:cs="Times New Roman"/>
                <w:color w:val="000000"/>
                <w:sz w:val="20"/>
                <w:szCs w:val="20"/>
              </w:rPr>
              <w:t>0,004</w:t>
            </w:r>
          </w:p>
        </w:tc>
        <w:tc>
          <w:tcPr>
            <w:tcW w:w="1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E8E518"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0,002</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A9CF17"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0,0005</w:t>
            </w:r>
          </w:p>
        </w:tc>
        <w:tc>
          <w:tcPr>
            <w:tcW w:w="1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7A8B7B"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0,00005</w:t>
            </w:r>
          </w:p>
        </w:tc>
      </w:tr>
    </w:tbl>
    <w:p w14:paraId="77570B25" w14:textId="77777777" w:rsidR="00A53D2B" w:rsidRDefault="00A53D2B" w:rsidP="00A53D2B"/>
    <w:p w14:paraId="61537297" w14:textId="5407F867" w:rsidR="00A53D2B" w:rsidRDefault="00A53D2B" w:rsidP="00A53D2B">
      <w:pPr>
        <w:ind w:firstLine="567"/>
        <w:rPr>
          <w:rFonts w:eastAsia="Times New Roman" w:cs="Times New Roman"/>
          <w:color w:val="000000"/>
        </w:rPr>
      </w:pPr>
      <w:r>
        <w:rPr>
          <w:rFonts w:eastAsia="Times New Roman" w:cs="Times New Roman"/>
          <w:color w:val="000000"/>
        </w:rPr>
        <w:t>Cantitățile de compuși sintetici și nesintetici (monitorizați) care deversează în mare din stațiile de epurare urbane Constanța Nord, Constanța Sud, Eforie Sud și Mangalia sunt redate în Tabelele 2.5.2.3 – 2.5.2.6. Se remarcă, în stația Constanța Nord, creșterea, în ultimii anii, a emisiilor de metale grele în apa de mare, în timp ce emisiile deversate din stația Eforie Sud prezintă un trend descrescător, începând cu 2019 (an în care a fost modernizată). Până în acest an, atât stația Eforie Sud, cât și Mangalia deversau o importantă cantitate de apă insuficient epurată. Aceste trei stații deservesc, preponderent, populația, caracteristic fiind faptul că emisiile variază sezonier, cu un vîrf în perioada iulie-august.</w:t>
      </w:r>
    </w:p>
    <w:p w14:paraId="595FF747" w14:textId="77777777" w:rsidR="00A53D2B" w:rsidRDefault="00A53D2B" w:rsidP="00A53D2B">
      <w:pPr>
        <w:ind w:firstLine="567"/>
        <w:rPr>
          <w:rFonts w:eastAsia="Times New Roman" w:cs="Times New Roman"/>
          <w:color w:val="000000"/>
        </w:rPr>
      </w:pPr>
    </w:p>
    <w:p w14:paraId="519E3243" w14:textId="50D1624E" w:rsidR="00A53D2B" w:rsidRDefault="00A53D2B" w:rsidP="00A53D2B">
      <w:pPr>
        <w:spacing w:line="240" w:lineRule="auto"/>
        <w:ind w:firstLine="540"/>
        <w:jc w:val="center"/>
        <w:rPr>
          <w:rFonts w:eastAsia="Times New Roman" w:cs="Times New Roman"/>
          <w:b/>
        </w:rPr>
      </w:pPr>
      <w:bookmarkStart w:id="124" w:name="_heading=h.2lwamvv" w:colFirst="0" w:colLast="0"/>
      <w:bookmarkEnd w:id="124"/>
      <w:r>
        <w:rPr>
          <w:rFonts w:eastAsia="Times New Roman" w:cs="Times New Roman"/>
          <w:b/>
          <w:color w:val="000000"/>
        </w:rPr>
        <w:t>Tabel 2.5.2.3 Emisii de substanțe sintetice și nesintetice (tone/an) din stația de epurare urbană Constanța Sud (</w:t>
      </w:r>
      <w:r>
        <w:rPr>
          <w:rFonts w:eastAsia="Times New Roman" w:cs="Times New Roman"/>
          <w:b/>
          <w:i/>
          <w:color w:val="000000"/>
        </w:rPr>
        <w:t>sursa: Administrația Națională Apele Române, 2023</w:t>
      </w:r>
      <w:r>
        <w:rPr>
          <w:rFonts w:eastAsia="Times New Roman" w:cs="Times New Roman"/>
          <w:b/>
          <w:color w:val="000000"/>
        </w:rPr>
        <w:t>)</w:t>
      </w:r>
    </w:p>
    <w:tbl>
      <w:tblPr>
        <w:tblW w:w="9006" w:type="dxa"/>
        <w:tblLayout w:type="fixed"/>
        <w:tblLook w:val="0400" w:firstRow="0" w:lastRow="0" w:firstColumn="0" w:lastColumn="0" w:noHBand="0" w:noVBand="1"/>
      </w:tblPr>
      <w:tblGrid>
        <w:gridCol w:w="600"/>
        <w:gridCol w:w="1341"/>
        <w:gridCol w:w="1312"/>
        <w:gridCol w:w="990"/>
        <w:gridCol w:w="1980"/>
        <w:gridCol w:w="1529"/>
        <w:gridCol w:w="1254"/>
      </w:tblGrid>
      <w:tr w:rsidR="00A53D2B" w14:paraId="589062F0" w14:textId="77777777" w:rsidTr="008B1BFC">
        <w:trPr>
          <w:trHeight w:val="440"/>
        </w:trPr>
        <w:tc>
          <w:tcPr>
            <w:tcW w:w="60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FB1B84"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An</w:t>
            </w:r>
          </w:p>
        </w:tc>
        <w:tc>
          <w:tcPr>
            <w:tcW w:w="3643"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5B755E" w14:textId="77777777" w:rsidR="00A53D2B" w:rsidRDefault="00A53D2B" w:rsidP="00A53D2B">
            <w:pPr>
              <w:spacing w:before="0" w:after="0" w:line="240" w:lineRule="auto"/>
              <w:jc w:val="center"/>
              <w:rPr>
                <w:rFonts w:eastAsia="Times New Roman" w:cs="Times New Roman"/>
                <w:sz w:val="20"/>
                <w:szCs w:val="20"/>
              </w:rPr>
            </w:pPr>
            <w:r>
              <w:rPr>
                <w:rFonts w:eastAsia="Times New Roman" w:cs="Times New Roman"/>
                <w:color w:val="000000"/>
                <w:sz w:val="20"/>
                <w:szCs w:val="20"/>
              </w:rPr>
              <w:t>Metale grele</w:t>
            </w:r>
          </w:p>
        </w:tc>
        <w:tc>
          <w:tcPr>
            <w:tcW w:w="198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B24588"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Hidrocarburi totale, tone/an </w:t>
            </w:r>
          </w:p>
        </w:tc>
        <w:tc>
          <w:tcPr>
            <w:tcW w:w="1529"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223697"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Detergenți tone/an</w:t>
            </w:r>
          </w:p>
        </w:tc>
        <w:tc>
          <w:tcPr>
            <w:tcW w:w="125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9523EF"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Fenoli tone/an</w:t>
            </w:r>
          </w:p>
        </w:tc>
      </w:tr>
      <w:tr w:rsidR="00A53D2B" w14:paraId="1C6D8B6A" w14:textId="77777777" w:rsidTr="008B1BFC">
        <w:trPr>
          <w:trHeight w:val="440"/>
        </w:trPr>
        <w:tc>
          <w:tcPr>
            <w:tcW w:w="60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30663B" w14:textId="77777777" w:rsidR="00A53D2B" w:rsidRDefault="00A53D2B" w:rsidP="00A53D2B">
            <w:pPr>
              <w:widowControl w:val="0"/>
              <w:pBdr>
                <w:top w:val="nil"/>
                <w:left w:val="nil"/>
                <w:bottom w:val="nil"/>
                <w:right w:val="nil"/>
                <w:between w:val="nil"/>
              </w:pBdr>
              <w:spacing w:before="0" w:after="0"/>
              <w:rPr>
                <w:rFonts w:eastAsia="Times New Roman" w:cs="Times New Roman"/>
                <w:sz w:val="20"/>
                <w:szCs w:val="20"/>
              </w:rPr>
            </w:pP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CEC57D"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Zn total, tone/an</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7B475F" w14:textId="77777777" w:rsidR="00A53D2B" w:rsidRDefault="00A53D2B" w:rsidP="00A53D2B">
            <w:pPr>
              <w:spacing w:before="0" w:after="0" w:line="240" w:lineRule="auto"/>
              <w:ind w:firstLine="76"/>
              <w:rPr>
                <w:rFonts w:eastAsia="Times New Roman" w:cs="Times New Roman"/>
                <w:sz w:val="20"/>
                <w:szCs w:val="20"/>
              </w:rPr>
            </w:pPr>
            <w:r>
              <w:rPr>
                <w:rFonts w:eastAsia="Times New Roman" w:cs="Times New Roman"/>
                <w:color w:val="000000"/>
                <w:sz w:val="20"/>
                <w:szCs w:val="20"/>
              </w:rPr>
              <w:t>Cu total tone/an</w:t>
            </w:r>
          </w:p>
        </w:tc>
        <w:tc>
          <w:tcPr>
            <w:tcW w:w="9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6DBDD5" w14:textId="77777777" w:rsidR="00A53D2B" w:rsidRDefault="00A53D2B" w:rsidP="00A53D2B">
            <w:pPr>
              <w:spacing w:before="0" w:after="0" w:line="240" w:lineRule="auto"/>
              <w:ind w:firstLine="39"/>
              <w:rPr>
                <w:rFonts w:eastAsia="Times New Roman" w:cs="Times New Roman"/>
                <w:sz w:val="20"/>
                <w:szCs w:val="20"/>
              </w:rPr>
            </w:pPr>
            <w:r>
              <w:rPr>
                <w:rFonts w:eastAsia="Times New Roman" w:cs="Times New Roman"/>
                <w:color w:val="000000"/>
                <w:sz w:val="20"/>
                <w:szCs w:val="20"/>
              </w:rPr>
              <w:t>Cr total</w:t>
            </w:r>
          </w:p>
          <w:p w14:paraId="3D1888AB" w14:textId="77777777" w:rsidR="00A53D2B" w:rsidRDefault="00A53D2B" w:rsidP="00A53D2B">
            <w:pPr>
              <w:spacing w:before="0" w:after="0" w:line="240" w:lineRule="auto"/>
              <w:ind w:firstLine="39"/>
              <w:rPr>
                <w:rFonts w:eastAsia="Times New Roman" w:cs="Times New Roman"/>
                <w:sz w:val="20"/>
                <w:szCs w:val="20"/>
              </w:rPr>
            </w:pPr>
            <w:r>
              <w:rPr>
                <w:rFonts w:eastAsia="Times New Roman" w:cs="Times New Roman"/>
                <w:color w:val="000000"/>
                <w:sz w:val="20"/>
                <w:szCs w:val="20"/>
              </w:rPr>
              <w:t>tone/an</w:t>
            </w:r>
          </w:p>
        </w:tc>
        <w:tc>
          <w:tcPr>
            <w:tcW w:w="198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3FDE5C" w14:textId="77777777" w:rsidR="00A53D2B" w:rsidRDefault="00A53D2B" w:rsidP="00A53D2B">
            <w:pPr>
              <w:widowControl w:val="0"/>
              <w:pBdr>
                <w:top w:val="nil"/>
                <w:left w:val="nil"/>
                <w:bottom w:val="nil"/>
                <w:right w:val="nil"/>
                <w:between w:val="nil"/>
              </w:pBdr>
              <w:spacing w:before="0" w:after="0"/>
              <w:rPr>
                <w:rFonts w:eastAsia="Times New Roman" w:cs="Times New Roman"/>
                <w:sz w:val="20"/>
                <w:szCs w:val="20"/>
              </w:rPr>
            </w:pPr>
          </w:p>
        </w:tc>
        <w:tc>
          <w:tcPr>
            <w:tcW w:w="1529"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42723F" w14:textId="77777777" w:rsidR="00A53D2B" w:rsidRDefault="00A53D2B" w:rsidP="00A53D2B">
            <w:pPr>
              <w:widowControl w:val="0"/>
              <w:pBdr>
                <w:top w:val="nil"/>
                <w:left w:val="nil"/>
                <w:bottom w:val="nil"/>
                <w:right w:val="nil"/>
                <w:between w:val="nil"/>
              </w:pBdr>
              <w:spacing w:before="0" w:after="0"/>
              <w:rPr>
                <w:rFonts w:eastAsia="Times New Roman" w:cs="Times New Roman"/>
                <w:sz w:val="20"/>
                <w:szCs w:val="20"/>
              </w:rPr>
            </w:pPr>
          </w:p>
        </w:tc>
        <w:tc>
          <w:tcPr>
            <w:tcW w:w="1254"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25BA6C" w14:textId="77777777" w:rsidR="00A53D2B" w:rsidRDefault="00A53D2B" w:rsidP="00A53D2B">
            <w:pPr>
              <w:widowControl w:val="0"/>
              <w:pBdr>
                <w:top w:val="nil"/>
                <w:left w:val="nil"/>
                <w:bottom w:val="nil"/>
                <w:right w:val="nil"/>
                <w:between w:val="nil"/>
              </w:pBdr>
              <w:spacing w:before="0" w:after="0"/>
              <w:rPr>
                <w:rFonts w:eastAsia="Times New Roman" w:cs="Times New Roman"/>
                <w:sz w:val="20"/>
                <w:szCs w:val="20"/>
              </w:rPr>
            </w:pPr>
          </w:p>
        </w:tc>
      </w:tr>
      <w:tr w:rsidR="00A53D2B" w14:paraId="1C94B7A1" w14:textId="77777777" w:rsidTr="008B1BFC">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8A349B"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2015</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10E2A5"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1,03</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D3A099" w14:textId="77777777" w:rsidR="00A53D2B" w:rsidRDefault="00A53D2B" w:rsidP="00A53D2B">
            <w:pPr>
              <w:spacing w:before="0" w:after="0" w:line="240" w:lineRule="auto"/>
              <w:ind w:firstLine="76"/>
              <w:rPr>
                <w:rFonts w:eastAsia="Times New Roman" w:cs="Times New Roman"/>
                <w:sz w:val="20"/>
                <w:szCs w:val="20"/>
              </w:rPr>
            </w:pPr>
            <w:r>
              <w:rPr>
                <w:rFonts w:eastAsia="Times New Roman" w:cs="Times New Roman"/>
                <w:color w:val="000000"/>
                <w:sz w:val="20"/>
                <w:szCs w:val="20"/>
              </w:rPr>
              <w:t>0,05</w:t>
            </w:r>
          </w:p>
        </w:tc>
        <w:tc>
          <w:tcPr>
            <w:tcW w:w="9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C4BA17" w14:textId="77777777" w:rsidR="00A53D2B" w:rsidRDefault="00A53D2B" w:rsidP="00A53D2B">
            <w:pPr>
              <w:spacing w:before="0" w:after="0" w:line="240" w:lineRule="auto"/>
              <w:ind w:firstLine="39"/>
              <w:rPr>
                <w:rFonts w:eastAsia="Times New Roman" w:cs="Times New Roman"/>
                <w:sz w:val="20"/>
                <w:szCs w:val="20"/>
              </w:rPr>
            </w:pPr>
            <w:r>
              <w:rPr>
                <w:rFonts w:eastAsia="Times New Roman" w:cs="Times New Roman"/>
                <w:color w:val="000000"/>
                <w:sz w:val="20"/>
                <w:szCs w:val="20"/>
              </w:rPr>
              <w:t>0,04</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23DA26" w14:textId="77777777" w:rsidR="00A53D2B" w:rsidRDefault="00A53D2B" w:rsidP="00A53D2B">
            <w:pPr>
              <w:spacing w:before="0" w:after="0" w:line="240" w:lineRule="auto"/>
              <w:rPr>
                <w:rFonts w:eastAsia="Times New Roman" w:cs="Times New Roman"/>
                <w:sz w:val="20"/>
                <w:szCs w:val="20"/>
              </w:rPr>
            </w:pPr>
            <w:r>
              <w:rPr>
                <w:rFonts w:eastAsia="Times New Roman" w:cs="Times New Roman"/>
                <w:color w:val="000000"/>
                <w:sz w:val="20"/>
                <w:szCs w:val="20"/>
              </w:rPr>
              <w:t>0,005</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74BCD2" w14:textId="77777777" w:rsidR="00A53D2B" w:rsidRDefault="00A53D2B" w:rsidP="00A53D2B">
            <w:pPr>
              <w:spacing w:before="0" w:after="0" w:line="240" w:lineRule="auto"/>
              <w:rPr>
                <w:rFonts w:eastAsia="Times New Roman" w:cs="Times New Roman"/>
                <w:sz w:val="20"/>
                <w:szCs w:val="20"/>
              </w:rPr>
            </w:pPr>
            <w:r>
              <w:rPr>
                <w:rFonts w:eastAsia="Times New Roman" w:cs="Times New Roman"/>
                <w:color w:val="000000"/>
                <w:sz w:val="20"/>
                <w:szCs w:val="20"/>
              </w:rPr>
              <w:t>0,007</w:t>
            </w:r>
          </w:p>
        </w:tc>
        <w:tc>
          <w:tcPr>
            <w:tcW w:w="1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7C9609" w14:textId="77777777" w:rsidR="00A53D2B" w:rsidRDefault="00A53D2B" w:rsidP="00A53D2B">
            <w:pPr>
              <w:spacing w:before="0" w:after="0" w:line="240" w:lineRule="auto"/>
              <w:ind w:firstLine="76"/>
              <w:rPr>
                <w:rFonts w:eastAsia="Times New Roman" w:cs="Times New Roman"/>
                <w:sz w:val="20"/>
                <w:szCs w:val="20"/>
              </w:rPr>
            </w:pPr>
            <w:r>
              <w:rPr>
                <w:rFonts w:eastAsia="Times New Roman" w:cs="Times New Roman"/>
                <w:color w:val="000000"/>
                <w:sz w:val="20"/>
                <w:szCs w:val="20"/>
              </w:rPr>
              <w:t>0,0002</w:t>
            </w:r>
          </w:p>
        </w:tc>
      </w:tr>
      <w:tr w:rsidR="00A53D2B" w14:paraId="21E47FED" w14:textId="77777777" w:rsidTr="008B1BFC">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556598"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2016</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274459"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1,05</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75D2C9" w14:textId="77777777" w:rsidR="00A53D2B" w:rsidRDefault="00A53D2B" w:rsidP="00A53D2B">
            <w:pPr>
              <w:spacing w:before="0" w:after="0" w:line="240" w:lineRule="auto"/>
              <w:ind w:firstLine="76"/>
              <w:rPr>
                <w:rFonts w:eastAsia="Times New Roman" w:cs="Times New Roman"/>
                <w:sz w:val="20"/>
                <w:szCs w:val="20"/>
              </w:rPr>
            </w:pPr>
            <w:r>
              <w:rPr>
                <w:rFonts w:eastAsia="Times New Roman" w:cs="Times New Roman"/>
                <w:color w:val="000000"/>
                <w:sz w:val="20"/>
                <w:szCs w:val="20"/>
              </w:rPr>
              <w:t>0,02</w:t>
            </w:r>
          </w:p>
        </w:tc>
        <w:tc>
          <w:tcPr>
            <w:tcW w:w="9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245BA9" w14:textId="77777777" w:rsidR="00A53D2B" w:rsidRDefault="00A53D2B" w:rsidP="00A53D2B">
            <w:pPr>
              <w:spacing w:before="0" w:after="0" w:line="240" w:lineRule="auto"/>
              <w:ind w:firstLine="39"/>
              <w:rPr>
                <w:rFonts w:eastAsia="Times New Roman" w:cs="Times New Roman"/>
                <w:sz w:val="20"/>
                <w:szCs w:val="20"/>
              </w:rPr>
            </w:pPr>
            <w:r>
              <w:rPr>
                <w:rFonts w:eastAsia="Times New Roman" w:cs="Times New Roman"/>
                <w:color w:val="000000"/>
                <w:sz w:val="20"/>
                <w:szCs w:val="20"/>
              </w:rPr>
              <w:t>0,003</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DD38F0" w14:textId="77777777" w:rsidR="00A53D2B" w:rsidRDefault="00A53D2B" w:rsidP="00A53D2B">
            <w:pPr>
              <w:spacing w:before="0" w:after="0" w:line="240" w:lineRule="auto"/>
              <w:rPr>
                <w:rFonts w:eastAsia="Times New Roman" w:cs="Times New Roman"/>
                <w:sz w:val="20"/>
                <w:szCs w:val="20"/>
              </w:rPr>
            </w:pPr>
            <w:r>
              <w:rPr>
                <w:rFonts w:eastAsia="Times New Roman" w:cs="Times New Roman"/>
                <w:color w:val="000000"/>
                <w:sz w:val="20"/>
                <w:szCs w:val="20"/>
              </w:rPr>
              <w:t>0,002</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DE2128" w14:textId="77777777" w:rsidR="00A53D2B" w:rsidRDefault="00A53D2B" w:rsidP="00A53D2B">
            <w:pPr>
              <w:spacing w:before="0" w:after="0" w:line="240" w:lineRule="auto"/>
              <w:rPr>
                <w:rFonts w:eastAsia="Times New Roman" w:cs="Times New Roman"/>
                <w:sz w:val="20"/>
                <w:szCs w:val="20"/>
              </w:rPr>
            </w:pPr>
            <w:r>
              <w:rPr>
                <w:rFonts w:eastAsia="Times New Roman" w:cs="Times New Roman"/>
                <w:color w:val="000000"/>
                <w:sz w:val="20"/>
                <w:szCs w:val="20"/>
              </w:rPr>
              <w:t>0,0003</w:t>
            </w:r>
          </w:p>
        </w:tc>
        <w:tc>
          <w:tcPr>
            <w:tcW w:w="1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AAF0CA" w14:textId="77777777" w:rsidR="00A53D2B" w:rsidRDefault="00A53D2B" w:rsidP="00A53D2B">
            <w:pPr>
              <w:spacing w:before="0" w:after="0" w:line="240" w:lineRule="auto"/>
              <w:ind w:firstLine="76"/>
              <w:rPr>
                <w:rFonts w:eastAsia="Times New Roman" w:cs="Times New Roman"/>
                <w:sz w:val="20"/>
                <w:szCs w:val="20"/>
              </w:rPr>
            </w:pPr>
            <w:r>
              <w:rPr>
                <w:rFonts w:eastAsia="Times New Roman" w:cs="Times New Roman"/>
                <w:color w:val="000000"/>
                <w:sz w:val="20"/>
                <w:szCs w:val="20"/>
              </w:rPr>
              <w:t>0,000003</w:t>
            </w:r>
          </w:p>
        </w:tc>
      </w:tr>
      <w:tr w:rsidR="00A53D2B" w14:paraId="7A38D4C8" w14:textId="77777777" w:rsidTr="008B1BFC">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0C7B64"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2017</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E6926E"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0,46</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8C5D68" w14:textId="77777777" w:rsidR="00A53D2B" w:rsidRDefault="00A53D2B" w:rsidP="00A53D2B">
            <w:pPr>
              <w:spacing w:before="0" w:after="0" w:line="240" w:lineRule="auto"/>
              <w:ind w:firstLine="76"/>
              <w:rPr>
                <w:rFonts w:eastAsia="Times New Roman" w:cs="Times New Roman"/>
                <w:sz w:val="20"/>
                <w:szCs w:val="20"/>
              </w:rPr>
            </w:pPr>
            <w:r>
              <w:rPr>
                <w:rFonts w:eastAsia="Times New Roman" w:cs="Times New Roman"/>
                <w:color w:val="000000"/>
                <w:sz w:val="20"/>
                <w:szCs w:val="20"/>
              </w:rPr>
              <w:t>0,06</w:t>
            </w:r>
          </w:p>
        </w:tc>
        <w:tc>
          <w:tcPr>
            <w:tcW w:w="9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E81148" w14:textId="77777777" w:rsidR="00A53D2B" w:rsidRDefault="00A53D2B" w:rsidP="00A53D2B">
            <w:pPr>
              <w:spacing w:before="0" w:after="0" w:line="240" w:lineRule="auto"/>
              <w:ind w:firstLine="39"/>
              <w:rPr>
                <w:rFonts w:eastAsia="Times New Roman" w:cs="Times New Roman"/>
                <w:sz w:val="20"/>
                <w:szCs w:val="20"/>
              </w:rPr>
            </w:pPr>
            <w:r>
              <w:rPr>
                <w:rFonts w:eastAsia="Times New Roman" w:cs="Times New Roman"/>
                <w:color w:val="000000"/>
                <w:sz w:val="20"/>
                <w:szCs w:val="20"/>
              </w:rPr>
              <w:t>0,007</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EBE155" w14:textId="77777777" w:rsidR="00A53D2B" w:rsidRDefault="00A53D2B" w:rsidP="00A53D2B">
            <w:pPr>
              <w:spacing w:before="0" w:after="0" w:line="240" w:lineRule="auto"/>
              <w:rPr>
                <w:rFonts w:eastAsia="Times New Roman" w:cs="Times New Roman"/>
                <w:sz w:val="20"/>
                <w:szCs w:val="20"/>
              </w:rPr>
            </w:pPr>
            <w:r>
              <w:rPr>
                <w:rFonts w:eastAsia="Times New Roman" w:cs="Times New Roman"/>
                <w:color w:val="000000"/>
                <w:sz w:val="20"/>
                <w:szCs w:val="20"/>
              </w:rPr>
              <w:t>0,003</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303C1D" w14:textId="77777777" w:rsidR="00A53D2B" w:rsidRDefault="00A53D2B" w:rsidP="00A53D2B">
            <w:pPr>
              <w:spacing w:before="0" w:after="0" w:line="240" w:lineRule="auto"/>
              <w:rPr>
                <w:rFonts w:eastAsia="Times New Roman" w:cs="Times New Roman"/>
                <w:sz w:val="20"/>
                <w:szCs w:val="20"/>
              </w:rPr>
            </w:pPr>
            <w:r>
              <w:rPr>
                <w:rFonts w:eastAsia="Times New Roman" w:cs="Times New Roman"/>
                <w:color w:val="000000"/>
                <w:sz w:val="20"/>
                <w:szCs w:val="20"/>
              </w:rPr>
              <w:t>0,0005</w:t>
            </w:r>
          </w:p>
        </w:tc>
        <w:tc>
          <w:tcPr>
            <w:tcW w:w="1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7F1440" w14:textId="77777777" w:rsidR="00A53D2B" w:rsidRDefault="00A53D2B" w:rsidP="00A53D2B">
            <w:pPr>
              <w:spacing w:before="0" w:after="0" w:line="240" w:lineRule="auto"/>
              <w:ind w:firstLine="76"/>
              <w:rPr>
                <w:rFonts w:eastAsia="Times New Roman" w:cs="Times New Roman"/>
                <w:sz w:val="20"/>
                <w:szCs w:val="20"/>
              </w:rPr>
            </w:pPr>
            <w:r>
              <w:rPr>
                <w:rFonts w:eastAsia="Times New Roman" w:cs="Times New Roman"/>
                <w:color w:val="000000"/>
                <w:sz w:val="20"/>
                <w:szCs w:val="20"/>
              </w:rPr>
              <w:t>0,00004</w:t>
            </w:r>
          </w:p>
        </w:tc>
      </w:tr>
      <w:tr w:rsidR="00A53D2B" w14:paraId="6E1A9EF3" w14:textId="77777777" w:rsidTr="008B1BFC">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47EE52"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lastRenderedPageBreak/>
              <w:t>2018</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8EAEC1"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0,18</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D322C4" w14:textId="77777777" w:rsidR="00A53D2B" w:rsidRDefault="00A53D2B" w:rsidP="00A53D2B">
            <w:pPr>
              <w:spacing w:before="0" w:after="0" w:line="240" w:lineRule="auto"/>
              <w:ind w:firstLine="76"/>
              <w:rPr>
                <w:rFonts w:eastAsia="Times New Roman" w:cs="Times New Roman"/>
                <w:sz w:val="20"/>
                <w:szCs w:val="20"/>
              </w:rPr>
            </w:pPr>
            <w:r>
              <w:rPr>
                <w:rFonts w:eastAsia="Times New Roman" w:cs="Times New Roman"/>
                <w:color w:val="000000"/>
                <w:sz w:val="20"/>
                <w:szCs w:val="20"/>
              </w:rPr>
              <w:t>0,03</w:t>
            </w:r>
          </w:p>
        </w:tc>
        <w:tc>
          <w:tcPr>
            <w:tcW w:w="9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E98E65" w14:textId="77777777" w:rsidR="00A53D2B" w:rsidRDefault="00A53D2B" w:rsidP="00A53D2B">
            <w:pPr>
              <w:spacing w:before="0" w:after="0" w:line="240" w:lineRule="auto"/>
              <w:ind w:firstLine="39"/>
              <w:rPr>
                <w:rFonts w:eastAsia="Times New Roman" w:cs="Times New Roman"/>
                <w:sz w:val="20"/>
                <w:szCs w:val="20"/>
              </w:rPr>
            </w:pPr>
            <w:r>
              <w:rPr>
                <w:rFonts w:eastAsia="Times New Roman" w:cs="Times New Roman"/>
                <w:color w:val="000000"/>
                <w:sz w:val="20"/>
                <w:szCs w:val="20"/>
              </w:rPr>
              <w:t>0,004</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08A6B0" w14:textId="77777777" w:rsidR="00A53D2B" w:rsidRDefault="00A53D2B" w:rsidP="00A53D2B">
            <w:pPr>
              <w:spacing w:before="0" w:after="0" w:line="240" w:lineRule="auto"/>
              <w:rPr>
                <w:rFonts w:eastAsia="Times New Roman" w:cs="Times New Roman"/>
                <w:sz w:val="20"/>
                <w:szCs w:val="20"/>
              </w:rPr>
            </w:pPr>
            <w:r>
              <w:rPr>
                <w:rFonts w:eastAsia="Times New Roman" w:cs="Times New Roman"/>
                <w:color w:val="000000"/>
                <w:sz w:val="20"/>
                <w:szCs w:val="20"/>
              </w:rPr>
              <w:t>0,001</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EF7A49" w14:textId="77777777" w:rsidR="00A53D2B" w:rsidRDefault="00A53D2B" w:rsidP="00A53D2B">
            <w:pPr>
              <w:spacing w:before="0" w:after="0" w:line="240" w:lineRule="auto"/>
              <w:rPr>
                <w:rFonts w:eastAsia="Times New Roman" w:cs="Times New Roman"/>
                <w:sz w:val="20"/>
                <w:szCs w:val="20"/>
              </w:rPr>
            </w:pPr>
            <w:r>
              <w:rPr>
                <w:rFonts w:eastAsia="Times New Roman" w:cs="Times New Roman"/>
                <w:color w:val="000000"/>
                <w:sz w:val="20"/>
                <w:szCs w:val="20"/>
              </w:rPr>
              <w:t>0,0003</w:t>
            </w:r>
          </w:p>
        </w:tc>
        <w:tc>
          <w:tcPr>
            <w:tcW w:w="1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33463E" w14:textId="77777777" w:rsidR="00A53D2B" w:rsidRDefault="00A53D2B" w:rsidP="00A53D2B">
            <w:pPr>
              <w:spacing w:before="0" w:after="0" w:line="240" w:lineRule="auto"/>
              <w:ind w:firstLine="76"/>
              <w:rPr>
                <w:rFonts w:eastAsia="Times New Roman" w:cs="Times New Roman"/>
                <w:sz w:val="20"/>
                <w:szCs w:val="20"/>
              </w:rPr>
            </w:pPr>
            <w:r>
              <w:rPr>
                <w:rFonts w:eastAsia="Times New Roman" w:cs="Times New Roman"/>
                <w:color w:val="000000"/>
                <w:sz w:val="20"/>
                <w:szCs w:val="20"/>
              </w:rPr>
              <w:t>0,00002</w:t>
            </w:r>
          </w:p>
        </w:tc>
      </w:tr>
      <w:tr w:rsidR="00A53D2B" w14:paraId="00B263E6" w14:textId="77777777" w:rsidTr="008B1BFC">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50B5CF"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2019</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5B7E78"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0,24</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0FAB3E" w14:textId="77777777" w:rsidR="00A53D2B" w:rsidRDefault="00A53D2B" w:rsidP="00A53D2B">
            <w:pPr>
              <w:spacing w:before="0" w:after="0" w:line="240" w:lineRule="auto"/>
              <w:ind w:firstLine="76"/>
              <w:rPr>
                <w:rFonts w:eastAsia="Times New Roman" w:cs="Times New Roman"/>
                <w:sz w:val="20"/>
                <w:szCs w:val="20"/>
              </w:rPr>
            </w:pPr>
            <w:r>
              <w:rPr>
                <w:rFonts w:eastAsia="Times New Roman" w:cs="Times New Roman"/>
                <w:color w:val="000000"/>
                <w:sz w:val="20"/>
                <w:szCs w:val="20"/>
              </w:rPr>
              <w:t>0,02</w:t>
            </w:r>
          </w:p>
        </w:tc>
        <w:tc>
          <w:tcPr>
            <w:tcW w:w="9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2947B6" w14:textId="77777777" w:rsidR="00A53D2B" w:rsidRDefault="00A53D2B" w:rsidP="00A53D2B">
            <w:pPr>
              <w:spacing w:before="0" w:after="0" w:line="240" w:lineRule="auto"/>
              <w:ind w:firstLine="39"/>
              <w:rPr>
                <w:rFonts w:eastAsia="Times New Roman" w:cs="Times New Roman"/>
                <w:sz w:val="20"/>
                <w:szCs w:val="20"/>
              </w:rPr>
            </w:pPr>
            <w:r>
              <w:rPr>
                <w:rFonts w:eastAsia="Times New Roman" w:cs="Times New Roman"/>
                <w:color w:val="000000"/>
                <w:sz w:val="20"/>
                <w:szCs w:val="20"/>
              </w:rPr>
              <w:t>0,003</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B0D0F4" w14:textId="77777777" w:rsidR="00A53D2B" w:rsidRDefault="00A53D2B" w:rsidP="00A53D2B">
            <w:pPr>
              <w:spacing w:before="0" w:after="0" w:line="240" w:lineRule="auto"/>
              <w:rPr>
                <w:rFonts w:eastAsia="Times New Roman" w:cs="Times New Roman"/>
                <w:sz w:val="20"/>
                <w:szCs w:val="20"/>
              </w:rPr>
            </w:pPr>
            <w:r>
              <w:rPr>
                <w:rFonts w:eastAsia="Times New Roman" w:cs="Times New Roman"/>
                <w:color w:val="000000"/>
                <w:sz w:val="20"/>
                <w:szCs w:val="20"/>
              </w:rPr>
              <w:t>0,001</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4D178D" w14:textId="77777777" w:rsidR="00A53D2B" w:rsidRDefault="00A53D2B" w:rsidP="00A53D2B">
            <w:pPr>
              <w:spacing w:before="0" w:after="0" w:line="240" w:lineRule="auto"/>
              <w:rPr>
                <w:rFonts w:eastAsia="Times New Roman" w:cs="Times New Roman"/>
                <w:sz w:val="20"/>
                <w:szCs w:val="20"/>
              </w:rPr>
            </w:pPr>
            <w:r>
              <w:rPr>
                <w:rFonts w:eastAsia="Times New Roman" w:cs="Times New Roman"/>
                <w:color w:val="000000"/>
                <w:sz w:val="20"/>
                <w:szCs w:val="20"/>
              </w:rPr>
              <w:t>0,0004</w:t>
            </w:r>
          </w:p>
        </w:tc>
        <w:tc>
          <w:tcPr>
            <w:tcW w:w="1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8D6041" w14:textId="77777777" w:rsidR="00A53D2B" w:rsidRDefault="00A53D2B" w:rsidP="00A53D2B">
            <w:pPr>
              <w:spacing w:before="0" w:after="0" w:line="240" w:lineRule="auto"/>
              <w:ind w:firstLine="76"/>
              <w:rPr>
                <w:rFonts w:eastAsia="Times New Roman" w:cs="Times New Roman"/>
                <w:sz w:val="20"/>
                <w:szCs w:val="20"/>
              </w:rPr>
            </w:pPr>
            <w:r>
              <w:rPr>
                <w:rFonts w:eastAsia="Times New Roman" w:cs="Times New Roman"/>
                <w:color w:val="000000"/>
                <w:sz w:val="20"/>
                <w:szCs w:val="20"/>
              </w:rPr>
              <w:t>0,00001</w:t>
            </w:r>
          </w:p>
        </w:tc>
      </w:tr>
      <w:tr w:rsidR="00A53D2B" w14:paraId="74CD77D4" w14:textId="77777777" w:rsidTr="008B1BFC">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AF3091"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2020</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E7057E"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0,22</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CA7768" w14:textId="77777777" w:rsidR="00A53D2B" w:rsidRDefault="00A53D2B" w:rsidP="00A53D2B">
            <w:pPr>
              <w:spacing w:before="0" w:after="0" w:line="240" w:lineRule="auto"/>
              <w:ind w:firstLine="76"/>
              <w:rPr>
                <w:rFonts w:eastAsia="Times New Roman" w:cs="Times New Roman"/>
                <w:sz w:val="20"/>
                <w:szCs w:val="20"/>
              </w:rPr>
            </w:pPr>
            <w:r>
              <w:rPr>
                <w:rFonts w:eastAsia="Times New Roman" w:cs="Times New Roman"/>
                <w:color w:val="000000"/>
                <w:sz w:val="20"/>
                <w:szCs w:val="20"/>
              </w:rPr>
              <w:t>0,09</w:t>
            </w:r>
          </w:p>
        </w:tc>
        <w:tc>
          <w:tcPr>
            <w:tcW w:w="9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53B94E" w14:textId="77777777" w:rsidR="00A53D2B" w:rsidRDefault="00A53D2B" w:rsidP="00A53D2B">
            <w:pPr>
              <w:spacing w:before="0" w:after="0" w:line="240" w:lineRule="auto"/>
              <w:ind w:firstLine="39"/>
              <w:rPr>
                <w:rFonts w:eastAsia="Times New Roman" w:cs="Times New Roman"/>
                <w:sz w:val="20"/>
                <w:szCs w:val="20"/>
              </w:rPr>
            </w:pPr>
            <w:r>
              <w:rPr>
                <w:rFonts w:eastAsia="Times New Roman" w:cs="Times New Roman"/>
                <w:color w:val="000000"/>
                <w:sz w:val="20"/>
                <w:szCs w:val="20"/>
              </w:rPr>
              <w:t>0,005</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F8CE16" w14:textId="77777777" w:rsidR="00A53D2B" w:rsidRDefault="00A53D2B" w:rsidP="00A53D2B">
            <w:pPr>
              <w:spacing w:before="0" w:after="0" w:line="240" w:lineRule="auto"/>
              <w:rPr>
                <w:rFonts w:eastAsia="Times New Roman" w:cs="Times New Roman"/>
                <w:sz w:val="20"/>
                <w:szCs w:val="20"/>
              </w:rPr>
            </w:pPr>
            <w:r>
              <w:rPr>
                <w:rFonts w:eastAsia="Times New Roman" w:cs="Times New Roman"/>
                <w:color w:val="000000"/>
                <w:sz w:val="20"/>
                <w:szCs w:val="20"/>
              </w:rPr>
              <w:t>0,001</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06F949" w14:textId="77777777" w:rsidR="00A53D2B" w:rsidRDefault="00A53D2B" w:rsidP="00A53D2B">
            <w:pPr>
              <w:spacing w:before="0" w:after="0" w:line="240" w:lineRule="auto"/>
              <w:rPr>
                <w:rFonts w:eastAsia="Times New Roman" w:cs="Times New Roman"/>
                <w:sz w:val="20"/>
                <w:szCs w:val="20"/>
              </w:rPr>
            </w:pPr>
            <w:r>
              <w:rPr>
                <w:rFonts w:eastAsia="Times New Roman" w:cs="Times New Roman"/>
                <w:color w:val="000000"/>
                <w:sz w:val="20"/>
                <w:szCs w:val="20"/>
              </w:rPr>
              <w:t>0,0004</w:t>
            </w:r>
          </w:p>
        </w:tc>
        <w:tc>
          <w:tcPr>
            <w:tcW w:w="1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963073" w14:textId="77777777" w:rsidR="00A53D2B" w:rsidRDefault="00A53D2B" w:rsidP="00A53D2B">
            <w:pPr>
              <w:spacing w:before="0" w:after="0" w:line="240" w:lineRule="auto"/>
              <w:ind w:firstLine="76"/>
              <w:rPr>
                <w:rFonts w:eastAsia="Times New Roman" w:cs="Times New Roman"/>
                <w:sz w:val="20"/>
                <w:szCs w:val="20"/>
              </w:rPr>
            </w:pPr>
            <w:r>
              <w:rPr>
                <w:rFonts w:eastAsia="Times New Roman" w:cs="Times New Roman"/>
                <w:color w:val="000000"/>
                <w:sz w:val="20"/>
                <w:szCs w:val="20"/>
              </w:rPr>
              <w:t>0,00001</w:t>
            </w:r>
          </w:p>
        </w:tc>
      </w:tr>
      <w:tr w:rsidR="00A53D2B" w14:paraId="555B7273" w14:textId="77777777" w:rsidTr="008B1BFC">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7AE7DF"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2021</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1E0032" w14:textId="77777777" w:rsidR="00A53D2B" w:rsidRDefault="00A53D2B" w:rsidP="00A53D2B">
            <w:pPr>
              <w:spacing w:before="0" w:after="0" w:line="240" w:lineRule="auto"/>
              <w:ind w:firstLine="0"/>
              <w:rPr>
                <w:rFonts w:eastAsia="Times New Roman" w:cs="Times New Roman"/>
                <w:sz w:val="20"/>
                <w:szCs w:val="20"/>
              </w:rPr>
            </w:pPr>
            <w:r>
              <w:rPr>
                <w:rFonts w:eastAsia="Times New Roman" w:cs="Times New Roman"/>
                <w:color w:val="000000"/>
                <w:sz w:val="20"/>
                <w:szCs w:val="20"/>
              </w:rPr>
              <w:t>0,22</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FA621E" w14:textId="77777777" w:rsidR="00A53D2B" w:rsidRDefault="00A53D2B" w:rsidP="00A53D2B">
            <w:pPr>
              <w:spacing w:before="0" w:after="0" w:line="240" w:lineRule="auto"/>
              <w:ind w:firstLine="76"/>
              <w:rPr>
                <w:rFonts w:eastAsia="Times New Roman" w:cs="Times New Roman"/>
                <w:sz w:val="20"/>
                <w:szCs w:val="20"/>
              </w:rPr>
            </w:pPr>
            <w:r>
              <w:rPr>
                <w:rFonts w:eastAsia="Times New Roman" w:cs="Times New Roman"/>
                <w:color w:val="000000"/>
                <w:sz w:val="20"/>
                <w:szCs w:val="20"/>
              </w:rPr>
              <w:t>0,08</w:t>
            </w:r>
          </w:p>
        </w:tc>
        <w:tc>
          <w:tcPr>
            <w:tcW w:w="9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92FE94" w14:textId="77777777" w:rsidR="00A53D2B" w:rsidRDefault="00A53D2B" w:rsidP="00A53D2B">
            <w:pPr>
              <w:spacing w:before="0" w:after="0" w:line="240" w:lineRule="auto"/>
              <w:ind w:firstLine="39"/>
              <w:rPr>
                <w:rFonts w:eastAsia="Times New Roman" w:cs="Times New Roman"/>
                <w:sz w:val="20"/>
                <w:szCs w:val="20"/>
              </w:rPr>
            </w:pPr>
            <w:r>
              <w:rPr>
                <w:rFonts w:eastAsia="Times New Roman" w:cs="Times New Roman"/>
                <w:color w:val="000000"/>
                <w:sz w:val="20"/>
                <w:szCs w:val="20"/>
              </w:rPr>
              <w:t>0,004</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3D39E6" w14:textId="77777777" w:rsidR="00A53D2B" w:rsidRDefault="00A53D2B" w:rsidP="00A53D2B">
            <w:pPr>
              <w:spacing w:before="0" w:after="0" w:line="240" w:lineRule="auto"/>
              <w:rPr>
                <w:rFonts w:eastAsia="Times New Roman" w:cs="Times New Roman"/>
                <w:sz w:val="20"/>
                <w:szCs w:val="20"/>
              </w:rPr>
            </w:pPr>
            <w:r>
              <w:rPr>
                <w:rFonts w:eastAsia="Times New Roman" w:cs="Times New Roman"/>
                <w:color w:val="000000"/>
                <w:sz w:val="20"/>
                <w:szCs w:val="20"/>
              </w:rPr>
              <w:t>0,002</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E306FD" w14:textId="77777777" w:rsidR="00A53D2B" w:rsidRDefault="00A53D2B" w:rsidP="00A53D2B">
            <w:pPr>
              <w:spacing w:before="0" w:after="0" w:line="240" w:lineRule="auto"/>
              <w:rPr>
                <w:rFonts w:eastAsia="Times New Roman" w:cs="Times New Roman"/>
                <w:sz w:val="20"/>
                <w:szCs w:val="20"/>
              </w:rPr>
            </w:pPr>
            <w:r>
              <w:rPr>
                <w:rFonts w:eastAsia="Times New Roman" w:cs="Times New Roman"/>
                <w:color w:val="000000"/>
                <w:sz w:val="20"/>
                <w:szCs w:val="20"/>
              </w:rPr>
              <w:t>0,0005</w:t>
            </w:r>
          </w:p>
        </w:tc>
        <w:tc>
          <w:tcPr>
            <w:tcW w:w="12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902155" w14:textId="77777777" w:rsidR="00A53D2B" w:rsidRDefault="00A53D2B" w:rsidP="00A53D2B">
            <w:pPr>
              <w:spacing w:before="0" w:after="0" w:line="240" w:lineRule="auto"/>
              <w:ind w:firstLine="76"/>
              <w:rPr>
                <w:rFonts w:eastAsia="Times New Roman" w:cs="Times New Roman"/>
                <w:sz w:val="20"/>
                <w:szCs w:val="20"/>
              </w:rPr>
            </w:pPr>
            <w:r>
              <w:rPr>
                <w:rFonts w:eastAsia="Times New Roman" w:cs="Times New Roman"/>
                <w:color w:val="000000"/>
                <w:sz w:val="20"/>
                <w:szCs w:val="20"/>
              </w:rPr>
              <w:t>0,00005</w:t>
            </w:r>
          </w:p>
        </w:tc>
      </w:tr>
    </w:tbl>
    <w:p w14:paraId="304284F0" w14:textId="77777777" w:rsidR="00A53D2B" w:rsidRDefault="00A53D2B" w:rsidP="00A53D2B">
      <w:pPr>
        <w:spacing w:before="0" w:after="0"/>
      </w:pPr>
    </w:p>
    <w:p w14:paraId="02F2B8E4" w14:textId="12AC7B54" w:rsidR="00A53D2B" w:rsidRDefault="00A53D2B" w:rsidP="00A53D2B">
      <w:pPr>
        <w:spacing w:after="0" w:line="240" w:lineRule="auto"/>
        <w:jc w:val="center"/>
        <w:rPr>
          <w:rFonts w:eastAsia="Times New Roman" w:cs="Times New Roman"/>
        </w:rPr>
      </w:pPr>
      <w:bookmarkStart w:id="125" w:name="_heading=h.111kx3o" w:colFirst="0" w:colLast="0"/>
      <w:bookmarkEnd w:id="125"/>
      <w:r>
        <w:rPr>
          <w:rFonts w:eastAsia="Times New Roman" w:cs="Times New Roman"/>
          <w:b/>
          <w:color w:val="000000"/>
        </w:rPr>
        <w:t>Tabel 2.5.2.4 Emisii de substanțe sintetice și nesintetice (tone/an) din stația de epurare urbană Constanța Nord (</w:t>
      </w:r>
      <w:r>
        <w:rPr>
          <w:rFonts w:eastAsia="Times New Roman" w:cs="Times New Roman"/>
          <w:b/>
          <w:i/>
          <w:color w:val="000000"/>
        </w:rPr>
        <w:t>sursa: Administrația Națională Apele Române, 2023</w:t>
      </w:r>
      <w:r>
        <w:rPr>
          <w:rFonts w:eastAsia="Times New Roman" w:cs="Times New Roman"/>
          <w:b/>
          <w:color w:val="000000"/>
        </w:rPr>
        <w:t>)</w:t>
      </w:r>
    </w:p>
    <w:tbl>
      <w:tblPr>
        <w:tblW w:w="9006" w:type="dxa"/>
        <w:tblLayout w:type="fixed"/>
        <w:tblLook w:val="0400" w:firstRow="0" w:lastRow="0" w:firstColumn="0" w:lastColumn="0" w:noHBand="0" w:noVBand="1"/>
      </w:tblPr>
      <w:tblGrid>
        <w:gridCol w:w="600"/>
        <w:gridCol w:w="1343"/>
        <w:gridCol w:w="1314"/>
        <w:gridCol w:w="1281"/>
        <w:gridCol w:w="1706"/>
        <w:gridCol w:w="1531"/>
        <w:gridCol w:w="1231"/>
      </w:tblGrid>
      <w:tr w:rsidR="00A53D2B" w14:paraId="37A38B28" w14:textId="77777777" w:rsidTr="008B1BFC">
        <w:trPr>
          <w:trHeight w:val="369"/>
        </w:trPr>
        <w:tc>
          <w:tcPr>
            <w:tcW w:w="60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ABC42B"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An</w:t>
            </w:r>
          </w:p>
        </w:tc>
        <w:tc>
          <w:tcPr>
            <w:tcW w:w="3938"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916816" w14:textId="77777777" w:rsidR="00A53D2B" w:rsidRDefault="00A53D2B" w:rsidP="008B1BFC">
            <w:pPr>
              <w:spacing w:before="0" w:after="0" w:line="240" w:lineRule="auto"/>
              <w:jc w:val="center"/>
              <w:rPr>
                <w:rFonts w:eastAsia="Times New Roman" w:cs="Times New Roman"/>
                <w:sz w:val="20"/>
                <w:szCs w:val="20"/>
              </w:rPr>
            </w:pPr>
            <w:r>
              <w:rPr>
                <w:rFonts w:eastAsia="Times New Roman" w:cs="Times New Roman"/>
                <w:color w:val="000000"/>
                <w:sz w:val="20"/>
                <w:szCs w:val="20"/>
              </w:rPr>
              <w:t>Metale grele</w:t>
            </w:r>
          </w:p>
        </w:tc>
        <w:tc>
          <w:tcPr>
            <w:tcW w:w="1706"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52E2E5"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Hidrocarburi totale, tone/an </w:t>
            </w:r>
          </w:p>
        </w:tc>
        <w:tc>
          <w:tcPr>
            <w:tcW w:w="1531"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D728EE"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Detergenți tone/an</w:t>
            </w:r>
          </w:p>
        </w:tc>
        <w:tc>
          <w:tcPr>
            <w:tcW w:w="1231"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4A2614"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Fenoli tone/an</w:t>
            </w:r>
          </w:p>
        </w:tc>
      </w:tr>
      <w:tr w:rsidR="00A53D2B" w14:paraId="7FF73B48" w14:textId="77777777" w:rsidTr="008B1BFC">
        <w:trPr>
          <w:trHeight w:val="349"/>
        </w:trPr>
        <w:tc>
          <w:tcPr>
            <w:tcW w:w="60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1E58B9" w14:textId="77777777" w:rsidR="00A53D2B" w:rsidRDefault="00A53D2B" w:rsidP="008B1BFC">
            <w:pPr>
              <w:widowControl w:val="0"/>
              <w:pBdr>
                <w:top w:val="nil"/>
                <w:left w:val="nil"/>
                <w:bottom w:val="nil"/>
                <w:right w:val="nil"/>
                <w:between w:val="nil"/>
              </w:pBdr>
              <w:spacing w:before="0" w:after="0"/>
              <w:rPr>
                <w:rFonts w:eastAsia="Times New Roman" w:cs="Times New Roman"/>
                <w:sz w:val="20"/>
                <w:szCs w:val="20"/>
              </w:rPr>
            </w:pPr>
          </w:p>
        </w:tc>
        <w:tc>
          <w:tcPr>
            <w:tcW w:w="13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3E753E"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Zn total, tone/an</w:t>
            </w:r>
          </w:p>
        </w:tc>
        <w:tc>
          <w:tcPr>
            <w:tcW w:w="13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24A2A9" w14:textId="77777777" w:rsidR="00A53D2B" w:rsidRDefault="00A53D2B" w:rsidP="008B1BFC">
            <w:pPr>
              <w:spacing w:before="0" w:after="0" w:line="240" w:lineRule="auto"/>
              <w:ind w:firstLine="74"/>
              <w:rPr>
                <w:rFonts w:eastAsia="Times New Roman" w:cs="Times New Roman"/>
                <w:sz w:val="20"/>
                <w:szCs w:val="20"/>
              </w:rPr>
            </w:pPr>
            <w:r>
              <w:rPr>
                <w:rFonts w:eastAsia="Times New Roman" w:cs="Times New Roman"/>
                <w:color w:val="000000"/>
                <w:sz w:val="20"/>
                <w:szCs w:val="20"/>
              </w:rPr>
              <w:t>Cu total tone/an</w:t>
            </w:r>
          </w:p>
        </w:tc>
        <w:tc>
          <w:tcPr>
            <w:tcW w:w="12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81371C" w14:textId="77777777" w:rsidR="00A53D2B" w:rsidRDefault="00A53D2B" w:rsidP="008B1BFC">
            <w:pPr>
              <w:spacing w:before="0" w:after="0" w:line="240" w:lineRule="auto"/>
              <w:ind w:firstLine="35"/>
              <w:rPr>
                <w:rFonts w:eastAsia="Times New Roman" w:cs="Times New Roman"/>
                <w:sz w:val="20"/>
                <w:szCs w:val="20"/>
              </w:rPr>
            </w:pPr>
            <w:r>
              <w:rPr>
                <w:rFonts w:eastAsia="Times New Roman" w:cs="Times New Roman"/>
                <w:color w:val="000000"/>
                <w:sz w:val="20"/>
                <w:szCs w:val="20"/>
              </w:rPr>
              <w:t>Cr total</w:t>
            </w:r>
          </w:p>
          <w:p w14:paraId="7A2C27FA" w14:textId="77777777" w:rsidR="00A53D2B" w:rsidRDefault="00A53D2B" w:rsidP="008B1BFC">
            <w:pPr>
              <w:spacing w:before="0" w:after="0" w:line="240" w:lineRule="auto"/>
              <w:ind w:firstLine="35"/>
              <w:rPr>
                <w:rFonts w:eastAsia="Times New Roman" w:cs="Times New Roman"/>
                <w:sz w:val="20"/>
                <w:szCs w:val="20"/>
              </w:rPr>
            </w:pPr>
            <w:r>
              <w:rPr>
                <w:rFonts w:eastAsia="Times New Roman" w:cs="Times New Roman"/>
                <w:color w:val="000000"/>
                <w:sz w:val="20"/>
                <w:szCs w:val="20"/>
              </w:rPr>
              <w:t>tone/an</w:t>
            </w:r>
          </w:p>
        </w:tc>
        <w:tc>
          <w:tcPr>
            <w:tcW w:w="1706"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0696DD" w14:textId="77777777" w:rsidR="00A53D2B" w:rsidRDefault="00A53D2B" w:rsidP="008B1BFC">
            <w:pPr>
              <w:widowControl w:val="0"/>
              <w:pBdr>
                <w:top w:val="nil"/>
                <w:left w:val="nil"/>
                <w:bottom w:val="nil"/>
                <w:right w:val="nil"/>
                <w:between w:val="nil"/>
              </w:pBdr>
              <w:spacing w:before="0" w:after="0"/>
              <w:rPr>
                <w:rFonts w:eastAsia="Times New Roman" w:cs="Times New Roman"/>
                <w:sz w:val="20"/>
                <w:szCs w:val="20"/>
              </w:rPr>
            </w:pPr>
          </w:p>
        </w:tc>
        <w:tc>
          <w:tcPr>
            <w:tcW w:w="1531"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D64546" w14:textId="77777777" w:rsidR="00A53D2B" w:rsidRDefault="00A53D2B" w:rsidP="008B1BFC">
            <w:pPr>
              <w:widowControl w:val="0"/>
              <w:pBdr>
                <w:top w:val="nil"/>
                <w:left w:val="nil"/>
                <w:bottom w:val="nil"/>
                <w:right w:val="nil"/>
                <w:between w:val="nil"/>
              </w:pBdr>
              <w:spacing w:before="0" w:after="0"/>
              <w:rPr>
                <w:rFonts w:eastAsia="Times New Roman" w:cs="Times New Roman"/>
                <w:sz w:val="20"/>
                <w:szCs w:val="20"/>
              </w:rPr>
            </w:pPr>
          </w:p>
        </w:tc>
        <w:tc>
          <w:tcPr>
            <w:tcW w:w="1231"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2C4F9E" w14:textId="77777777" w:rsidR="00A53D2B" w:rsidRDefault="00A53D2B" w:rsidP="008B1BFC">
            <w:pPr>
              <w:widowControl w:val="0"/>
              <w:pBdr>
                <w:top w:val="nil"/>
                <w:left w:val="nil"/>
                <w:bottom w:val="nil"/>
                <w:right w:val="nil"/>
                <w:between w:val="nil"/>
              </w:pBdr>
              <w:spacing w:before="0" w:after="0"/>
              <w:rPr>
                <w:rFonts w:eastAsia="Times New Roman" w:cs="Times New Roman"/>
                <w:sz w:val="20"/>
                <w:szCs w:val="20"/>
              </w:rPr>
            </w:pPr>
          </w:p>
        </w:tc>
      </w:tr>
      <w:tr w:rsidR="00A53D2B" w14:paraId="51E5DEA7" w14:textId="77777777" w:rsidTr="008B1BFC">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AA4605"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2015</w:t>
            </w:r>
          </w:p>
        </w:tc>
        <w:tc>
          <w:tcPr>
            <w:tcW w:w="13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4D1A3E"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0,69</w:t>
            </w:r>
          </w:p>
        </w:tc>
        <w:tc>
          <w:tcPr>
            <w:tcW w:w="13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F469A2" w14:textId="77777777" w:rsidR="00A53D2B" w:rsidRDefault="00A53D2B" w:rsidP="008B1BFC">
            <w:pPr>
              <w:spacing w:before="0" w:after="0" w:line="240" w:lineRule="auto"/>
              <w:ind w:firstLine="74"/>
              <w:rPr>
                <w:rFonts w:eastAsia="Times New Roman" w:cs="Times New Roman"/>
                <w:sz w:val="20"/>
                <w:szCs w:val="20"/>
              </w:rPr>
            </w:pPr>
            <w:r>
              <w:rPr>
                <w:rFonts w:eastAsia="Times New Roman" w:cs="Times New Roman"/>
                <w:color w:val="000000"/>
                <w:sz w:val="20"/>
                <w:szCs w:val="20"/>
              </w:rPr>
              <w:t>0,05</w:t>
            </w:r>
          </w:p>
        </w:tc>
        <w:tc>
          <w:tcPr>
            <w:tcW w:w="12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852CAB" w14:textId="77777777" w:rsidR="00A53D2B" w:rsidRDefault="00A53D2B" w:rsidP="008B1BFC">
            <w:pPr>
              <w:spacing w:before="0" w:after="0" w:line="240" w:lineRule="auto"/>
              <w:ind w:firstLine="35"/>
              <w:rPr>
                <w:rFonts w:eastAsia="Times New Roman" w:cs="Times New Roman"/>
                <w:sz w:val="20"/>
                <w:szCs w:val="20"/>
              </w:rPr>
            </w:pPr>
            <w:r>
              <w:rPr>
                <w:rFonts w:eastAsia="Times New Roman" w:cs="Times New Roman"/>
                <w:color w:val="000000"/>
                <w:sz w:val="20"/>
                <w:szCs w:val="20"/>
              </w:rPr>
              <w:t>0,02</w:t>
            </w:r>
          </w:p>
        </w:tc>
        <w:tc>
          <w:tcPr>
            <w:tcW w:w="17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0F5FA9"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0,003</w:t>
            </w:r>
          </w:p>
        </w:tc>
        <w:tc>
          <w:tcPr>
            <w:tcW w:w="15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D5D887"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0,0006</w:t>
            </w:r>
          </w:p>
        </w:tc>
        <w:tc>
          <w:tcPr>
            <w:tcW w:w="12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E081F1" w14:textId="77777777" w:rsidR="00A53D2B" w:rsidRDefault="00A53D2B" w:rsidP="008B1BFC">
            <w:pPr>
              <w:spacing w:before="0" w:after="0" w:line="240" w:lineRule="auto"/>
              <w:ind w:firstLine="53"/>
              <w:rPr>
                <w:rFonts w:eastAsia="Times New Roman" w:cs="Times New Roman"/>
                <w:sz w:val="20"/>
                <w:szCs w:val="20"/>
              </w:rPr>
            </w:pPr>
            <w:r>
              <w:rPr>
                <w:rFonts w:eastAsia="Times New Roman" w:cs="Times New Roman"/>
                <w:color w:val="000000"/>
                <w:sz w:val="20"/>
                <w:szCs w:val="20"/>
              </w:rPr>
              <w:t>0,00009</w:t>
            </w:r>
          </w:p>
        </w:tc>
      </w:tr>
      <w:tr w:rsidR="00A53D2B" w14:paraId="6EA9D7D5" w14:textId="77777777" w:rsidTr="008B1BFC">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9BA047"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2016</w:t>
            </w:r>
          </w:p>
        </w:tc>
        <w:tc>
          <w:tcPr>
            <w:tcW w:w="13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60CE69"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0,29</w:t>
            </w:r>
          </w:p>
        </w:tc>
        <w:tc>
          <w:tcPr>
            <w:tcW w:w="13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DB6D7B" w14:textId="77777777" w:rsidR="00A53D2B" w:rsidRDefault="00A53D2B" w:rsidP="008B1BFC">
            <w:pPr>
              <w:spacing w:before="0" w:after="0" w:line="240" w:lineRule="auto"/>
              <w:ind w:firstLine="74"/>
              <w:rPr>
                <w:rFonts w:eastAsia="Times New Roman" w:cs="Times New Roman"/>
                <w:sz w:val="20"/>
                <w:szCs w:val="20"/>
              </w:rPr>
            </w:pPr>
            <w:r>
              <w:rPr>
                <w:rFonts w:eastAsia="Times New Roman" w:cs="Times New Roman"/>
                <w:color w:val="000000"/>
                <w:sz w:val="20"/>
                <w:szCs w:val="20"/>
              </w:rPr>
              <w:t>0,02</w:t>
            </w:r>
          </w:p>
        </w:tc>
        <w:tc>
          <w:tcPr>
            <w:tcW w:w="12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03F1A2" w14:textId="77777777" w:rsidR="00A53D2B" w:rsidRDefault="00A53D2B" w:rsidP="008B1BFC">
            <w:pPr>
              <w:spacing w:before="0" w:after="0" w:line="240" w:lineRule="auto"/>
              <w:ind w:firstLine="35"/>
              <w:rPr>
                <w:rFonts w:eastAsia="Times New Roman" w:cs="Times New Roman"/>
                <w:sz w:val="20"/>
                <w:szCs w:val="20"/>
              </w:rPr>
            </w:pPr>
            <w:r>
              <w:rPr>
                <w:rFonts w:eastAsia="Times New Roman" w:cs="Times New Roman"/>
                <w:color w:val="000000"/>
                <w:sz w:val="20"/>
                <w:szCs w:val="20"/>
              </w:rPr>
              <w:t>0,06</w:t>
            </w:r>
          </w:p>
        </w:tc>
        <w:tc>
          <w:tcPr>
            <w:tcW w:w="17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59A7B2"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0,006</w:t>
            </w:r>
          </w:p>
        </w:tc>
        <w:tc>
          <w:tcPr>
            <w:tcW w:w="15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833B51"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0,006</w:t>
            </w:r>
          </w:p>
        </w:tc>
        <w:tc>
          <w:tcPr>
            <w:tcW w:w="12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878298" w14:textId="77777777" w:rsidR="00A53D2B" w:rsidRDefault="00A53D2B" w:rsidP="008B1BFC">
            <w:pPr>
              <w:spacing w:before="0" w:after="0" w:line="240" w:lineRule="auto"/>
              <w:ind w:firstLine="53"/>
              <w:rPr>
                <w:rFonts w:eastAsia="Times New Roman" w:cs="Times New Roman"/>
                <w:sz w:val="20"/>
                <w:szCs w:val="20"/>
              </w:rPr>
            </w:pPr>
            <w:r>
              <w:rPr>
                <w:rFonts w:eastAsia="Times New Roman" w:cs="Times New Roman"/>
                <w:color w:val="000000"/>
                <w:sz w:val="20"/>
                <w:szCs w:val="20"/>
              </w:rPr>
              <w:t>0,00005</w:t>
            </w:r>
          </w:p>
        </w:tc>
      </w:tr>
      <w:tr w:rsidR="00A53D2B" w14:paraId="346357B5" w14:textId="77777777" w:rsidTr="008B1BFC">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CA05B0"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2017</w:t>
            </w:r>
          </w:p>
        </w:tc>
        <w:tc>
          <w:tcPr>
            <w:tcW w:w="13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48D56D"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0,48</w:t>
            </w:r>
          </w:p>
        </w:tc>
        <w:tc>
          <w:tcPr>
            <w:tcW w:w="13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30A20B" w14:textId="77777777" w:rsidR="00A53D2B" w:rsidRDefault="00A53D2B" w:rsidP="008B1BFC">
            <w:pPr>
              <w:spacing w:before="0" w:after="0" w:line="240" w:lineRule="auto"/>
              <w:ind w:firstLine="74"/>
              <w:rPr>
                <w:rFonts w:eastAsia="Times New Roman" w:cs="Times New Roman"/>
                <w:sz w:val="20"/>
                <w:szCs w:val="20"/>
              </w:rPr>
            </w:pPr>
            <w:r>
              <w:rPr>
                <w:rFonts w:eastAsia="Times New Roman" w:cs="Times New Roman"/>
                <w:color w:val="000000"/>
                <w:sz w:val="20"/>
                <w:szCs w:val="20"/>
              </w:rPr>
              <w:t>0,09</w:t>
            </w:r>
          </w:p>
        </w:tc>
        <w:tc>
          <w:tcPr>
            <w:tcW w:w="12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C56BF7" w14:textId="77777777" w:rsidR="00A53D2B" w:rsidRDefault="00A53D2B" w:rsidP="008B1BFC">
            <w:pPr>
              <w:spacing w:before="0" w:after="0" w:line="240" w:lineRule="auto"/>
              <w:ind w:firstLine="35"/>
              <w:rPr>
                <w:rFonts w:eastAsia="Times New Roman" w:cs="Times New Roman"/>
                <w:sz w:val="20"/>
                <w:szCs w:val="20"/>
              </w:rPr>
            </w:pPr>
            <w:r>
              <w:rPr>
                <w:rFonts w:eastAsia="Times New Roman" w:cs="Times New Roman"/>
                <w:color w:val="000000"/>
                <w:sz w:val="20"/>
                <w:szCs w:val="20"/>
              </w:rPr>
              <w:t>0,02</w:t>
            </w:r>
          </w:p>
        </w:tc>
        <w:tc>
          <w:tcPr>
            <w:tcW w:w="17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CBD91F"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0,005</w:t>
            </w:r>
          </w:p>
        </w:tc>
        <w:tc>
          <w:tcPr>
            <w:tcW w:w="15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552D71"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0,0009</w:t>
            </w:r>
          </w:p>
        </w:tc>
        <w:tc>
          <w:tcPr>
            <w:tcW w:w="12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BCFDD9" w14:textId="77777777" w:rsidR="00A53D2B" w:rsidRDefault="00A53D2B" w:rsidP="008B1BFC">
            <w:pPr>
              <w:spacing w:before="0" w:after="0" w:line="240" w:lineRule="auto"/>
              <w:ind w:firstLine="53"/>
              <w:rPr>
                <w:rFonts w:eastAsia="Times New Roman" w:cs="Times New Roman"/>
                <w:sz w:val="20"/>
                <w:szCs w:val="20"/>
              </w:rPr>
            </w:pPr>
            <w:r>
              <w:rPr>
                <w:rFonts w:eastAsia="Times New Roman" w:cs="Times New Roman"/>
                <w:color w:val="000000"/>
                <w:sz w:val="20"/>
                <w:szCs w:val="20"/>
              </w:rPr>
              <w:t>0,00006</w:t>
            </w:r>
          </w:p>
        </w:tc>
      </w:tr>
      <w:tr w:rsidR="00A53D2B" w14:paraId="0C77BD55" w14:textId="77777777" w:rsidTr="008B1BFC">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28878E"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2018</w:t>
            </w:r>
          </w:p>
        </w:tc>
        <w:tc>
          <w:tcPr>
            <w:tcW w:w="13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E53365"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0,71</w:t>
            </w:r>
          </w:p>
        </w:tc>
        <w:tc>
          <w:tcPr>
            <w:tcW w:w="13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F1773E" w14:textId="77777777" w:rsidR="00A53D2B" w:rsidRDefault="00A53D2B" w:rsidP="008B1BFC">
            <w:pPr>
              <w:spacing w:before="0" w:after="0" w:line="240" w:lineRule="auto"/>
              <w:ind w:firstLine="74"/>
              <w:rPr>
                <w:rFonts w:eastAsia="Times New Roman" w:cs="Times New Roman"/>
                <w:sz w:val="20"/>
                <w:szCs w:val="20"/>
              </w:rPr>
            </w:pPr>
            <w:r>
              <w:rPr>
                <w:rFonts w:eastAsia="Times New Roman" w:cs="Times New Roman"/>
                <w:color w:val="000000"/>
                <w:sz w:val="20"/>
                <w:szCs w:val="20"/>
              </w:rPr>
              <w:t>0,11</w:t>
            </w:r>
          </w:p>
        </w:tc>
        <w:tc>
          <w:tcPr>
            <w:tcW w:w="12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785F49" w14:textId="77777777" w:rsidR="00A53D2B" w:rsidRDefault="00A53D2B" w:rsidP="008B1BFC">
            <w:pPr>
              <w:spacing w:before="0" w:after="0" w:line="240" w:lineRule="auto"/>
              <w:ind w:firstLine="35"/>
              <w:rPr>
                <w:rFonts w:eastAsia="Times New Roman" w:cs="Times New Roman"/>
                <w:sz w:val="20"/>
                <w:szCs w:val="20"/>
              </w:rPr>
            </w:pPr>
            <w:r>
              <w:rPr>
                <w:rFonts w:eastAsia="Times New Roman" w:cs="Times New Roman"/>
                <w:color w:val="000000"/>
                <w:sz w:val="20"/>
                <w:szCs w:val="20"/>
              </w:rPr>
              <w:t>0,02</w:t>
            </w:r>
          </w:p>
        </w:tc>
        <w:tc>
          <w:tcPr>
            <w:tcW w:w="17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EC6496"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0,004</w:t>
            </w:r>
          </w:p>
        </w:tc>
        <w:tc>
          <w:tcPr>
            <w:tcW w:w="15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DBAC00"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0,001</w:t>
            </w:r>
          </w:p>
        </w:tc>
        <w:tc>
          <w:tcPr>
            <w:tcW w:w="12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627036" w14:textId="77777777" w:rsidR="00A53D2B" w:rsidRDefault="00A53D2B" w:rsidP="008B1BFC">
            <w:pPr>
              <w:spacing w:before="0" w:after="0" w:line="240" w:lineRule="auto"/>
              <w:ind w:firstLine="53"/>
              <w:rPr>
                <w:rFonts w:eastAsia="Times New Roman" w:cs="Times New Roman"/>
                <w:sz w:val="20"/>
                <w:szCs w:val="20"/>
              </w:rPr>
            </w:pPr>
            <w:r>
              <w:rPr>
                <w:rFonts w:eastAsia="Times New Roman" w:cs="Times New Roman"/>
                <w:color w:val="000000"/>
                <w:sz w:val="20"/>
                <w:szCs w:val="20"/>
              </w:rPr>
              <w:t>0,00004</w:t>
            </w:r>
          </w:p>
        </w:tc>
      </w:tr>
      <w:tr w:rsidR="00A53D2B" w14:paraId="45B9C794" w14:textId="77777777" w:rsidTr="008B1BFC">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A72710"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2019</w:t>
            </w:r>
          </w:p>
        </w:tc>
        <w:tc>
          <w:tcPr>
            <w:tcW w:w="13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929210"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0,52</w:t>
            </w:r>
          </w:p>
        </w:tc>
        <w:tc>
          <w:tcPr>
            <w:tcW w:w="13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FA5650" w14:textId="77777777" w:rsidR="00A53D2B" w:rsidRDefault="00A53D2B" w:rsidP="008B1BFC">
            <w:pPr>
              <w:spacing w:before="0" w:after="0" w:line="240" w:lineRule="auto"/>
              <w:ind w:firstLine="74"/>
              <w:rPr>
                <w:rFonts w:eastAsia="Times New Roman" w:cs="Times New Roman"/>
                <w:sz w:val="20"/>
                <w:szCs w:val="20"/>
              </w:rPr>
            </w:pPr>
            <w:r>
              <w:rPr>
                <w:rFonts w:eastAsia="Times New Roman" w:cs="Times New Roman"/>
                <w:color w:val="000000"/>
                <w:sz w:val="20"/>
                <w:szCs w:val="20"/>
              </w:rPr>
              <w:t>0,10</w:t>
            </w:r>
          </w:p>
        </w:tc>
        <w:tc>
          <w:tcPr>
            <w:tcW w:w="12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CE277B" w14:textId="77777777" w:rsidR="00A53D2B" w:rsidRDefault="00A53D2B" w:rsidP="008B1BFC">
            <w:pPr>
              <w:spacing w:before="0" w:after="0" w:line="240" w:lineRule="auto"/>
              <w:ind w:firstLine="35"/>
              <w:rPr>
                <w:rFonts w:eastAsia="Times New Roman" w:cs="Times New Roman"/>
                <w:sz w:val="20"/>
                <w:szCs w:val="20"/>
              </w:rPr>
            </w:pPr>
            <w:r>
              <w:rPr>
                <w:rFonts w:eastAsia="Times New Roman" w:cs="Times New Roman"/>
                <w:color w:val="000000"/>
                <w:sz w:val="20"/>
                <w:szCs w:val="20"/>
              </w:rPr>
              <w:t>0,02</w:t>
            </w:r>
          </w:p>
        </w:tc>
        <w:tc>
          <w:tcPr>
            <w:tcW w:w="17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CD9384"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0,002</w:t>
            </w:r>
          </w:p>
        </w:tc>
        <w:tc>
          <w:tcPr>
            <w:tcW w:w="15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A11648"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0,002</w:t>
            </w:r>
          </w:p>
        </w:tc>
        <w:tc>
          <w:tcPr>
            <w:tcW w:w="12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E08E23" w14:textId="77777777" w:rsidR="00A53D2B" w:rsidRDefault="00A53D2B" w:rsidP="008B1BFC">
            <w:pPr>
              <w:spacing w:before="0" w:after="0" w:line="240" w:lineRule="auto"/>
              <w:ind w:firstLine="53"/>
              <w:rPr>
                <w:rFonts w:eastAsia="Times New Roman" w:cs="Times New Roman"/>
                <w:sz w:val="20"/>
                <w:szCs w:val="20"/>
              </w:rPr>
            </w:pPr>
            <w:r>
              <w:rPr>
                <w:rFonts w:eastAsia="Times New Roman" w:cs="Times New Roman"/>
                <w:color w:val="000000"/>
                <w:sz w:val="20"/>
                <w:szCs w:val="20"/>
              </w:rPr>
              <w:t>0,00005</w:t>
            </w:r>
          </w:p>
        </w:tc>
      </w:tr>
      <w:tr w:rsidR="00A53D2B" w14:paraId="48FFACB8" w14:textId="77777777" w:rsidTr="008B1BFC">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2A6411"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2020</w:t>
            </w:r>
          </w:p>
        </w:tc>
        <w:tc>
          <w:tcPr>
            <w:tcW w:w="13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4D97DA"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0,84</w:t>
            </w:r>
          </w:p>
        </w:tc>
        <w:tc>
          <w:tcPr>
            <w:tcW w:w="13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C7381A" w14:textId="77777777" w:rsidR="00A53D2B" w:rsidRDefault="00A53D2B" w:rsidP="008B1BFC">
            <w:pPr>
              <w:spacing w:before="0" w:after="0" w:line="240" w:lineRule="auto"/>
              <w:ind w:firstLine="74"/>
              <w:rPr>
                <w:rFonts w:eastAsia="Times New Roman" w:cs="Times New Roman"/>
                <w:sz w:val="20"/>
                <w:szCs w:val="20"/>
              </w:rPr>
            </w:pPr>
            <w:r>
              <w:rPr>
                <w:rFonts w:eastAsia="Times New Roman" w:cs="Times New Roman"/>
                <w:color w:val="000000"/>
                <w:sz w:val="20"/>
                <w:szCs w:val="20"/>
              </w:rPr>
              <w:t>0,20</w:t>
            </w:r>
          </w:p>
        </w:tc>
        <w:tc>
          <w:tcPr>
            <w:tcW w:w="12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C006DD" w14:textId="77777777" w:rsidR="00A53D2B" w:rsidRDefault="00A53D2B" w:rsidP="008B1BFC">
            <w:pPr>
              <w:spacing w:before="0" w:after="0" w:line="240" w:lineRule="auto"/>
              <w:ind w:firstLine="35"/>
              <w:rPr>
                <w:rFonts w:eastAsia="Times New Roman" w:cs="Times New Roman"/>
                <w:sz w:val="20"/>
                <w:szCs w:val="20"/>
              </w:rPr>
            </w:pPr>
            <w:r>
              <w:rPr>
                <w:rFonts w:eastAsia="Times New Roman" w:cs="Times New Roman"/>
                <w:color w:val="000000"/>
                <w:sz w:val="20"/>
                <w:szCs w:val="20"/>
              </w:rPr>
              <w:t>0,02</w:t>
            </w:r>
          </w:p>
        </w:tc>
        <w:tc>
          <w:tcPr>
            <w:tcW w:w="17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D43D89"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0,002</w:t>
            </w:r>
          </w:p>
        </w:tc>
        <w:tc>
          <w:tcPr>
            <w:tcW w:w="15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49B2D8"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0,001</w:t>
            </w:r>
          </w:p>
        </w:tc>
        <w:tc>
          <w:tcPr>
            <w:tcW w:w="12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5EEEE6" w14:textId="77777777" w:rsidR="00A53D2B" w:rsidRDefault="00A53D2B" w:rsidP="008B1BFC">
            <w:pPr>
              <w:spacing w:before="0" w:after="0" w:line="240" w:lineRule="auto"/>
              <w:ind w:firstLine="53"/>
              <w:rPr>
                <w:rFonts w:eastAsia="Times New Roman" w:cs="Times New Roman"/>
                <w:sz w:val="20"/>
                <w:szCs w:val="20"/>
              </w:rPr>
            </w:pPr>
            <w:r>
              <w:rPr>
                <w:rFonts w:eastAsia="Times New Roman" w:cs="Times New Roman"/>
                <w:color w:val="000000"/>
                <w:sz w:val="20"/>
                <w:szCs w:val="20"/>
              </w:rPr>
              <w:t>0,00003</w:t>
            </w:r>
          </w:p>
        </w:tc>
      </w:tr>
      <w:tr w:rsidR="00A53D2B" w14:paraId="56844B36" w14:textId="77777777" w:rsidTr="008B1BFC">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91ED68"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2021</w:t>
            </w:r>
          </w:p>
        </w:tc>
        <w:tc>
          <w:tcPr>
            <w:tcW w:w="13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4D6B19"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1,99</w:t>
            </w:r>
          </w:p>
        </w:tc>
        <w:tc>
          <w:tcPr>
            <w:tcW w:w="13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128064" w14:textId="77777777" w:rsidR="00A53D2B" w:rsidRDefault="00A53D2B" w:rsidP="008B1BFC">
            <w:pPr>
              <w:spacing w:before="0" w:after="0" w:line="240" w:lineRule="auto"/>
              <w:ind w:firstLine="74"/>
              <w:rPr>
                <w:rFonts w:eastAsia="Times New Roman" w:cs="Times New Roman"/>
                <w:sz w:val="20"/>
                <w:szCs w:val="20"/>
              </w:rPr>
            </w:pPr>
            <w:r>
              <w:rPr>
                <w:rFonts w:eastAsia="Times New Roman" w:cs="Times New Roman"/>
                <w:color w:val="000000"/>
                <w:sz w:val="20"/>
                <w:szCs w:val="20"/>
              </w:rPr>
              <w:t>0,25</w:t>
            </w:r>
          </w:p>
        </w:tc>
        <w:tc>
          <w:tcPr>
            <w:tcW w:w="12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D43BCC" w14:textId="77777777" w:rsidR="00A53D2B" w:rsidRDefault="00A53D2B" w:rsidP="008B1BFC">
            <w:pPr>
              <w:spacing w:before="0" w:after="0" w:line="240" w:lineRule="auto"/>
              <w:ind w:firstLine="35"/>
              <w:rPr>
                <w:rFonts w:eastAsia="Times New Roman" w:cs="Times New Roman"/>
                <w:sz w:val="20"/>
                <w:szCs w:val="20"/>
              </w:rPr>
            </w:pPr>
            <w:r>
              <w:rPr>
                <w:rFonts w:eastAsia="Times New Roman" w:cs="Times New Roman"/>
                <w:color w:val="000000"/>
                <w:sz w:val="20"/>
                <w:szCs w:val="20"/>
              </w:rPr>
              <w:t>0,03</w:t>
            </w:r>
          </w:p>
        </w:tc>
        <w:tc>
          <w:tcPr>
            <w:tcW w:w="17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06AED1"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0,003</w:t>
            </w:r>
          </w:p>
        </w:tc>
        <w:tc>
          <w:tcPr>
            <w:tcW w:w="15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6D5A21"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0,003</w:t>
            </w:r>
          </w:p>
        </w:tc>
        <w:tc>
          <w:tcPr>
            <w:tcW w:w="12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275212" w14:textId="77777777" w:rsidR="00A53D2B" w:rsidRDefault="00A53D2B" w:rsidP="008B1BFC">
            <w:pPr>
              <w:spacing w:before="0" w:after="0" w:line="240" w:lineRule="auto"/>
              <w:ind w:firstLine="53"/>
              <w:rPr>
                <w:rFonts w:eastAsia="Times New Roman" w:cs="Times New Roman"/>
                <w:sz w:val="20"/>
                <w:szCs w:val="20"/>
              </w:rPr>
            </w:pPr>
            <w:r>
              <w:rPr>
                <w:rFonts w:eastAsia="Times New Roman" w:cs="Times New Roman"/>
                <w:color w:val="000000"/>
                <w:sz w:val="20"/>
                <w:szCs w:val="20"/>
              </w:rPr>
              <w:t>0,00006</w:t>
            </w:r>
          </w:p>
        </w:tc>
      </w:tr>
    </w:tbl>
    <w:p w14:paraId="1FE55A54" w14:textId="77777777" w:rsidR="00A53D2B" w:rsidRDefault="00A53D2B" w:rsidP="008B1BFC">
      <w:pPr>
        <w:spacing w:line="240" w:lineRule="auto"/>
        <w:ind w:firstLine="0"/>
        <w:rPr>
          <w:b/>
          <w:color w:val="000000"/>
          <w:sz w:val="20"/>
          <w:szCs w:val="20"/>
        </w:rPr>
      </w:pPr>
      <w:bookmarkStart w:id="126" w:name="_heading=h.3l18frh" w:colFirst="0" w:colLast="0"/>
      <w:bookmarkEnd w:id="126"/>
    </w:p>
    <w:p w14:paraId="3CC70548" w14:textId="7E03F338" w:rsidR="00A53D2B" w:rsidRDefault="00A53D2B" w:rsidP="00A53D2B">
      <w:pPr>
        <w:spacing w:after="0"/>
        <w:jc w:val="center"/>
        <w:rPr>
          <w:rFonts w:eastAsia="Times New Roman" w:cs="Times New Roman"/>
        </w:rPr>
      </w:pPr>
      <w:r>
        <w:rPr>
          <w:rFonts w:eastAsia="Times New Roman" w:cs="Times New Roman"/>
          <w:b/>
          <w:color w:val="000000"/>
        </w:rPr>
        <w:t>Tabel 2.5.2.5 Emisii de substanțe sintetice și nesintetice (tone/an) din stația de epurare Eforie Sud (</w:t>
      </w:r>
      <w:r>
        <w:rPr>
          <w:rFonts w:eastAsia="Times New Roman" w:cs="Times New Roman"/>
          <w:b/>
          <w:i/>
          <w:color w:val="000000"/>
        </w:rPr>
        <w:t>sursa: Administrația Națională Apele Române, 2023</w:t>
      </w:r>
      <w:r>
        <w:rPr>
          <w:rFonts w:eastAsia="Times New Roman" w:cs="Times New Roman"/>
          <w:b/>
          <w:color w:val="000000"/>
        </w:rPr>
        <w:t>)</w:t>
      </w:r>
    </w:p>
    <w:tbl>
      <w:tblPr>
        <w:tblW w:w="9006" w:type="dxa"/>
        <w:tblLayout w:type="fixed"/>
        <w:tblLook w:val="0400" w:firstRow="0" w:lastRow="0" w:firstColumn="0" w:lastColumn="0" w:noHBand="0" w:noVBand="1"/>
      </w:tblPr>
      <w:tblGrid>
        <w:gridCol w:w="600"/>
        <w:gridCol w:w="1341"/>
        <w:gridCol w:w="1311"/>
        <w:gridCol w:w="1416"/>
        <w:gridCol w:w="1701"/>
        <w:gridCol w:w="1384"/>
        <w:gridCol w:w="1253"/>
      </w:tblGrid>
      <w:tr w:rsidR="00A53D2B" w14:paraId="39031734" w14:textId="77777777" w:rsidTr="008B1BFC">
        <w:trPr>
          <w:trHeight w:val="440"/>
        </w:trPr>
        <w:tc>
          <w:tcPr>
            <w:tcW w:w="60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2280E9"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An</w:t>
            </w:r>
          </w:p>
        </w:tc>
        <w:tc>
          <w:tcPr>
            <w:tcW w:w="4068"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B837BF" w14:textId="77777777" w:rsidR="00A53D2B" w:rsidRDefault="00A53D2B" w:rsidP="008B1BFC">
            <w:pPr>
              <w:spacing w:before="0" w:after="0" w:line="240" w:lineRule="auto"/>
              <w:jc w:val="center"/>
              <w:rPr>
                <w:rFonts w:eastAsia="Times New Roman" w:cs="Times New Roman"/>
                <w:sz w:val="20"/>
                <w:szCs w:val="20"/>
              </w:rPr>
            </w:pPr>
            <w:r>
              <w:rPr>
                <w:rFonts w:eastAsia="Times New Roman" w:cs="Times New Roman"/>
                <w:color w:val="000000"/>
                <w:sz w:val="20"/>
                <w:szCs w:val="20"/>
              </w:rPr>
              <w:t>Metale grele</w:t>
            </w:r>
          </w:p>
        </w:tc>
        <w:tc>
          <w:tcPr>
            <w:tcW w:w="1701"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3F70B5"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Hidrocarburi totale, tone/an </w:t>
            </w:r>
          </w:p>
        </w:tc>
        <w:tc>
          <w:tcPr>
            <w:tcW w:w="138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D38CD2"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Detergenți tone/an</w:t>
            </w:r>
          </w:p>
        </w:tc>
        <w:tc>
          <w:tcPr>
            <w:tcW w:w="125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CE2F8E"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Fenoli tone/an</w:t>
            </w:r>
          </w:p>
        </w:tc>
      </w:tr>
      <w:tr w:rsidR="00A53D2B" w14:paraId="25DA7CA8" w14:textId="77777777" w:rsidTr="008B1BFC">
        <w:trPr>
          <w:trHeight w:val="440"/>
        </w:trPr>
        <w:tc>
          <w:tcPr>
            <w:tcW w:w="60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9DFDB5" w14:textId="77777777" w:rsidR="00A53D2B" w:rsidRDefault="00A53D2B" w:rsidP="008B1BFC">
            <w:pPr>
              <w:widowControl w:val="0"/>
              <w:pBdr>
                <w:top w:val="nil"/>
                <w:left w:val="nil"/>
                <w:bottom w:val="nil"/>
                <w:right w:val="nil"/>
                <w:between w:val="nil"/>
              </w:pBdr>
              <w:spacing w:before="0" w:after="0"/>
              <w:rPr>
                <w:rFonts w:eastAsia="Times New Roman" w:cs="Times New Roman"/>
                <w:sz w:val="20"/>
                <w:szCs w:val="20"/>
              </w:rPr>
            </w:pP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1ADE19" w14:textId="77777777" w:rsidR="00A53D2B" w:rsidRDefault="00A53D2B" w:rsidP="008B1BFC">
            <w:pPr>
              <w:spacing w:before="0" w:after="0" w:line="240" w:lineRule="auto"/>
              <w:ind w:hanging="1"/>
              <w:rPr>
                <w:rFonts w:eastAsia="Times New Roman" w:cs="Times New Roman"/>
                <w:sz w:val="20"/>
                <w:szCs w:val="20"/>
              </w:rPr>
            </w:pPr>
            <w:r>
              <w:rPr>
                <w:rFonts w:eastAsia="Times New Roman" w:cs="Times New Roman"/>
                <w:color w:val="000000"/>
                <w:sz w:val="20"/>
                <w:szCs w:val="20"/>
              </w:rPr>
              <w:t>Zn total, tone/an</w:t>
            </w:r>
          </w:p>
        </w:tc>
        <w:tc>
          <w:tcPr>
            <w:tcW w:w="13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C73AA7"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Cu total tone/an</w:t>
            </w:r>
          </w:p>
        </w:tc>
        <w:tc>
          <w:tcPr>
            <w:tcW w:w="1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21DCC7" w14:textId="77777777" w:rsidR="00A53D2B" w:rsidRDefault="00A53D2B" w:rsidP="008B1BFC">
            <w:pPr>
              <w:spacing w:before="0" w:after="0" w:line="240" w:lineRule="auto"/>
              <w:ind w:firstLine="40"/>
              <w:rPr>
                <w:rFonts w:eastAsia="Times New Roman" w:cs="Times New Roman"/>
                <w:sz w:val="20"/>
                <w:szCs w:val="20"/>
              </w:rPr>
            </w:pPr>
            <w:r>
              <w:rPr>
                <w:rFonts w:eastAsia="Times New Roman" w:cs="Times New Roman"/>
                <w:color w:val="000000"/>
                <w:sz w:val="20"/>
                <w:szCs w:val="20"/>
              </w:rPr>
              <w:t>Cr total</w:t>
            </w:r>
          </w:p>
          <w:p w14:paraId="031F9C68" w14:textId="77777777" w:rsidR="00A53D2B" w:rsidRDefault="00A53D2B" w:rsidP="008B1BFC">
            <w:pPr>
              <w:spacing w:before="0" w:after="0" w:line="240" w:lineRule="auto"/>
              <w:ind w:firstLine="40"/>
              <w:rPr>
                <w:rFonts w:eastAsia="Times New Roman" w:cs="Times New Roman"/>
                <w:sz w:val="20"/>
                <w:szCs w:val="20"/>
              </w:rPr>
            </w:pPr>
            <w:r>
              <w:rPr>
                <w:rFonts w:eastAsia="Times New Roman" w:cs="Times New Roman"/>
                <w:color w:val="000000"/>
                <w:sz w:val="20"/>
                <w:szCs w:val="20"/>
              </w:rPr>
              <w:t>tone/an</w:t>
            </w:r>
          </w:p>
        </w:tc>
        <w:tc>
          <w:tcPr>
            <w:tcW w:w="1701"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BFFAA6" w14:textId="77777777" w:rsidR="00A53D2B" w:rsidRDefault="00A53D2B" w:rsidP="008B1BFC">
            <w:pPr>
              <w:widowControl w:val="0"/>
              <w:pBdr>
                <w:top w:val="nil"/>
                <w:left w:val="nil"/>
                <w:bottom w:val="nil"/>
                <w:right w:val="nil"/>
                <w:between w:val="nil"/>
              </w:pBdr>
              <w:spacing w:before="0" w:after="0"/>
              <w:rPr>
                <w:rFonts w:eastAsia="Times New Roman" w:cs="Times New Roman"/>
                <w:sz w:val="20"/>
                <w:szCs w:val="20"/>
              </w:rPr>
            </w:pPr>
          </w:p>
        </w:tc>
        <w:tc>
          <w:tcPr>
            <w:tcW w:w="1384"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FFAD57" w14:textId="77777777" w:rsidR="00A53D2B" w:rsidRDefault="00A53D2B" w:rsidP="008B1BFC">
            <w:pPr>
              <w:widowControl w:val="0"/>
              <w:pBdr>
                <w:top w:val="nil"/>
                <w:left w:val="nil"/>
                <w:bottom w:val="nil"/>
                <w:right w:val="nil"/>
                <w:between w:val="nil"/>
              </w:pBdr>
              <w:spacing w:before="0" w:after="0"/>
              <w:rPr>
                <w:rFonts w:eastAsia="Times New Roman" w:cs="Times New Roman"/>
                <w:sz w:val="20"/>
                <w:szCs w:val="20"/>
              </w:rPr>
            </w:pPr>
          </w:p>
        </w:tc>
        <w:tc>
          <w:tcPr>
            <w:tcW w:w="125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A9B6E6" w14:textId="77777777" w:rsidR="00A53D2B" w:rsidRDefault="00A53D2B" w:rsidP="008B1BFC">
            <w:pPr>
              <w:widowControl w:val="0"/>
              <w:pBdr>
                <w:top w:val="nil"/>
                <w:left w:val="nil"/>
                <w:bottom w:val="nil"/>
                <w:right w:val="nil"/>
                <w:between w:val="nil"/>
              </w:pBdr>
              <w:spacing w:before="0" w:after="0"/>
              <w:rPr>
                <w:rFonts w:eastAsia="Times New Roman" w:cs="Times New Roman"/>
                <w:sz w:val="20"/>
                <w:szCs w:val="20"/>
              </w:rPr>
            </w:pPr>
          </w:p>
        </w:tc>
      </w:tr>
      <w:tr w:rsidR="00A53D2B" w14:paraId="57BFED29" w14:textId="77777777" w:rsidTr="008B1BFC">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ED1079"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2015</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9DCAD3" w14:textId="77777777" w:rsidR="00A53D2B" w:rsidRDefault="00A53D2B" w:rsidP="008B1BFC">
            <w:pPr>
              <w:spacing w:before="0" w:after="0" w:line="240" w:lineRule="auto"/>
              <w:ind w:hanging="1"/>
              <w:rPr>
                <w:rFonts w:eastAsia="Times New Roman" w:cs="Times New Roman"/>
                <w:sz w:val="20"/>
                <w:szCs w:val="20"/>
              </w:rPr>
            </w:pPr>
            <w:r>
              <w:rPr>
                <w:rFonts w:eastAsia="Times New Roman" w:cs="Times New Roman"/>
                <w:color w:val="000000"/>
                <w:sz w:val="20"/>
                <w:szCs w:val="20"/>
              </w:rPr>
              <w:t>0,10</w:t>
            </w:r>
          </w:p>
        </w:tc>
        <w:tc>
          <w:tcPr>
            <w:tcW w:w="13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7AC477"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0,008</w:t>
            </w:r>
          </w:p>
        </w:tc>
        <w:tc>
          <w:tcPr>
            <w:tcW w:w="1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CFCB78" w14:textId="77777777" w:rsidR="00A53D2B" w:rsidRDefault="00A53D2B" w:rsidP="008B1BFC">
            <w:pPr>
              <w:spacing w:before="0" w:after="0" w:line="240" w:lineRule="auto"/>
              <w:ind w:firstLine="40"/>
              <w:rPr>
                <w:rFonts w:eastAsia="Times New Roman" w:cs="Times New Roman"/>
                <w:sz w:val="20"/>
                <w:szCs w:val="20"/>
              </w:rPr>
            </w:pPr>
            <w:r>
              <w:rPr>
                <w:rFonts w:eastAsia="Times New Roman" w:cs="Times New Roman"/>
                <w:color w:val="000000"/>
                <w:sz w:val="20"/>
                <w:szCs w:val="20"/>
              </w:rPr>
              <w:t>0,005</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BD83F3"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0,0007</w:t>
            </w:r>
          </w:p>
        </w:tc>
        <w:tc>
          <w:tcPr>
            <w:tcW w:w="13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7BD472"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0,0002</w:t>
            </w:r>
          </w:p>
        </w:tc>
        <w:tc>
          <w:tcPr>
            <w:tcW w:w="12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920B15" w14:textId="77777777" w:rsidR="00A53D2B" w:rsidRDefault="00A53D2B" w:rsidP="008B1BFC">
            <w:pPr>
              <w:spacing w:before="0" w:after="0" w:line="240" w:lineRule="auto"/>
              <w:ind w:firstLine="75"/>
              <w:rPr>
                <w:rFonts w:eastAsia="Times New Roman" w:cs="Times New Roman"/>
                <w:sz w:val="20"/>
                <w:szCs w:val="20"/>
              </w:rPr>
            </w:pPr>
            <w:r>
              <w:rPr>
                <w:rFonts w:eastAsia="Times New Roman" w:cs="Times New Roman"/>
                <w:color w:val="000000"/>
                <w:sz w:val="20"/>
                <w:szCs w:val="20"/>
              </w:rPr>
              <w:t>0,00001</w:t>
            </w:r>
          </w:p>
        </w:tc>
      </w:tr>
      <w:tr w:rsidR="00A53D2B" w14:paraId="37C8D8D0" w14:textId="77777777" w:rsidTr="008B1BFC">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FA1123"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2016</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70645A" w14:textId="77777777" w:rsidR="00A53D2B" w:rsidRDefault="00A53D2B" w:rsidP="008B1BFC">
            <w:pPr>
              <w:spacing w:before="0" w:after="0" w:line="240" w:lineRule="auto"/>
              <w:ind w:hanging="1"/>
              <w:rPr>
                <w:rFonts w:eastAsia="Times New Roman" w:cs="Times New Roman"/>
                <w:sz w:val="20"/>
                <w:szCs w:val="20"/>
              </w:rPr>
            </w:pPr>
            <w:r>
              <w:rPr>
                <w:rFonts w:eastAsia="Times New Roman" w:cs="Times New Roman"/>
                <w:color w:val="000000"/>
                <w:sz w:val="20"/>
                <w:szCs w:val="20"/>
              </w:rPr>
              <w:t>0,06</w:t>
            </w:r>
          </w:p>
        </w:tc>
        <w:tc>
          <w:tcPr>
            <w:tcW w:w="13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C69541"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0,004</w:t>
            </w:r>
          </w:p>
        </w:tc>
        <w:tc>
          <w:tcPr>
            <w:tcW w:w="1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58C02B" w14:textId="77777777" w:rsidR="00A53D2B" w:rsidRDefault="00A53D2B" w:rsidP="008B1BFC">
            <w:pPr>
              <w:spacing w:before="0" w:after="0" w:line="240" w:lineRule="auto"/>
              <w:ind w:firstLine="40"/>
              <w:rPr>
                <w:rFonts w:eastAsia="Times New Roman" w:cs="Times New Roman"/>
                <w:sz w:val="20"/>
                <w:szCs w:val="20"/>
              </w:rPr>
            </w:pPr>
            <w:r>
              <w:rPr>
                <w:rFonts w:eastAsia="Times New Roman" w:cs="Times New Roman"/>
                <w:color w:val="000000"/>
                <w:sz w:val="20"/>
                <w:szCs w:val="20"/>
              </w:rPr>
              <w:t>0,005</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D11EA5"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0,001</w:t>
            </w:r>
          </w:p>
        </w:tc>
        <w:tc>
          <w:tcPr>
            <w:tcW w:w="13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915E6F"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0,0001</w:t>
            </w:r>
          </w:p>
        </w:tc>
        <w:tc>
          <w:tcPr>
            <w:tcW w:w="12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E08E88" w14:textId="77777777" w:rsidR="00A53D2B" w:rsidRDefault="00A53D2B" w:rsidP="008B1BFC">
            <w:pPr>
              <w:spacing w:before="0" w:after="0" w:line="240" w:lineRule="auto"/>
              <w:ind w:firstLine="75"/>
              <w:rPr>
                <w:rFonts w:eastAsia="Times New Roman" w:cs="Times New Roman"/>
                <w:sz w:val="20"/>
                <w:szCs w:val="20"/>
              </w:rPr>
            </w:pPr>
            <w:r>
              <w:rPr>
                <w:rFonts w:eastAsia="Times New Roman" w:cs="Times New Roman"/>
                <w:color w:val="000000"/>
                <w:sz w:val="20"/>
                <w:szCs w:val="20"/>
              </w:rPr>
              <w:t>0,00003</w:t>
            </w:r>
          </w:p>
        </w:tc>
      </w:tr>
      <w:tr w:rsidR="00A53D2B" w14:paraId="70712EA0" w14:textId="77777777" w:rsidTr="008B1BFC">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32827F"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2017</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C5214C" w14:textId="77777777" w:rsidR="00A53D2B" w:rsidRDefault="00A53D2B" w:rsidP="008B1BFC">
            <w:pPr>
              <w:spacing w:before="0" w:after="0" w:line="240" w:lineRule="auto"/>
              <w:ind w:hanging="1"/>
              <w:rPr>
                <w:rFonts w:eastAsia="Times New Roman" w:cs="Times New Roman"/>
                <w:sz w:val="20"/>
                <w:szCs w:val="20"/>
              </w:rPr>
            </w:pPr>
            <w:r>
              <w:rPr>
                <w:rFonts w:eastAsia="Times New Roman" w:cs="Times New Roman"/>
                <w:color w:val="000000"/>
                <w:sz w:val="20"/>
                <w:szCs w:val="20"/>
              </w:rPr>
              <w:t>0,48</w:t>
            </w:r>
          </w:p>
        </w:tc>
        <w:tc>
          <w:tcPr>
            <w:tcW w:w="13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9B2E50"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0,09</w:t>
            </w:r>
          </w:p>
        </w:tc>
        <w:tc>
          <w:tcPr>
            <w:tcW w:w="1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4C7466" w14:textId="77777777" w:rsidR="00A53D2B" w:rsidRDefault="00A53D2B" w:rsidP="008B1BFC">
            <w:pPr>
              <w:spacing w:before="0" w:after="0" w:line="240" w:lineRule="auto"/>
              <w:ind w:firstLine="40"/>
              <w:rPr>
                <w:rFonts w:eastAsia="Times New Roman" w:cs="Times New Roman"/>
                <w:sz w:val="20"/>
                <w:szCs w:val="20"/>
              </w:rPr>
            </w:pPr>
            <w:r>
              <w:rPr>
                <w:rFonts w:eastAsia="Times New Roman" w:cs="Times New Roman"/>
                <w:color w:val="000000"/>
                <w:sz w:val="20"/>
                <w:szCs w:val="20"/>
              </w:rPr>
              <w:t>0,02</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1A55E1"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0,005</w:t>
            </w:r>
          </w:p>
        </w:tc>
        <w:tc>
          <w:tcPr>
            <w:tcW w:w="13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5D7700"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0,0009</w:t>
            </w:r>
          </w:p>
        </w:tc>
        <w:tc>
          <w:tcPr>
            <w:tcW w:w="12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AB01CF" w14:textId="77777777" w:rsidR="00A53D2B" w:rsidRDefault="00A53D2B" w:rsidP="008B1BFC">
            <w:pPr>
              <w:spacing w:before="0" w:after="0" w:line="240" w:lineRule="auto"/>
              <w:ind w:firstLine="75"/>
              <w:rPr>
                <w:rFonts w:eastAsia="Times New Roman" w:cs="Times New Roman"/>
                <w:sz w:val="20"/>
                <w:szCs w:val="20"/>
              </w:rPr>
            </w:pPr>
            <w:r>
              <w:rPr>
                <w:rFonts w:eastAsia="Times New Roman" w:cs="Times New Roman"/>
                <w:color w:val="000000"/>
                <w:sz w:val="20"/>
                <w:szCs w:val="20"/>
              </w:rPr>
              <w:t>0,00006</w:t>
            </w:r>
          </w:p>
        </w:tc>
      </w:tr>
      <w:tr w:rsidR="00A53D2B" w14:paraId="3784090F" w14:textId="77777777" w:rsidTr="008B1BFC">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169474"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2018</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4A0860" w14:textId="77777777" w:rsidR="00A53D2B" w:rsidRDefault="00A53D2B" w:rsidP="008B1BFC">
            <w:pPr>
              <w:spacing w:before="0" w:after="0" w:line="240" w:lineRule="auto"/>
              <w:ind w:hanging="1"/>
              <w:rPr>
                <w:rFonts w:eastAsia="Times New Roman" w:cs="Times New Roman"/>
                <w:sz w:val="20"/>
                <w:szCs w:val="20"/>
              </w:rPr>
            </w:pPr>
            <w:r>
              <w:rPr>
                <w:rFonts w:eastAsia="Times New Roman" w:cs="Times New Roman"/>
                <w:color w:val="000000"/>
                <w:sz w:val="20"/>
                <w:szCs w:val="20"/>
              </w:rPr>
              <w:t>0,30</w:t>
            </w:r>
          </w:p>
        </w:tc>
        <w:tc>
          <w:tcPr>
            <w:tcW w:w="13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30035F"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0,04</w:t>
            </w:r>
          </w:p>
        </w:tc>
        <w:tc>
          <w:tcPr>
            <w:tcW w:w="1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FE2BB4" w14:textId="77777777" w:rsidR="00A53D2B" w:rsidRDefault="00A53D2B" w:rsidP="008B1BFC">
            <w:pPr>
              <w:spacing w:before="0" w:after="0" w:line="240" w:lineRule="auto"/>
              <w:ind w:firstLine="40"/>
              <w:rPr>
                <w:rFonts w:eastAsia="Times New Roman" w:cs="Times New Roman"/>
                <w:sz w:val="20"/>
                <w:szCs w:val="20"/>
              </w:rPr>
            </w:pPr>
            <w:r>
              <w:rPr>
                <w:rFonts w:eastAsia="Times New Roman" w:cs="Times New Roman"/>
                <w:color w:val="000000"/>
                <w:sz w:val="20"/>
                <w:szCs w:val="20"/>
              </w:rPr>
              <w:t>0,006</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DF6A36"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0,0002</w:t>
            </w:r>
          </w:p>
        </w:tc>
        <w:tc>
          <w:tcPr>
            <w:tcW w:w="13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FA80F1"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0,0002</w:t>
            </w:r>
          </w:p>
        </w:tc>
        <w:tc>
          <w:tcPr>
            <w:tcW w:w="12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3189E5" w14:textId="77777777" w:rsidR="00A53D2B" w:rsidRDefault="00A53D2B" w:rsidP="008B1BFC">
            <w:pPr>
              <w:spacing w:before="0" w:after="0" w:line="240" w:lineRule="auto"/>
              <w:ind w:firstLine="75"/>
              <w:rPr>
                <w:rFonts w:eastAsia="Times New Roman" w:cs="Times New Roman"/>
                <w:sz w:val="20"/>
                <w:szCs w:val="20"/>
              </w:rPr>
            </w:pPr>
            <w:r>
              <w:rPr>
                <w:rFonts w:eastAsia="Times New Roman" w:cs="Times New Roman"/>
                <w:color w:val="000000"/>
                <w:sz w:val="20"/>
                <w:szCs w:val="20"/>
              </w:rPr>
              <w:t>0,00001</w:t>
            </w:r>
          </w:p>
        </w:tc>
      </w:tr>
      <w:tr w:rsidR="00A53D2B" w14:paraId="21CA8851" w14:textId="77777777" w:rsidTr="008B1BFC">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5C4975"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2019</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7AF281" w14:textId="77777777" w:rsidR="00A53D2B" w:rsidRDefault="00A53D2B" w:rsidP="008B1BFC">
            <w:pPr>
              <w:spacing w:before="0" w:after="0" w:line="240" w:lineRule="auto"/>
              <w:ind w:hanging="1"/>
              <w:rPr>
                <w:rFonts w:eastAsia="Times New Roman" w:cs="Times New Roman"/>
                <w:sz w:val="20"/>
                <w:szCs w:val="20"/>
              </w:rPr>
            </w:pPr>
            <w:r>
              <w:rPr>
                <w:rFonts w:eastAsia="Times New Roman" w:cs="Times New Roman"/>
                <w:color w:val="000000"/>
                <w:sz w:val="20"/>
                <w:szCs w:val="20"/>
              </w:rPr>
              <w:t>0,14</w:t>
            </w:r>
          </w:p>
        </w:tc>
        <w:tc>
          <w:tcPr>
            <w:tcW w:w="13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B6395E"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0,06</w:t>
            </w:r>
          </w:p>
        </w:tc>
        <w:tc>
          <w:tcPr>
            <w:tcW w:w="1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C3CAC0" w14:textId="77777777" w:rsidR="00A53D2B" w:rsidRDefault="00A53D2B" w:rsidP="008B1BFC">
            <w:pPr>
              <w:spacing w:before="0" w:after="0" w:line="240" w:lineRule="auto"/>
              <w:ind w:firstLine="40"/>
              <w:rPr>
                <w:rFonts w:eastAsia="Times New Roman" w:cs="Times New Roman"/>
                <w:sz w:val="20"/>
                <w:szCs w:val="20"/>
              </w:rPr>
            </w:pPr>
            <w:r>
              <w:rPr>
                <w:rFonts w:eastAsia="Times New Roman" w:cs="Times New Roman"/>
                <w:color w:val="000000"/>
                <w:sz w:val="20"/>
                <w:szCs w:val="20"/>
              </w:rPr>
              <w:t>0,01</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460E7A"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0,003</w:t>
            </w:r>
          </w:p>
        </w:tc>
        <w:tc>
          <w:tcPr>
            <w:tcW w:w="13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A6395C"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0,0002</w:t>
            </w:r>
          </w:p>
        </w:tc>
        <w:tc>
          <w:tcPr>
            <w:tcW w:w="12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F34C7F" w14:textId="77777777" w:rsidR="00A53D2B" w:rsidRDefault="00A53D2B" w:rsidP="008B1BFC">
            <w:pPr>
              <w:spacing w:before="0" w:after="0" w:line="240" w:lineRule="auto"/>
              <w:ind w:firstLine="75"/>
              <w:rPr>
                <w:rFonts w:eastAsia="Times New Roman" w:cs="Times New Roman"/>
                <w:sz w:val="20"/>
                <w:szCs w:val="20"/>
              </w:rPr>
            </w:pPr>
            <w:r>
              <w:rPr>
                <w:rFonts w:eastAsia="Times New Roman" w:cs="Times New Roman"/>
                <w:color w:val="000000"/>
                <w:sz w:val="20"/>
                <w:szCs w:val="20"/>
              </w:rPr>
              <w:t>0,00003</w:t>
            </w:r>
          </w:p>
        </w:tc>
      </w:tr>
      <w:tr w:rsidR="00A53D2B" w14:paraId="73597B8C" w14:textId="77777777" w:rsidTr="008B1BFC">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DC5FA4"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2020</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4E1D13" w14:textId="77777777" w:rsidR="00A53D2B" w:rsidRDefault="00A53D2B" w:rsidP="008B1BFC">
            <w:pPr>
              <w:spacing w:before="0" w:after="0" w:line="240" w:lineRule="auto"/>
              <w:ind w:hanging="1"/>
              <w:rPr>
                <w:rFonts w:eastAsia="Times New Roman" w:cs="Times New Roman"/>
                <w:sz w:val="20"/>
                <w:szCs w:val="20"/>
              </w:rPr>
            </w:pPr>
            <w:r>
              <w:rPr>
                <w:rFonts w:eastAsia="Times New Roman" w:cs="Times New Roman"/>
                <w:color w:val="000000"/>
                <w:sz w:val="20"/>
                <w:szCs w:val="20"/>
              </w:rPr>
              <w:t>0,10</w:t>
            </w:r>
          </w:p>
        </w:tc>
        <w:tc>
          <w:tcPr>
            <w:tcW w:w="13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BE3D8B"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0,09</w:t>
            </w:r>
          </w:p>
        </w:tc>
        <w:tc>
          <w:tcPr>
            <w:tcW w:w="1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4BB697" w14:textId="77777777" w:rsidR="00A53D2B" w:rsidRDefault="00A53D2B" w:rsidP="008B1BFC">
            <w:pPr>
              <w:spacing w:before="0" w:after="0" w:line="240" w:lineRule="auto"/>
              <w:ind w:firstLine="40"/>
              <w:rPr>
                <w:rFonts w:eastAsia="Times New Roman" w:cs="Times New Roman"/>
                <w:sz w:val="20"/>
                <w:szCs w:val="20"/>
              </w:rPr>
            </w:pPr>
            <w:r>
              <w:rPr>
                <w:rFonts w:eastAsia="Times New Roman" w:cs="Times New Roman"/>
                <w:color w:val="000000"/>
                <w:sz w:val="20"/>
                <w:szCs w:val="20"/>
              </w:rPr>
              <w:t>0,005</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A8A86D"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0,0003</w:t>
            </w:r>
          </w:p>
        </w:tc>
        <w:tc>
          <w:tcPr>
            <w:tcW w:w="13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525B42"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0,0002</w:t>
            </w:r>
          </w:p>
        </w:tc>
        <w:tc>
          <w:tcPr>
            <w:tcW w:w="12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83978B" w14:textId="77777777" w:rsidR="00A53D2B" w:rsidRDefault="00A53D2B" w:rsidP="008B1BFC">
            <w:pPr>
              <w:spacing w:before="0" w:after="0" w:line="240" w:lineRule="auto"/>
              <w:ind w:firstLine="75"/>
              <w:rPr>
                <w:rFonts w:eastAsia="Times New Roman" w:cs="Times New Roman"/>
                <w:sz w:val="20"/>
                <w:szCs w:val="20"/>
              </w:rPr>
            </w:pPr>
            <w:r>
              <w:rPr>
                <w:rFonts w:eastAsia="Times New Roman" w:cs="Times New Roman"/>
                <w:color w:val="000000"/>
                <w:sz w:val="20"/>
                <w:szCs w:val="20"/>
              </w:rPr>
              <w:t>0,000006</w:t>
            </w:r>
          </w:p>
        </w:tc>
      </w:tr>
      <w:tr w:rsidR="00A53D2B" w14:paraId="21850905" w14:textId="77777777" w:rsidTr="008B1BFC">
        <w:tc>
          <w:tcPr>
            <w:tcW w:w="6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E591B6"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2021</w:t>
            </w:r>
          </w:p>
        </w:tc>
        <w:tc>
          <w:tcPr>
            <w:tcW w:w="13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13C3AA" w14:textId="77777777" w:rsidR="00A53D2B" w:rsidRDefault="00A53D2B" w:rsidP="008B1BFC">
            <w:pPr>
              <w:spacing w:before="0" w:after="0" w:line="240" w:lineRule="auto"/>
              <w:ind w:hanging="1"/>
              <w:rPr>
                <w:rFonts w:eastAsia="Times New Roman" w:cs="Times New Roman"/>
                <w:sz w:val="20"/>
                <w:szCs w:val="20"/>
              </w:rPr>
            </w:pPr>
            <w:r>
              <w:rPr>
                <w:rFonts w:eastAsia="Times New Roman" w:cs="Times New Roman"/>
                <w:color w:val="000000"/>
                <w:sz w:val="20"/>
                <w:szCs w:val="20"/>
              </w:rPr>
              <w:t>0,12</w:t>
            </w:r>
          </w:p>
        </w:tc>
        <w:tc>
          <w:tcPr>
            <w:tcW w:w="13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4634B6"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0,09</w:t>
            </w:r>
          </w:p>
        </w:tc>
        <w:tc>
          <w:tcPr>
            <w:tcW w:w="14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610FCB" w14:textId="77777777" w:rsidR="00A53D2B" w:rsidRDefault="00A53D2B" w:rsidP="008B1BFC">
            <w:pPr>
              <w:spacing w:before="0" w:after="0" w:line="240" w:lineRule="auto"/>
              <w:ind w:firstLine="40"/>
              <w:rPr>
                <w:rFonts w:eastAsia="Times New Roman" w:cs="Times New Roman"/>
                <w:sz w:val="20"/>
                <w:szCs w:val="20"/>
              </w:rPr>
            </w:pPr>
            <w:r>
              <w:rPr>
                <w:rFonts w:eastAsia="Times New Roman" w:cs="Times New Roman"/>
                <w:color w:val="000000"/>
                <w:sz w:val="20"/>
                <w:szCs w:val="20"/>
              </w:rPr>
              <w:t>0,009</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A7CB3F"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0,0009</w:t>
            </w:r>
          </w:p>
        </w:tc>
        <w:tc>
          <w:tcPr>
            <w:tcW w:w="13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2CE3F7"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0,0002</w:t>
            </w:r>
          </w:p>
        </w:tc>
        <w:tc>
          <w:tcPr>
            <w:tcW w:w="12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32376D" w14:textId="77777777" w:rsidR="00A53D2B" w:rsidRDefault="00A53D2B" w:rsidP="008B1BFC">
            <w:pPr>
              <w:spacing w:before="0" w:after="0" w:line="240" w:lineRule="auto"/>
              <w:ind w:firstLine="75"/>
              <w:rPr>
                <w:rFonts w:eastAsia="Times New Roman" w:cs="Times New Roman"/>
                <w:sz w:val="20"/>
                <w:szCs w:val="20"/>
              </w:rPr>
            </w:pPr>
            <w:r>
              <w:rPr>
                <w:rFonts w:eastAsia="Times New Roman" w:cs="Times New Roman"/>
                <w:color w:val="000000"/>
                <w:sz w:val="20"/>
                <w:szCs w:val="20"/>
              </w:rPr>
              <w:t>0,00002</w:t>
            </w:r>
          </w:p>
        </w:tc>
      </w:tr>
    </w:tbl>
    <w:p w14:paraId="07B7D60B" w14:textId="77777777" w:rsidR="00A53D2B" w:rsidRDefault="00A53D2B" w:rsidP="00A53D2B">
      <w:pPr>
        <w:spacing w:line="240" w:lineRule="auto"/>
      </w:pPr>
    </w:p>
    <w:p w14:paraId="329B21F7" w14:textId="58C3FC8B" w:rsidR="00A53D2B" w:rsidRDefault="00A53D2B" w:rsidP="00A53D2B">
      <w:pPr>
        <w:jc w:val="center"/>
        <w:rPr>
          <w:rFonts w:eastAsia="Times New Roman" w:cs="Times New Roman"/>
        </w:rPr>
      </w:pPr>
      <w:bookmarkStart w:id="127" w:name="_heading=h.206ipza" w:colFirst="0" w:colLast="0"/>
      <w:bookmarkEnd w:id="127"/>
      <w:r>
        <w:rPr>
          <w:rFonts w:eastAsia="Times New Roman" w:cs="Times New Roman"/>
          <w:b/>
          <w:color w:val="000000"/>
        </w:rPr>
        <w:lastRenderedPageBreak/>
        <w:t xml:space="preserve">Tabel </w:t>
      </w:r>
      <w:r w:rsidR="008B1BFC">
        <w:rPr>
          <w:rFonts w:eastAsia="Times New Roman" w:cs="Times New Roman"/>
          <w:b/>
          <w:color w:val="000000"/>
        </w:rPr>
        <w:t>2.</w:t>
      </w:r>
      <w:r>
        <w:rPr>
          <w:rFonts w:eastAsia="Times New Roman" w:cs="Times New Roman"/>
          <w:b/>
          <w:color w:val="000000"/>
        </w:rPr>
        <w:t>5.2.6 Emisii de substanțe sintetice și nesintetice (tone/an) din stația de epurare Mangalia (</w:t>
      </w:r>
      <w:r>
        <w:rPr>
          <w:rFonts w:eastAsia="Times New Roman" w:cs="Times New Roman"/>
          <w:b/>
          <w:i/>
          <w:color w:val="000000"/>
        </w:rPr>
        <w:t>sursa: Administrația Națională Apele Române, 2023</w:t>
      </w:r>
      <w:r>
        <w:rPr>
          <w:rFonts w:eastAsia="Times New Roman" w:cs="Times New Roman"/>
          <w:b/>
          <w:color w:val="000000"/>
        </w:rPr>
        <w:t>)</w:t>
      </w:r>
    </w:p>
    <w:tbl>
      <w:tblPr>
        <w:tblW w:w="9006" w:type="dxa"/>
        <w:tblLayout w:type="fixed"/>
        <w:tblLook w:val="0400" w:firstRow="0" w:lastRow="0" w:firstColumn="0" w:lastColumn="0" w:noHBand="0" w:noVBand="1"/>
      </w:tblPr>
      <w:tblGrid>
        <w:gridCol w:w="699"/>
        <w:gridCol w:w="1243"/>
        <w:gridCol w:w="1312"/>
        <w:gridCol w:w="847"/>
        <w:gridCol w:w="2123"/>
        <w:gridCol w:w="1529"/>
        <w:gridCol w:w="1253"/>
      </w:tblGrid>
      <w:tr w:rsidR="00A53D2B" w14:paraId="0D40B8D7" w14:textId="77777777" w:rsidTr="008B1BFC">
        <w:trPr>
          <w:trHeight w:val="440"/>
        </w:trPr>
        <w:tc>
          <w:tcPr>
            <w:tcW w:w="699"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72BC87"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An</w:t>
            </w:r>
          </w:p>
        </w:tc>
        <w:tc>
          <w:tcPr>
            <w:tcW w:w="3402"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B73892" w14:textId="77777777" w:rsidR="00A53D2B" w:rsidRDefault="00A53D2B" w:rsidP="008B1BFC">
            <w:pPr>
              <w:spacing w:before="0" w:after="0" w:line="240" w:lineRule="auto"/>
              <w:jc w:val="center"/>
              <w:rPr>
                <w:rFonts w:eastAsia="Times New Roman" w:cs="Times New Roman"/>
                <w:sz w:val="20"/>
                <w:szCs w:val="20"/>
              </w:rPr>
            </w:pPr>
            <w:r>
              <w:rPr>
                <w:rFonts w:eastAsia="Times New Roman" w:cs="Times New Roman"/>
                <w:color w:val="000000"/>
                <w:sz w:val="20"/>
                <w:szCs w:val="20"/>
              </w:rPr>
              <w:t>Metale grele</w:t>
            </w:r>
          </w:p>
        </w:tc>
        <w:tc>
          <w:tcPr>
            <w:tcW w:w="212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02155A"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Hidrocarburi totale, tone/an </w:t>
            </w:r>
          </w:p>
        </w:tc>
        <w:tc>
          <w:tcPr>
            <w:tcW w:w="1529"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F9EF24"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Detergenți tone/an</w:t>
            </w:r>
          </w:p>
        </w:tc>
        <w:tc>
          <w:tcPr>
            <w:tcW w:w="125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5822ED"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Fenoli tone/an</w:t>
            </w:r>
          </w:p>
        </w:tc>
      </w:tr>
      <w:tr w:rsidR="00A53D2B" w14:paraId="10FEB2DE" w14:textId="77777777" w:rsidTr="008B1BFC">
        <w:trPr>
          <w:trHeight w:val="440"/>
        </w:trPr>
        <w:tc>
          <w:tcPr>
            <w:tcW w:w="699"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FFC250" w14:textId="77777777" w:rsidR="00A53D2B" w:rsidRDefault="00A53D2B" w:rsidP="008B1BFC">
            <w:pPr>
              <w:widowControl w:val="0"/>
              <w:pBdr>
                <w:top w:val="nil"/>
                <w:left w:val="nil"/>
                <w:bottom w:val="nil"/>
                <w:right w:val="nil"/>
                <w:between w:val="nil"/>
              </w:pBdr>
              <w:spacing w:before="0" w:after="0"/>
              <w:rPr>
                <w:rFonts w:eastAsia="Times New Roman" w:cs="Times New Roman"/>
                <w:sz w:val="20"/>
                <w:szCs w:val="20"/>
              </w:rPr>
            </w:pPr>
          </w:p>
        </w:tc>
        <w:tc>
          <w:tcPr>
            <w:tcW w:w="1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CE1F00" w14:textId="77777777" w:rsidR="00A53D2B" w:rsidRDefault="00A53D2B" w:rsidP="008B1BFC">
            <w:pPr>
              <w:spacing w:before="0" w:after="0" w:line="240" w:lineRule="auto"/>
              <w:ind w:firstLine="42"/>
              <w:rPr>
                <w:rFonts w:eastAsia="Times New Roman" w:cs="Times New Roman"/>
                <w:sz w:val="20"/>
                <w:szCs w:val="20"/>
              </w:rPr>
            </w:pPr>
            <w:r>
              <w:rPr>
                <w:rFonts w:eastAsia="Times New Roman" w:cs="Times New Roman"/>
                <w:color w:val="000000"/>
                <w:sz w:val="20"/>
                <w:szCs w:val="20"/>
              </w:rPr>
              <w:t>Zn total, tone/an</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8815B9"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Cu total tone/an</w:t>
            </w:r>
          </w:p>
        </w:tc>
        <w:tc>
          <w:tcPr>
            <w:tcW w:w="8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B62210" w14:textId="77777777" w:rsidR="00A53D2B" w:rsidRDefault="00A53D2B" w:rsidP="008B1BFC">
            <w:pPr>
              <w:spacing w:before="0" w:after="0" w:line="240" w:lineRule="auto"/>
              <w:ind w:firstLine="38"/>
              <w:rPr>
                <w:rFonts w:eastAsia="Times New Roman" w:cs="Times New Roman"/>
                <w:sz w:val="20"/>
                <w:szCs w:val="20"/>
              </w:rPr>
            </w:pPr>
            <w:r>
              <w:rPr>
                <w:rFonts w:eastAsia="Times New Roman" w:cs="Times New Roman"/>
                <w:color w:val="000000"/>
                <w:sz w:val="20"/>
                <w:szCs w:val="20"/>
              </w:rPr>
              <w:t>Cr total</w:t>
            </w:r>
          </w:p>
          <w:p w14:paraId="0345A113" w14:textId="77777777" w:rsidR="00A53D2B" w:rsidRDefault="00A53D2B" w:rsidP="008B1BFC">
            <w:pPr>
              <w:spacing w:before="0" w:after="0" w:line="240" w:lineRule="auto"/>
              <w:ind w:firstLine="38"/>
              <w:rPr>
                <w:rFonts w:eastAsia="Times New Roman" w:cs="Times New Roman"/>
                <w:sz w:val="20"/>
                <w:szCs w:val="20"/>
              </w:rPr>
            </w:pPr>
            <w:r>
              <w:rPr>
                <w:rFonts w:eastAsia="Times New Roman" w:cs="Times New Roman"/>
                <w:color w:val="000000"/>
                <w:sz w:val="20"/>
                <w:szCs w:val="20"/>
              </w:rPr>
              <w:t>tone/an</w:t>
            </w:r>
          </w:p>
        </w:tc>
        <w:tc>
          <w:tcPr>
            <w:tcW w:w="212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41008A" w14:textId="77777777" w:rsidR="00A53D2B" w:rsidRDefault="00A53D2B" w:rsidP="008B1BFC">
            <w:pPr>
              <w:widowControl w:val="0"/>
              <w:pBdr>
                <w:top w:val="nil"/>
                <w:left w:val="nil"/>
                <w:bottom w:val="nil"/>
                <w:right w:val="nil"/>
                <w:between w:val="nil"/>
              </w:pBdr>
              <w:spacing w:before="0" w:after="0"/>
              <w:rPr>
                <w:rFonts w:eastAsia="Times New Roman" w:cs="Times New Roman"/>
                <w:sz w:val="20"/>
                <w:szCs w:val="20"/>
              </w:rPr>
            </w:pPr>
          </w:p>
        </w:tc>
        <w:tc>
          <w:tcPr>
            <w:tcW w:w="1529"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BE6F2C" w14:textId="77777777" w:rsidR="00A53D2B" w:rsidRDefault="00A53D2B" w:rsidP="008B1BFC">
            <w:pPr>
              <w:widowControl w:val="0"/>
              <w:pBdr>
                <w:top w:val="nil"/>
                <w:left w:val="nil"/>
                <w:bottom w:val="nil"/>
                <w:right w:val="nil"/>
                <w:between w:val="nil"/>
              </w:pBdr>
              <w:spacing w:before="0" w:after="0"/>
              <w:rPr>
                <w:rFonts w:eastAsia="Times New Roman" w:cs="Times New Roman"/>
                <w:sz w:val="20"/>
                <w:szCs w:val="20"/>
              </w:rPr>
            </w:pPr>
          </w:p>
        </w:tc>
        <w:tc>
          <w:tcPr>
            <w:tcW w:w="125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BBCEF1" w14:textId="77777777" w:rsidR="00A53D2B" w:rsidRDefault="00A53D2B" w:rsidP="008B1BFC">
            <w:pPr>
              <w:widowControl w:val="0"/>
              <w:pBdr>
                <w:top w:val="nil"/>
                <w:left w:val="nil"/>
                <w:bottom w:val="nil"/>
                <w:right w:val="nil"/>
                <w:between w:val="nil"/>
              </w:pBdr>
              <w:spacing w:before="0" w:after="0"/>
              <w:rPr>
                <w:rFonts w:eastAsia="Times New Roman" w:cs="Times New Roman"/>
                <w:sz w:val="20"/>
                <w:szCs w:val="20"/>
              </w:rPr>
            </w:pPr>
          </w:p>
        </w:tc>
      </w:tr>
      <w:tr w:rsidR="00A53D2B" w14:paraId="7C263A9E" w14:textId="77777777" w:rsidTr="008B1BFC">
        <w:tc>
          <w:tcPr>
            <w:tcW w:w="6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20B4C9"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2015</w:t>
            </w:r>
          </w:p>
        </w:tc>
        <w:tc>
          <w:tcPr>
            <w:tcW w:w="1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C43717" w14:textId="77777777" w:rsidR="00A53D2B" w:rsidRDefault="00A53D2B" w:rsidP="008B1BFC">
            <w:pPr>
              <w:spacing w:before="0" w:after="0" w:line="240" w:lineRule="auto"/>
              <w:ind w:firstLine="42"/>
              <w:rPr>
                <w:rFonts w:eastAsia="Times New Roman" w:cs="Times New Roman"/>
                <w:sz w:val="20"/>
                <w:szCs w:val="20"/>
              </w:rPr>
            </w:pPr>
            <w:r>
              <w:rPr>
                <w:rFonts w:eastAsia="Times New Roman" w:cs="Times New Roman"/>
                <w:color w:val="000000"/>
                <w:sz w:val="20"/>
                <w:szCs w:val="20"/>
              </w:rPr>
              <w:t>0,14</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8276C7"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0,009</w:t>
            </w:r>
          </w:p>
        </w:tc>
        <w:tc>
          <w:tcPr>
            <w:tcW w:w="8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1368DE" w14:textId="77777777" w:rsidR="00A53D2B" w:rsidRDefault="00A53D2B" w:rsidP="008B1BFC">
            <w:pPr>
              <w:spacing w:before="0" w:after="0" w:line="240" w:lineRule="auto"/>
              <w:ind w:firstLine="38"/>
              <w:rPr>
                <w:rFonts w:eastAsia="Times New Roman" w:cs="Times New Roman"/>
                <w:sz w:val="20"/>
                <w:szCs w:val="20"/>
              </w:rPr>
            </w:pPr>
            <w:r>
              <w:rPr>
                <w:rFonts w:eastAsia="Times New Roman" w:cs="Times New Roman"/>
                <w:color w:val="000000"/>
                <w:sz w:val="20"/>
                <w:szCs w:val="20"/>
              </w:rPr>
              <w:t>0,02</w:t>
            </w:r>
          </w:p>
        </w:tc>
        <w:tc>
          <w:tcPr>
            <w:tcW w:w="21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AAC572"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0,001</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65741D"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0,004</w:t>
            </w:r>
          </w:p>
        </w:tc>
        <w:tc>
          <w:tcPr>
            <w:tcW w:w="12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24643C"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0,00002</w:t>
            </w:r>
          </w:p>
        </w:tc>
      </w:tr>
      <w:tr w:rsidR="00A53D2B" w14:paraId="1E48A5AF" w14:textId="77777777" w:rsidTr="008B1BFC">
        <w:tc>
          <w:tcPr>
            <w:tcW w:w="6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A3C405"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2016</w:t>
            </w:r>
          </w:p>
        </w:tc>
        <w:tc>
          <w:tcPr>
            <w:tcW w:w="1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A3E123" w14:textId="77777777" w:rsidR="00A53D2B" w:rsidRDefault="00A53D2B" w:rsidP="008B1BFC">
            <w:pPr>
              <w:spacing w:before="0" w:after="0" w:line="240" w:lineRule="auto"/>
              <w:ind w:firstLine="42"/>
              <w:rPr>
                <w:rFonts w:eastAsia="Times New Roman" w:cs="Times New Roman"/>
                <w:sz w:val="20"/>
                <w:szCs w:val="20"/>
              </w:rPr>
            </w:pPr>
            <w:r>
              <w:rPr>
                <w:rFonts w:eastAsia="Times New Roman" w:cs="Times New Roman"/>
                <w:color w:val="000000"/>
                <w:sz w:val="20"/>
                <w:szCs w:val="20"/>
              </w:rPr>
              <w:t>0,07</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00D614"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0,006</w:t>
            </w:r>
          </w:p>
        </w:tc>
        <w:tc>
          <w:tcPr>
            <w:tcW w:w="8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21995A" w14:textId="77777777" w:rsidR="00A53D2B" w:rsidRDefault="00A53D2B" w:rsidP="008B1BFC">
            <w:pPr>
              <w:spacing w:before="0" w:after="0" w:line="240" w:lineRule="auto"/>
              <w:ind w:firstLine="38"/>
              <w:rPr>
                <w:rFonts w:eastAsia="Times New Roman" w:cs="Times New Roman"/>
                <w:sz w:val="20"/>
                <w:szCs w:val="20"/>
              </w:rPr>
            </w:pPr>
            <w:r>
              <w:rPr>
                <w:rFonts w:eastAsia="Times New Roman" w:cs="Times New Roman"/>
                <w:color w:val="000000"/>
                <w:sz w:val="20"/>
                <w:szCs w:val="20"/>
              </w:rPr>
              <w:t>0,02</w:t>
            </w:r>
          </w:p>
        </w:tc>
        <w:tc>
          <w:tcPr>
            <w:tcW w:w="21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04F499"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0,002</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2888CC"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0,0002</w:t>
            </w:r>
          </w:p>
        </w:tc>
        <w:tc>
          <w:tcPr>
            <w:tcW w:w="12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14AD48"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0,00002</w:t>
            </w:r>
          </w:p>
        </w:tc>
      </w:tr>
      <w:tr w:rsidR="00A53D2B" w14:paraId="3BF00E9B" w14:textId="77777777" w:rsidTr="008B1BFC">
        <w:tc>
          <w:tcPr>
            <w:tcW w:w="6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08EE3C"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2017</w:t>
            </w:r>
          </w:p>
        </w:tc>
        <w:tc>
          <w:tcPr>
            <w:tcW w:w="1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A84E76" w14:textId="77777777" w:rsidR="00A53D2B" w:rsidRDefault="00A53D2B" w:rsidP="008B1BFC">
            <w:pPr>
              <w:spacing w:before="0" w:after="0" w:line="240" w:lineRule="auto"/>
              <w:ind w:firstLine="42"/>
              <w:rPr>
                <w:rFonts w:eastAsia="Times New Roman" w:cs="Times New Roman"/>
                <w:sz w:val="20"/>
                <w:szCs w:val="20"/>
              </w:rPr>
            </w:pPr>
            <w:r>
              <w:rPr>
                <w:rFonts w:eastAsia="Times New Roman" w:cs="Times New Roman"/>
                <w:color w:val="000000"/>
                <w:sz w:val="20"/>
                <w:szCs w:val="20"/>
              </w:rPr>
              <w:t>0,13</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D6D676"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0,06</w:t>
            </w:r>
          </w:p>
        </w:tc>
        <w:tc>
          <w:tcPr>
            <w:tcW w:w="8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EE65A7" w14:textId="77777777" w:rsidR="00A53D2B" w:rsidRDefault="00A53D2B" w:rsidP="008B1BFC">
            <w:pPr>
              <w:spacing w:before="0" w:after="0" w:line="240" w:lineRule="auto"/>
              <w:ind w:firstLine="38"/>
              <w:rPr>
                <w:rFonts w:eastAsia="Times New Roman" w:cs="Times New Roman"/>
                <w:sz w:val="20"/>
                <w:szCs w:val="20"/>
              </w:rPr>
            </w:pPr>
            <w:r>
              <w:rPr>
                <w:rFonts w:eastAsia="Times New Roman" w:cs="Times New Roman"/>
                <w:color w:val="000000"/>
                <w:sz w:val="20"/>
                <w:szCs w:val="20"/>
              </w:rPr>
              <w:t>0,02</w:t>
            </w:r>
          </w:p>
        </w:tc>
        <w:tc>
          <w:tcPr>
            <w:tcW w:w="21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BE8A03"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0,001</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C186D5"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0,0006</w:t>
            </w:r>
          </w:p>
        </w:tc>
        <w:tc>
          <w:tcPr>
            <w:tcW w:w="12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5E6907"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0,00003</w:t>
            </w:r>
          </w:p>
        </w:tc>
      </w:tr>
      <w:tr w:rsidR="00A53D2B" w14:paraId="1449365E" w14:textId="77777777" w:rsidTr="008B1BFC">
        <w:tc>
          <w:tcPr>
            <w:tcW w:w="6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6D1AB7"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2018</w:t>
            </w:r>
          </w:p>
        </w:tc>
        <w:tc>
          <w:tcPr>
            <w:tcW w:w="1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A6A01F" w14:textId="77777777" w:rsidR="00A53D2B" w:rsidRDefault="00A53D2B" w:rsidP="008B1BFC">
            <w:pPr>
              <w:spacing w:before="0" w:after="0" w:line="240" w:lineRule="auto"/>
              <w:ind w:firstLine="42"/>
              <w:rPr>
                <w:rFonts w:eastAsia="Times New Roman" w:cs="Times New Roman"/>
                <w:sz w:val="20"/>
                <w:szCs w:val="20"/>
              </w:rPr>
            </w:pPr>
            <w:r>
              <w:rPr>
                <w:rFonts w:eastAsia="Times New Roman" w:cs="Times New Roman"/>
                <w:color w:val="000000"/>
                <w:sz w:val="20"/>
                <w:szCs w:val="20"/>
              </w:rPr>
              <w:t>0,26</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597D3C"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0,05</w:t>
            </w:r>
          </w:p>
        </w:tc>
        <w:tc>
          <w:tcPr>
            <w:tcW w:w="8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263493" w14:textId="77777777" w:rsidR="00A53D2B" w:rsidRDefault="00A53D2B" w:rsidP="008B1BFC">
            <w:pPr>
              <w:spacing w:before="0" w:after="0" w:line="240" w:lineRule="auto"/>
              <w:ind w:firstLine="38"/>
              <w:rPr>
                <w:rFonts w:eastAsia="Times New Roman" w:cs="Times New Roman"/>
                <w:sz w:val="20"/>
                <w:szCs w:val="20"/>
              </w:rPr>
            </w:pPr>
            <w:r>
              <w:rPr>
                <w:rFonts w:eastAsia="Times New Roman" w:cs="Times New Roman"/>
                <w:color w:val="000000"/>
                <w:sz w:val="20"/>
                <w:szCs w:val="20"/>
              </w:rPr>
              <w:t>0,03</w:t>
            </w:r>
          </w:p>
        </w:tc>
        <w:tc>
          <w:tcPr>
            <w:tcW w:w="21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BBB3B5"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0,001</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EA0B75"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0,004</w:t>
            </w:r>
          </w:p>
        </w:tc>
        <w:tc>
          <w:tcPr>
            <w:tcW w:w="12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C66623"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0,00006</w:t>
            </w:r>
          </w:p>
        </w:tc>
      </w:tr>
      <w:tr w:rsidR="00A53D2B" w14:paraId="04C9A4F7" w14:textId="77777777" w:rsidTr="008B1BFC">
        <w:tc>
          <w:tcPr>
            <w:tcW w:w="6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B76BF8"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2019</w:t>
            </w:r>
          </w:p>
        </w:tc>
        <w:tc>
          <w:tcPr>
            <w:tcW w:w="1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B5EF4C" w14:textId="77777777" w:rsidR="00A53D2B" w:rsidRDefault="00A53D2B" w:rsidP="008B1BFC">
            <w:pPr>
              <w:spacing w:before="0" w:after="0" w:line="240" w:lineRule="auto"/>
              <w:ind w:firstLine="42"/>
              <w:rPr>
                <w:rFonts w:eastAsia="Times New Roman" w:cs="Times New Roman"/>
                <w:sz w:val="20"/>
                <w:szCs w:val="20"/>
              </w:rPr>
            </w:pPr>
            <w:r>
              <w:rPr>
                <w:rFonts w:eastAsia="Times New Roman" w:cs="Times New Roman"/>
                <w:color w:val="000000"/>
                <w:sz w:val="20"/>
                <w:szCs w:val="20"/>
              </w:rPr>
              <w:t>0,39</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AA0729"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0,06</w:t>
            </w:r>
          </w:p>
        </w:tc>
        <w:tc>
          <w:tcPr>
            <w:tcW w:w="8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E16D7B" w14:textId="77777777" w:rsidR="00A53D2B" w:rsidRDefault="00A53D2B" w:rsidP="008B1BFC">
            <w:pPr>
              <w:spacing w:before="0" w:after="0" w:line="240" w:lineRule="auto"/>
              <w:ind w:firstLine="38"/>
              <w:rPr>
                <w:rFonts w:eastAsia="Times New Roman" w:cs="Times New Roman"/>
                <w:sz w:val="20"/>
                <w:szCs w:val="20"/>
              </w:rPr>
            </w:pPr>
            <w:r>
              <w:rPr>
                <w:rFonts w:eastAsia="Times New Roman" w:cs="Times New Roman"/>
                <w:color w:val="000000"/>
                <w:sz w:val="20"/>
                <w:szCs w:val="20"/>
              </w:rPr>
              <w:t>0,04</w:t>
            </w:r>
          </w:p>
        </w:tc>
        <w:tc>
          <w:tcPr>
            <w:tcW w:w="21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3213B9"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0,0006</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2B8CC7"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0,003</w:t>
            </w:r>
          </w:p>
        </w:tc>
        <w:tc>
          <w:tcPr>
            <w:tcW w:w="12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C48FB2"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0,0002</w:t>
            </w:r>
          </w:p>
        </w:tc>
      </w:tr>
      <w:tr w:rsidR="00A53D2B" w14:paraId="49A65637" w14:textId="77777777" w:rsidTr="008B1BFC">
        <w:tc>
          <w:tcPr>
            <w:tcW w:w="6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CA509A"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2020</w:t>
            </w:r>
          </w:p>
        </w:tc>
        <w:tc>
          <w:tcPr>
            <w:tcW w:w="1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82F89D" w14:textId="77777777" w:rsidR="00A53D2B" w:rsidRDefault="00A53D2B" w:rsidP="008B1BFC">
            <w:pPr>
              <w:spacing w:before="0" w:after="0" w:line="240" w:lineRule="auto"/>
              <w:ind w:firstLine="42"/>
              <w:rPr>
                <w:rFonts w:eastAsia="Times New Roman" w:cs="Times New Roman"/>
                <w:sz w:val="20"/>
                <w:szCs w:val="20"/>
              </w:rPr>
            </w:pPr>
            <w:r>
              <w:rPr>
                <w:rFonts w:eastAsia="Times New Roman" w:cs="Times New Roman"/>
                <w:color w:val="000000"/>
                <w:sz w:val="20"/>
                <w:szCs w:val="20"/>
              </w:rPr>
              <w:t>0,14</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88829D"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0,07</w:t>
            </w:r>
          </w:p>
        </w:tc>
        <w:tc>
          <w:tcPr>
            <w:tcW w:w="8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07AA3C" w14:textId="77777777" w:rsidR="00A53D2B" w:rsidRDefault="00A53D2B" w:rsidP="008B1BFC">
            <w:pPr>
              <w:spacing w:before="0" w:after="0" w:line="240" w:lineRule="auto"/>
              <w:ind w:firstLine="38"/>
              <w:rPr>
                <w:rFonts w:eastAsia="Times New Roman" w:cs="Times New Roman"/>
                <w:sz w:val="20"/>
                <w:szCs w:val="20"/>
              </w:rPr>
            </w:pPr>
            <w:r>
              <w:rPr>
                <w:rFonts w:eastAsia="Times New Roman" w:cs="Times New Roman"/>
                <w:color w:val="000000"/>
                <w:sz w:val="20"/>
                <w:szCs w:val="20"/>
              </w:rPr>
              <w:t>0,02</w:t>
            </w:r>
          </w:p>
        </w:tc>
        <w:tc>
          <w:tcPr>
            <w:tcW w:w="21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1A9A89"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0,0006</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A75255"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0,0003</w:t>
            </w:r>
          </w:p>
        </w:tc>
        <w:tc>
          <w:tcPr>
            <w:tcW w:w="12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0E7B8A"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0,000008</w:t>
            </w:r>
          </w:p>
        </w:tc>
      </w:tr>
      <w:tr w:rsidR="00A53D2B" w14:paraId="70D8C0B7" w14:textId="77777777" w:rsidTr="008B1BFC">
        <w:tc>
          <w:tcPr>
            <w:tcW w:w="6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466A34"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2021</w:t>
            </w:r>
          </w:p>
        </w:tc>
        <w:tc>
          <w:tcPr>
            <w:tcW w:w="1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6507C8" w14:textId="77777777" w:rsidR="00A53D2B" w:rsidRDefault="00A53D2B" w:rsidP="008B1BFC">
            <w:pPr>
              <w:spacing w:before="0" w:after="0" w:line="240" w:lineRule="auto"/>
              <w:ind w:firstLine="42"/>
              <w:rPr>
                <w:rFonts w:eastAsia="Times New Roman" w:cs="Times New Roman"/>
                <w:sz w:val="20"/>
                <w:szCs w:val="20"/>
              </w:rPr>
            </w:pPr>
            <w:r>
              <w:rPr>
                <w:rFonts w:eastAsia="Times New Roman" w:cs="Times New Roman"/>
                <w:color w:val="000000"/>
                <w:sz w:val="20"/>
                <w:szCs w:val="20"/>
              </w:rPr>
              <w:t>0,27</w:t>
            </w:r>
          </w:p>
        </w:tc>
        <w:tc>
          <w:tcPr>
            <w:tcW w:w="13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E87B04"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0,07</w:t>
            </w:r>
          </w:p>
        </w:tc>
        <w:tc>
          <w:tcPr>
            <w:tcW w:w="8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C42FDB" w14:textId="77777777" w:rsidR="00A53D2B" w:rsidRDefault="00A53D2B" w:rsidP="008B1BFC">
            <w:pPr>
              <w:spacing w:before="0" w:after="0" w:line="240" w:lineRule="auto"/>
              <w:ind w:firstLine="38"/>
              <w:rPr>
                <w:rFonts w:eastAsia="Times New Roman" w:cs="Times New Roman"/>
                <w:sz w:val="20"/>
                <w:szCs w:val="20"/>
              </w:rPr>
            </w:pPr>
            <w:r>
              <w:rPr>
                <w:rFonts w:eastAsia="Times New Roman" w:cs="Times New Roman"/>
                <w:color w:val="000000"/>
                <w:sz w:val="20"/>
                <w:szCs w:val="20"/>
              </w:rPr>
              <w:t>0,02</w:t>
            </w:r>
          </w:p>
        </w:tc>
        <w:tc>
          <w:tcPr>
            <w:tcW w:w="21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6CB183"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0,001</w:t>
            </w:r>
          </w:p>
        </w:tc>
        <w:tc>
          <w:tcPr>
            <w:tcW w:w="15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E2B6F8"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0,0003</w:t>
            </w:r>
          </w:p>
        </w:tc>
        <w:tc>
          <w:tcPr>
            <w:tcW w:w="12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9233C4"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0,00002</w:t>
            </w:r>
          </w:p>
        </w:tc>
      </w:tr>
    </w:tbl>
    <w:p w14:paraId="46661681" w14:textId="77777777" w:rsidR="00A53D2B" w:rsidRDefault="00A53D2B" w:rsidP="00A53D2B"/>
    <w:p w14:paraId="557A2D9A" w14:textId="77777777" w:rsidR="00A53D2B" w:rsidRDefault="00A53D2B" w:rsidP="008B1BFC">
      <w:pPr>
        <w:spacing w:before="0"/>
        <w:ind w:firstLine="567"/>
        <w:rPr>
          <w:rFonts w:eastAsia="Times New Roman" w:cs="Times New Roman"/>
        </w:rPr>
      </w:pPr>
      <w:r>
        <w:rPr>
          <w:rFonts w:eastAsia="Times New Roman" w:cs="Times New Roman"/>
          <w:color w:val="000000"/>
        </w:rPr>
        <w:t>Pe lângă aceste surse de poluare de pe uscat, menționate și analizate mai sus, introducerea de compuși sintetici și non-sintetici se poate realiza și prin deversări sau scurgeri accidentale în mare de la platformele petroliere din afara zonei de studiu, conductele de transport țiței, sau de la nave. Statistic, aceste poluări accidentale sunt cauzate, în principal, de activitățile de transport naval. Poluările accidentale au fost de mică amploare, sub formă de irizaţii, în zonele afectate au fost folosite baraje flotante antipetrol pentru limitarea poluării apei, şi s-au aplicat substanţe biodegradabile pentru neutralizare. Posibilele locuri de apariţie a acestora şi zonele care ar putea fi afectate, sunt: acvatoriul porturilor Constanţa, Mangalia și Midia, zona Canalului Dunăre-Marea Neagră şi zona Canalului Poarta Albă Midia-Năvodari. Riscul de producere a unor poluări majore este strâns legat de producerea unui accident naval major, precum coliziune și/sau scufundare.</w:t>
      </w:r>
    </w:p>
    <w:p w14:paraId="4B344583" w14:textId="77777777" w:rsidR="00A53D2B" w:rsidRDefault="00A53D2B" w:rsidP="008B1BFC">
      <w:pPr>
        <w:spacing w:before="0"/>
        <w:rPr>
          <w:rFonts w:eastAsia="Times New Roman" w:cs="Times New Roman"/>
          <w:u w:val="single"/>
        </w:rPr>
      </w:pPr>
      <w:r>
        <w:rPr>
          <w:rFonts w:eastAsia="Times New Roman" w:cs="Times New Roman"/>
          <w:color w:val="000000"/>
          <w:u w:val="single"/>
        </w:rPr>
        <w:t>Ape de suprafață (Dunăre, lacuri)</w:t>
      </w:r>
    </w:p>
    <w:p w14:paraId="2F5B80E4" w14:textId="77777777" w:rsidR="00A53D2B" w:rsidRDefault="00A53D2B" w:rsidP="008B1BFC">
      <w:pPr>
        <w:spacing w:before="0"/>
        <w:ind w:firstLine="567"/>
        <w:rPr>
          <w:rFonts w:eastAsia="Times New Roman" w:cs="Times New Roman"/>
        </w:rPr>
      </w:pPr>
      <w:r>
        <w:rPr>
          <w:rFonts w:eastAsia="Times New Roman" w:cs="Times New Roman"/>
          <w:color w:val="000000"/>
        </w:rPr>
        <w:t xml:space="preserve">Cea mai importantă sursă de introducere a compușilor sintetici și non-sintetici în partea de nord a zonei de studiu o constituie fluviul Dunărea. Aportul de poluanți al Dunării a fost discutat mai sus, de menționat este faptul că o parte din acest aport este reținut în Delta Dunării (adsorbit pe suprafața particulelor de sedimente, materie organică particulată, microplastice, etc.) sau acumulat în biota. Dintre sursele locale, este de menționat transportul naval desfășurat pe căile navigabile, atât în ambarcaţiuni mici, cât şi de navele maritime şi fluviale aflate în tranzit (exemplu Sulina, unde s-a arătat influența intensificării tranzitului naval în ultimii 2 ani). Poluarea determinată de activitatea de transport naval se datorează faptului că nu toate navele sunt dotate cu separatoare de reziduuri petroliere eficiente, de exploatarea necorespunzătoare a acestora şi de faptul că porturile dunărene de pe teritoriul rezervaţiei nu sunt dotate cu instalaţii specifice pentru prelucrarea şi reciclarea acestor reziduuri. Pentru evitarea poluării, ARBDD a impus societăţilor deţinătoare de mijloace navale de transport, aplicarea recomandărilor POLDANUBE – 1986 la fluviu şi a Convenţiei MARPOL 73/78 de </w:t>
      </w:r>
      <w:r>
        <w:rPr>
          <w:rFonts w:eastAsia="Times New Roman" w:cs="Times New Roman"/>
          <w:color w:val="000000"/>
        </w:rPr>
        <w:lastRenderedPageBreak/>
        <w:t>către navele maritime, ambele convenţii referindu-se la colectarea, stocarea la bordul navelor a reziduurilor de hidrocarburi, precum şi ţinerea evidenţei predării acestora la unităţile colectoare (Consiliul Județean Tulcea, 2021). De asemenea, activitățile agricole din Delta Dunării pot contribui la introducerea unor compuși sintetici și non-sintetici în apele de suprafață (lacuri, canale).</w:t>
      </w:r>
    </w:p>
    <w:p w14:paraId="646C7D8C" w14:textId="02B0AA1A" w:rsidR="00A53D2B" w:rsidRDefault="00A53D2B" w:rsidP="008B1BFC">
      <w:pPr>
        <w:spacing w:before="0"/>
        <w:ind w:firstLine="567"/>
        <w:rPr>
          <w:rFonts w:eastAsia="Times New Roman" w:cs="Times New Roman"/>
        </w:rPr>
      </w:pPr>
      <w:r>
        <w:rPr>
          <w:rFonts w:eastAsia="Times New Roman" w:cs="Times New Roman"/>
          <w:color w:val="000000"/>
        </w:rPr>
        <w:t xml:space="preserve">Alte surse de poluare sunt reprezentate de stațiile de epurare care tratează doar parțial apele uzate (tratament primar și secundar), precum și lipsa colectării și epurării apelor menajere în unele localități rurale. Emisiile de poluanți din stațiile de epurare urbane Sulina și Jurilovca sunt redate în Tabelul </w:t>
      </w:r>
      <w:r w:rsidR="008B1BFC">
        <w:rPr>
          <w:rFonts w:eastAsia="Times New Roman" w:cs="Times New Roman"/>
          <w:color w:val="000000"/>
        </w:rPr>
        <w:t>2.</w:t>
      </w:r>
      <w:r>
        <w:rPr>
          <w:rFonts w:eastAsia="Times New Roman" w:cs="Times New Roman"/>
          <w:color w:val="000000"/>
        </w:rPr>
        <w:t>5.2.7.</w:t>
      </w:r>
    </w:p>
    <w:p w14:paraId="31195215" w14:textId="77777777" w:rsidR="00A53D2B" w:rsidRDefault="00A53D2B" w:rsidP="008B1BFC">
      <w:pPr>
        <w:spacing w:before="0"/>
      </w:pPr>
    </w:p>
    <w:p w14:paraId="336EAA86" w14:textId="4E7A6B2E" w:rsidR="00A53D2B" w:rsidRDefault="00A53D2B" w:rsidP="00A53D2B">
      <w:pPr>
        <w:spacing w:after="0"/>
        <w:jc w:val="center"/>
        <w:rPr>
          <w:rFonts w:eastAsia="Times New Roman" w:cs="Times New Roman"/>
        </w:rPr>
      </w:pPr>
      <w:bookmarkStart w:id="128" w:name="_heading=h.4k668n3" w:colFirst="0" w:colLast="0"/>
      <w:bookmarkEnd w:id="128"/>
      <w:r>
        <w:rPr>
          <w:rFonts w:eastAsia="Times New Roman" w:cs="Times New Roman"/>
          <w:b/>
          <w:color w:val="000000"/>
        </w:rPr>
        <w:t xml:space="preserve">Tabel </w:t>
      </w:r>
      <w:r w:rsidR="008B1BFC">
        <w:rPr>
          <w:rFonts w:eastAsia="Times New Roman" w:cs="Times New Roman"/>
          <w:b/>
          <w:color w:val="000000"/>
        </w:rPr>
        <w:t>2.</w:t>
      </w:r>
      <w:r>
        <w:rPr>
          <w:rFonts w:eastAsia="Times New Roman" w:cs="Times New Roman"/>
          <w:b/>
          <w:color w:val="000000"/>
        </w:rPr>
        <w:t>5.2.7 Emisii de substanțe sintetice și nesintetice (tone/an) din stația de epurare Sulina și Jurilovca (</w:t>
      </w:r>
      <w:r>
        <w:rPr>
          <w:rFonts w:eastAsia="Times New Roman" w:cs="Times New Roman"/>
          <w:b/>
          <w:i/>
          <w:color w:val="000000"/>
        </w:rPr>
        <w:t>sursa: Administrația Națională Apele Române, 2023</w:t>
      </w:r>
      <w:r>
        <w:rPr>
          <w:rFonts w:eastAsia="Times New Roman" w:cs="Times New Roman"/>
          <w:b/>
          <w:color w:val="000000"/>
        </w:rPr>
        <w:t>)</w:t>
      </w:r>
    </w:p>
    <w:tbl>
      <w:tblPr>
        <w:tblW w:w="7476" w:type="dxa"/>
        <w:jc w:val="center"/>
        <w:tblLayout w:type="fixed"/>
        <w:tblLook w:val="0400" w:firstRow="0" w:lastRow="0" w:firstColumn="0" w:lastColumn="0" w:noHBand="0" w:noVBand="1"/>
      </w:tblPr>
      <w:tblGrid>
        <w:gridCol w:w="960"/>
        <w:gridCol w:w="1382"/>
        <w:gridCol w:w="1947"/>
        <w:gridCol w:w="1637"/>
        <w:gridCol w:w="1314"/>
        <w:gridCol w:w="236"/>
      </w:tblGrid>
      <w:tr w:rsidR="00A53D2B" w14:paraId="7034352C" w14:textId="77777777" w:rsidTr="008B1BFC">
        <w:trPr>
          <w:gridAfter w:val="1"/>
          <w:wAfter w:w="50" w:type="dxa"/>
          <w:trHeight w:val="557"/>
          <w:jc w:val="center"/>
        </w:trPr>
        <w:tc>
          <w:tcPr>
            <w:tcW w:w="98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90A7AE" w14:textId="77777777" w:rsidR="00A53D2B" w:rsidRDefault="00A53D2B" w:rsidP="008B1BFC">
            <w:pPr>
              <w:spacing w:before="0" w:after="0" w:line="240" w:lineRule="auto"/>
              <w:ind w:firstLine="32"/>
              <w:rPr>
                <w:rFonts w:eastAsia="Times New Roman" w:cs="Times New Roman"/>
                <w:sz w:val="20"/>
                <w:szCs w:val="20"/>
              </w:rPr>
            </w:pPr>
            <w:r>
              <w:rPr>
                <w:rFonts w:eastAsia="Times New Roman" w:cs="Times New Roman"/>
                <w:color w:val="000000"/>
                <w:sz w:val="20"/>
                <w:szCs w:val="20"/>
              </w:rPr>
              <w:t>An</w:t>
            </w:r>
          </w:p>
        </w:tc>
        <w:tc>
          <w:tcPr>
            <w:tcW w:w="141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7D7F40" w14:textId="77777777" w:rsidR="00A53D2B" w:rsidRDefault="00A53D2B" w:rsidP="008B1BFC">
            <w:pPr>
              <w:spacing w:before="0" w:after="0" w:line="240" w:lineRule="auto"/>
              <w:ind w:firstLine="64"/>
              <w:rPr>
                <w:rFonts w:eastAsia="Times New Roman" w:cs="Times New Roman"/>
                <w:sz w:val="20"/>
                <w:szCs w:val="20"/>
              </w:rPr>
            </w:pPr>
            <w:r>
              <w:rPr>
                <w:rFonts w:eastAsia="Times New Roman" w:cs="Times New Roman"/>
                <w:color w:val="000000"/>
                <w:sz w:val="20"/>
                <w:szCs w:val="20"/>
              </w:rPr>
              <w:t>Stația</w:t>
            </w:r>
          </w:p>
        </w:tc>
        <w:tc>
          <w:tcPr>
            <w:tcW w:w="1999"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878734"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Hidrocarburi totale, tone/an </w:t>
            </w:r>
          </w:p>
        </w:tc>
        <w:tc>
          <w:tcPr>
            <w:tcW w:w="168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5A9E46" w14:textId="77777777" w:rsidR="00A53D2B" w:rsidRDefault="00A53D2B" w:rsidP="008B1BFC">
            <w:pPr>
              <w:spacing w:before="0" w:after="0" w:line="240" w:lineRule="auto"/>
              <w:ind w:hanging="4"/>
              <w:rPr>
                <w:rFonts w:eastAsia="Times New Roman" w:cs="Times New Roman"/>
                <w:sz w:val="20"/>
                <w:szCs w:val="20"/>
              </w:rPr>
            </w:pPr>
            <w:r>
              <w:rPr>
                <w:rFonts w:eastAsia="Times New Roman" w:cs="Times New Roman"/>
                <w:color w:val="000000"/>
                <w:sz w:val="20"/>
                <w:szCs w:val="20"/>
              </w:rPr>
              <w:t>Detergenți tone/an</w:t>
            </w:r>
          </w:p>
        </w:tc>
        <w:tc>
          <w:tcPr>
            <w:tcW w:w="134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76A8BC" w14:textId="77777777" w:rsidR="00A53D2B" w:rsidRDefault="00A53D2B" w:rsidP="008B1BFC">
            <w:pPr>
              <w:spacing w:before="0" w:after="0" w:line="240" w:lineRule="auto"/>
              <w:ind w:firstLine="60"/>
              <w:rPr>
                <w:rFonts w:eastAsia="Times New Roman" w:cs="Times New Roman"/>
                <w:sz w:val="20"/>
                <w:szCs w:val="20"/>
              </w:rPr>
            </w:pPr>
            <w:r>
              <w:rPr>
                <w:rFonts w:eastAsia="Times New Roman" w:cs="Times New Roman"/>
                <w:color w:val="000000"/>
                <w:sz w:val="20"/>
                <w:szCs w:val="20"/>
              </w:rPr>
              <w:t>Fenoli tone/an</w:t>
            </w:r>
          </w:p>
        </w:tc>
      </w:tr>
      <w:tr w:rsidR="00A53D2B" w14:paraId="565F531F" w14:textId="77777777" w:rsidTr="008B1BFC">
        <w:trPr>
          <w:trHeight w:val="33"/>
          <w:jc w:val="center"/>
        </w:trPr>
        <w:tc>
          <w:tcPr>
            <w:tcW w:w="98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E8C303" w14:textId="77777777" w:rsidR="00A53D2B" w:rsidRDefault="00A53D2B" w:rsidP="008B1BFC">
            <w:pPr>
              <w:widowControl w:val="0"/>
              <w:pBdr>
                <w:top w:val="nil"/>
                <w:left w:val="nil"/>
                <w:bottom w:val="nil"/>
                <w:right w:val="nil"/>
                <w:between w:val="nil"/>
              </w:pBdr>
              <w:spacing w:before="0" w:after="0"/>
              <w:ind w:firstLine="32"/>
              <w:rPr>
                <w:rFonts w:eastAsia="Times New Roman" w:cs="Times New Roman"/>
                <w:sz w:val="20"/>
                <w:szCs w:val="20"/>
              </w:rPr>
            </w:pPr>
          </w:p>
        </w:tc>
        <w:tc>
          <w:tcPr>
            <w:tcW w:w="141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8DFE78" w14:textId="77777777" w:rsidR="00A53D2B" w:rsidRDefault="00A53D2B" w:rsidP="008B1BFC">
            <w:pPr>
              <w:widowControl w:val="0"/>
              <w:pBdr>
                <w:top w:val="nil"/>
                <w:left w:val="nil"/>
                <w:bottom w:val="nil"/>
                <w:right w:val="nil"/>
                <w:between w:val="nil"/>
              </w:pBdr>
              <w:spacing w:before="0" w:after="0"/>
              <w:ind w:firstLine="64"/>
              <w:rPr>
                <w:rFonts w:eastAsia="Times New Roman" w:cs="Times New Roman"/>
                <w:sz w:val="20"/>
                <w:szCs w:val="20"/>
              </w:rPr>
            </w:pPr>
          </w:p>
        </w:tc>
        <w:tc>
          <w:tcPr>
            <w:tcW w:w="1999"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67F3CC" w14:textId="77777777" w:rsidR="00A53D2B" w:rsidRDefault="00A53D2B" w:rsidP="008B1BFC">
            <w:pPr>
              <w:widowControl w:val="0"/>
              <w:pBdr>
                <w:top w:val="nil"/>
                <w:left w:val="nil"/>
                <w:bottom w:val="nil"/>
                <w:right w:val="nil"/>
                <w:between w:val="nil"/>
              </w:pBdr>
              <w:spacing w:before="0" w:after="0"/>
              <w:ind w:firstLine="0"/>
              <w:rPr>
                <w:rFonts w:eastAsia="Times New Roman" w:cs="Times New Roman"/>
                <w:sz w:val="20"/>
                <w:szCs w:val="20"/>
              </w:rPr>
            </w:pPr>
          </w:p>
        </w:tc>
        <w:tc>
          <w:tcPr>
            <w:tcW w:w="168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00A769" w14:textId="77777777" w:rsidR="00A53D2B" w:rsidRDefault="00A53D2B" w:rsidP="008B1BFC">
            <w:pPr>
              <w:widowControl w:val="0"/>
              <w:pBdr>
                <w:top w:val="nil"/>
                <w:left w:val="nil"/>
                <w:bottom w:val="nil"/>
                <w:right w:val="nil"/>
                <w:between w:val="nil"/>
              </w:pBdr>
              <w:spacing w:before="0" w:after="0"/>
              <w:ind w:hanging="4"/>
              <w:rPr>
                <w:rFonts w:eastAsia="Times New Roman" w:cs="Times New Roman"/>
                <w:sz w:val="20"/>
                <w:szCs w:val="20"/>
              </w:rPr>
            </w:pPr>
          </w:p>
        </w:tc>
        <w:tc>
          <w:tcPr>
            <w:tcW w:w="134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2339DD" w14:textId="77777777" w:rsidR="00A53D2B" w:rsidRDefault="00A53D2B" w:rsidP="008B1BFC">
            <w:pPr>
              <w:widowControl w:val="0"/>
              <w:pBdr>
                <w:top w:val="nil"/>
                <w:left w:val="nil"/>
                <w:bottom w:val="nil"/>
                <w:right w:val="nil"/>
                <w:between w:val="nil"/>
              </w:pBdr>
              <w:spacing w:before="0" w:after="0"/>
              <w:ind w:firstLine="60"/>
              <w:rPr>
                <w:rFonts w:eastAsia="Times New Roman" w:cs="Times New Roman"/>
                <w:sz w:val="20"/>
                <w:szCs w:val="20"/>
              </w:rPr>
            </w:pPr>
          </w:p>
        </w:tc>
        <w:tc>
          <w:tcPr>
            <w:tcW w:w="50" w:type="dxa"/>
            <w:vAlign w:val="center"/>
          </w:tcPr>
          <w:p w14:paraId="2C6FC182" w14:textId="77777777" w:rsidR="00A53D2B" w:rsidRDefault="00A53D2B" w:rsidP="008B1BFC">
            <w:pPr>
              <w:spacing w:before="0" w:after="0"/>
            </w:pPr>
          </w:p>
        </w:tc>
      </w:tr>
      <w:tr w:rsidR="00A53D2B" w14:paraId="0D2DCE90" w14:textId="77777777" w:rsidTr="008B1BFC">
        <w:trPr>
          <w:trHeight w:val="367"/>
          <w:jc w:val="center"/>
        </w:trPr>
        <w:tc>
          <w:tcPr>
            <w:tcW w:w="98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049D43" w14:textId="77777777" w:rsidR="00A53D2B" w:rsidRDefault="00A53D2B" w:rsidP="008B1BFC">
            <w:pPr>
              <w:spacing w:before="0" w:after="0" w:line="240" w:lineRule="auto"/>
              <w:ind w:firstLine="32"/>
              <w:rPr>
                <w:rFonts w:eastAsia="Times New Roman" w:cs="Times New Roman"/>
                <w:sz w:val="20"/>
                <w:szCs w:val="20"/>
              </w:rPr>
            </w:pPr>
            <w:r>
              <w:rPr>
                <w:rFonts w:eastAsia="Times New Roman" w:cs="Times New Roman"/>
                <w:color w:val="000000"/>
                <w:sz w:val="20"/>
                <w:szCs w:val="20"/>
              </w:rPr>
              <w:t>2018</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11D461" w14:textId="77777777" w:rsidR="00A53D2B" w:rsidRDefault="00A53D2B" w:rsidP="008B1BFC">
            <w:pPr>
              <w:spacing w:before="0" w:after="0" w:line="240" w:lineRule="auto"/>
              <w:ind w:firstLine="64"/>
              <w:rPr>
                <w:rFonts w:eastAsia="Times New Roman" w:cs="Times New Roman"/>
                <w:sz w:val="20"/>
                <w:szCs w:val="20"/>
              </w:rPr>
            </w:pPr>
            <w:r>
              <w:rPr>
                <w:rFonts w:eastAsia="Times New Roman" w:cs="Times New Roman"/>
                <w:color w:val="000000"/>
                <w:sz w:val="20"/>
                <w:szCs w:val="20"/>
              </w:rPr>
              <w:t>Sulina</w:t>
            </w:r>
          </w:p>
        </w:tc>
        <w:tc>
          <w:tcPr>
            <w:tcW w:w="19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0D5A31" w14:textId="77777777" w:rsidR="00A53D2B" w:rsidRDefault="00A53D2B" w:rsidP="008B1BFC">
            <w:pPr>
              <w:spacing w:before="0" w:after="0" w:line="240" w:lineRule="auto"/>
              <w:ind w:firstLine="0"/>
              <w:rPr>
                <w:rFonts w:eastAsia="Times New Roman" w:cs="Times New Roman"/>
                <w:sz w:val="20"/>
                <w:szCs w:val="20"/>
              </w:rPr>
            </w:pPr>
          </w:p>
        </w:tc>
        <w:tc>
          <w:tcPr>
            <w:tcW w:w="1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49D22F" w14:textId="77777777" w:rsidR="00A53D2B" w:rsidRDefault="00A53D2B" w:rsidP="008B1BFC">
            <w:pPr>
              <w:spacing w:before="0" w:after="0" w:line="240" w:lineRule="auto"/>
              <w:ind w:hanging="4"/>
              <w:rPr>
                <w:rFonts w:eastAsia="Times New Roman" w:cs="Times New Roman"/>
                <w:sz w:val="20"/>
                <w:szCs w:val="20"/>
              </w:rPr>
            </w:pPr>
            <w:r>
              <w:rPr>
                <w:rFonts w:eastAsia="Times New Roman" w:cs="Times New Roman"/>
                <w:color w:val="000000"/>
                <w:sz w:val="20"/>
                <w:szCs w:val="20"/>
              </w:rPr>
              <w:t>0,00007</w:t>
            </w:r>
          </w:p>
        </w:tc>
        <w:tc>
          <w:tcPr>
            <w:tcW w:w="13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111A61" w14:textId="77777777" w:rsidR="00A53D2B" w:rsidRDefault="00A53D2B" w:rsidP="008B1BFC">
            <w:pPr>
              <w:spacing w:before="0" w:after="0" w:line="240" w:lineRule="auto"/>
              <w:ind w:firstLine="60"/>
              <w:rPr>
                <w:rFonts w:eastAsia="Times New Roman" w:cs="Times New Roman"/>
                <w:sz w:val="20"/>
                <w:szCs w:val="20"/>
              </w:rPr>
            </w:pPr>
          </w:p>
        </w:tc>
        <w:tc>
          <w:tcPr>
            <w:tcW w:w="50" w:type="dxa"/>
            <w:vAlign w:val="center"/>
          </w:tcPr>
          <w:p w14:paraId="662DFC1D" w14:textId="77777777" w:rsidR="00A53D2B" w:rsidRDefault="00A53D2B" w:rsidP="008B1BFC">
            <w:pPr>
              <w:spacing w:before="0" w:after="0"/>
              <w:rPr>
                <w:sz w:val="20"/>
                <w:szCs w:val="20"/>
              </w:rPr>
            </w:pPr>
          </w:p>
        </w:tc>
      </w:tr>
      <w:tr w:rsidR="00A53D2B" w14:paraId="71AA52AB" w14:textId="77777777" w:rsidTr="008B1BFC">
        <w:trPr>
          <w:trHeight w:val="263"/>
          <w:jc w:val="center"/>
        </w:trPr>
        <w:tc>
          <w:tcPr>
            <w:tcW w:w="98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5A1E9D" w14:textId="77777777" w:rsidR="00A53D2B" w:rsidRDefault="00A53D2B" w:rsidP="008B1BFC">
            <w:pPr>
              <w:widowControl w:val="0"/>
              <w:pBdr>
                <w:top w:val="nil"/>
                <w:left w:val="nil"/>
                <w:bottom w:val="nil"/>
                <w:right w:val="nil"/>
                <w:between w:val="nil"/>
              </w:pBdr>
              <w:spacing w:before="0" w:after="0"/>
              <w:ind w:firstLine="32"/>
              <w:rPr>
                <w:sz w:val="20"/>
                <w:szCs w:val="20"/>
              </w:rPr>
            </w:pP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553EA1" w14:textId="77777777" w:rsidR="00A53D2B" w:rsidRDefault="00A53D2B" w:rsidP="008B1BFC">
            <w:pPr>
              <w:spacing w:before="0" w:after="0" w:line="240" w:lineRule="auto"/>
              <w:ind w:firstLine="64"/>
              <w:rPr>
                <w:rFonts w:eastAsia="Times New Roman" w:cs="Times New Roman"/>
                <w:sz w:val="20"/>
                <w:szCs w:val="20"/>
              </w:rPr>
            </w:pPr>
            <w:r>
              <w:rPr>
                <w:rFonts w:eastAsia="Times New Roman" w:cs="Times New Roman"/>
                <w:color w:val="000000"/>
                <w:sz w:val="20"/>
                <w:szCs w:val="20"/>
              </w:rPr>
              <w:t>Jurilovca</w:t>
            </w:r>
          </w:p>
        </w:tc>
        <w:tc>
          <w:tcPr>
            <w:tcW w:w="19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509F47" w14:textId="77777777" w:rsidR="00A53D2B" w:rsidRDefault="00A53D2B" w:rsidP="008B1BFC">
            <w:pPr>
              <w:spacing w:before="0" w:after="0" w:line="240" w:lineRule="auto"/>
              <w:ind w:firstLine="0"/>
              <w:rPr>
                <w:rFonts w:eastAsia="Times New Roman" w:cs="Times New Roman"/>
                <w:sz w:val="20"/>
                <w:szCs w:val="20"/>
              </w:rPr>
            </w:pPr>
          </w:p>
        </w:tc>
        <w:tc>
          <w:tcPr>
            <w:tcW w:w="1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FB12C6" w14:textId="77777777" w:rsidR="00A53D2B" w:rsidRDefault="00A53D2B" w:rsidP="008B1BFC">
            <w:pPr>
              <w:spacing w:before="0" w:after="0" w:line="240" w:lineRule="auto"/>
              <w:ind w:hanging="4"/>
              <w:rPr>
                <w:rFonts w:eastAsia="Times New Roman" w:cs="Times New Roman"/>
                <w:sz w:val="20"/>
                <w:szCs w:val="20"/>
              </w:rPr>
            </w:pPr>
          </w:p>
        </w:tc>
        <w:tc>
          <w:tcPr>
            <w:tcW w:w="13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0C27AD" w14:textId="77777777" w:rsidR="00A53D2B" w:rsidRDefault="00A53D2B" w:rsidP="008B1BFC">
            <w:pPr>
              <w:spacing w:before="0" w:after="0" w:line="240" w:lineRule="auto"/>
              <w:ind w:firstLine="60"/>
              <w:rPr>
                <w:rFonts w:eastAsia="Times New Roman" w:cs="Times New Roman"/>
                <w:sz w:val="20"/>
                <w:szCs w:val="20"/>
              </w:rPr>
            </w:pPr>
          </w:p>
        </w:tc>
        <w:tc>
          <w:tcPr>
            <w:tcW w:w="50" w:type="dxa"/>
            <w:vAlign w:val="center"/>
          </w:tcPr>
          <w:p w14:paraId="615AC0FB" w14:textId="77777777" w:rsidR="00A53D2B" w:rsidRDefault="00A53D2B" w:rsidP="008B1BFC">
            <w:pPr>
              <w:spacing w:before="0" w:after="0"/>
              <w:rPr>
                <w:sz w:val="20"/>
                <w:szCs w:val="20"/>
              </w:rPr>
            </w:pPr>
          </w:p>
        </w:tc>
      </w:tr>
      <w:tr w:rsidR="00A53D2B" w14:paraId="15267853" w14:textId="77777777" w:rsidTr="008B1BFC">
        <w:trPr>
          <w:trHeight w:val="356"/>
          <w:jc w:val="center"/>
        </w:trPr>
        <w:tc>
          <w:tcPr>
            <w:tcW w:w="98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326322" w14:textId="77777777" w:rsidR="00A53D2B" w:rsidRDefault="00A53D2B" w:rsidP="008B1BFC">
            <w:pPr>
              <w:spacing w:before="0" w:after="0" w:line="240" w:lineRule="auto"/>
              <w:ind w:firstLine="32"/>
              <w:rPr>
                <w:rFonts w:eastAsia="Times New Roman" w:cs="Times New Roman"/>
                <w:sz w:val="20"/>
                <w:szCs w:val="20"/>
              </w:rPr>
            </w:pPr>
            <w:r>
              <w:rPr>
                <w:rFonts w:eastAsia="Times New Roman" w:cs="Times New Roman"/>
                <w:color w:val="000000"/>
                <w:sz w:val="20"/>
                <w:szCs w:val="20"/>
              </w:rPr>
              <w:t>2019</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11D050" w14:textId="77777777" w:rsidR="00A53D2B" w:rsidRDefault="00A53D2B" w:rsidP="008B1BFC">
            <w:pPr>
              <w:spacing w:before="0" w:after="0" w:line="240" w:lineRule="auto"/>
              <w:ind w:firstLine="64"/>
              <w:rPr>
                <w:rFonts w:eastAsia="Times New Roman" w:cs="Times New Roman"/>
                <w:sz w:val="20"/>
                <w:szCs w:val="20"/>
              </w:rPr>
            </w:pPr>
            <w:r>
              <w:rPr>
                <w:rFonts w:eastAsia="Times New Roman" w:cs="Times New Roman"/>
                <w:color w:val="000000"/>
                <w:sz w:val="20"/>
                <w:szCs w:val="20"/>
              </w:rPr>
              <w:t>Sulina</w:t>
            </w:r>
          </w:p>
        </w:tc>
        <w:tc>
          <w:tcPr>
            <w:tcW w:w="19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717968"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0,000009</w:t>
            </w:r>
          </w:p>
        </w:tc>
        <w:tc>
          <w:tcPr>
            <w:tcW w:w="1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4B7DA5" w14:textId="77777777" w:rsidR="00A53D2B" w:rsidRDefault="00A53D2B" w:rsidP="008B1BFC">
            <w:pPr>
              <w:spacing w:before="0" w:after="0" w:line="240" w:lineRule="auto"/>
              <w:ind w:hanging="4"/>
              <w:rPr>
                <w:rFonts w:eastAsia="Times New Roman" w:cs="Times New Roman"/>
                <w:sz w:val="20"/>
                <w:szCs w:val="20"/>
              </w:rPr>
            </w:pPr>
            <w:r>
              <w:rPr>
                <w:rFonts w:eastAsia="Times New Roman" w:cs="Times New Roman"/>
                <w:color w:val="000000"/>
                <w:sz w:val="20"/>
                <w:szCs w:val="20"/>
              </w:rPr>
              <w:t>0,00003</w:t>
            </w:r>
          </w:p>
        </w:tc>
        <w:tc>
          <w:tcPr>
            <w:tcW w:w="13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200E50" w14:textId="77777777" w:rsidR="00A53D2B" w:rsidRDefault="00A53D2B" w:rsidP="008B1BFC">
            <w:pPr>
              <w:spacing w:before="0" w:after="0" w:line="240" w:lineRule="auto"/>
              <w:ind w:firstLine="60"/>
              <w:rPr>
                <w:rFonts w:eastAsia="Times New Roman" w:cs="Times New Roman"/>
                <w:sz w:val="20"/>
                <w:szCs w:val="20"/>
              </w:rPr>
            </w:pPr>
          </w:p>
        </w:tc>
        <w:tc>
          <w:tcPr>
            <w:tcW w:w="50" w:type="dxa"/>
            <w:vAlign w:val="center"/>
          </w:tcPr>
          <w:p w14:paraId="5FD1F810" w14:textId="77777777" w:rsidR="00A53D2B" w:rsidRDefault="00A53D2B" w:rsidP="008B1BFC">
            <w:pPr>
              <w:spacing w:before="0" w:after="0"/>
              <w:rPr>
                <w:sz w:val="20"/>
                <w:szCs w:val="20"/>
              </w:rPr>
            </w:pPr>
          </w:p>
        </w:tc>
      </w:tr>
      <w:tr w:rsidR="00A53D2B" w14:paraId="5AF540F2" w14:textId="77777777" w:rsidTr="008B1BFC">
        <w:trPr>
          <w:trHeight w:val="351"/>
          <w:jc w:val="center"/>
        </w:trPr>
        <w:tc>
          <w:tcPr>
            <w:tcW w:w="98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E2BAF3" w14:textId="77777777" w:rsidR="00A53D2B" w:rsidRDefault="00A53D2B" w:rsidP="008B1BFC">
            <w:pPr>
              <w:widowControl w:val="0"/>
              <w:pBdr>
                <w:top w:val="nil"/>
                <w:left w:val="nil"/>
                <w:bottom w:val="nil"/>
                <w:right w:val="nil"/>
                <w:between w:val="nil"/>
              </w:pBdr>
              <w:spacing w:before="0" w:after="0"/>
              <w:ind w:firstLine="32"/>
              <w:rPr>
                <w:sz w:val="20"/>
                <w:szCs w:val="20"/>
              </w:rPr>
            </w:pP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2B0253" w14:textId="77777777" w:rsidR="00A53D2B" w:rsidRDefault="00A53D2B" w:rsidP="008B1BFC">
            <w:pPr>
              <w:spacing w:before="0" w:after="0" w:line="240" w:lineRule="auto"/>
              <w:ind w:firstLine="64"/>
              <w:rPr>
                <w:rFonts w:eastAsia="Times New Roman" w:cs="Times New Roman"/>
                <w:sz w:val="20"/>
                <w:szCs w:val="20"/>
              </w:rPr>
            </w:pPr>
            <w:r>
              <w:rPr>
                <w:rFonts w:eastAsia="Times New Roman" w:cs="Times New Roman"/>
                <w:color w:val="000000"/>
                <w:sz w:val="20"/>
                <w:szCs w:val="20"/>
              </w:rPr>
              <w:t>Jurilovca</w:t>
            </w:r>
          </w:p>
        </w:tc>
        <w:tc>
          <w:tcPr>
            <w:tcW w:w="19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050257" w14:textId="77777777" w:rsidR="00A53D2B" w:rsidRDefault="00A53D2B" w:rsidP="008B1BFC">
            <w:pPr>
              <w:spacing w:before="0" w:after="0" w:line="240" w:lineRule="auto"/>
              <w:ind w:firstLine="0"/>
              <w:rPr>
                <w:rFonts w:eastAsia="Times New Roman" w:cs="Times New Roman"/>
                <w:sz w:val="20"/>
                <w:szCs w:val="20"/>
              </w:rPr>
            </w:pPr>
          </w:p>
        </w:tc>
        <w:tc>
          <w:tcPr>
            <w:tcW w:w="1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37BBCB" w14:textId="77777777" w:rsidR="00A53D2B" w:rsidRDefault="00A53D2B" w:rsidP="008B1BFC">
            <w:pPr>
              <w:spacing w:before="0" w:after="0" w:line="240" w:lineRule="auto"/>
              <w:ind w:hanging="4"/>
              <w:rPr>
                <w:rFonts w:eastAsia="Times New Roman" w:cs="Times New Roman"/>
                <w:sz w:val="20"/>
                <w:szCs w:val="20"/>
              </w:rPr>
            </w:pPr>
            <w:r>
              <w:rPr>
                <w:rFonts w:eastAsia="Times New Roman" w:cs="Times New Roman"/>
                <w:color w:val="000000"/>
                <w:sz w:val="20"/>
                <w:szCs w:val="20"/>
              </w:rPr>
              <w:t>0,0003</w:t>
            </w:r>
          </w:p>
        </w:tc>
        <w:tc>
          <w:tcPr>
            <w:tcW w:w="13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2C1BB5" w14:textId="77777777" w:rsidR="00A53D2B" w:rsidRDefault="00A53D2B" w:rsidP="008B1BFC">
            <w:pPr>
              <w:spacing w:before="0" w:after="0" w:line="240" w:lineRule="auto"/>
              <w:ind w:firstLine="60"/>
              <w:rPr>
                <w:rFonts w:eastAsia="Times New Roman" w:cs="Times New Roman"/>
                <w:sz w:val="20"/>
                <w:szCs w:val="20"/>
              </w:rPr>
            </w:pPr>
            <w:r>
              <w:rPr>
                <w:rFonts w:eastAsia="Times New Roman" w:cs="Times New Roman"/>
                <w:color w:val="000000"/>
                <w:sz w:val="20"/>
                <w:szCs w:val="20"/>
              </w:rPr>
              <w:t xml:space="preserve"> 0,000006</w:t>
            </w:r>
          </w:p>
        </w:tc>
        <w:tc>
          <w:tcPr>
            <w:tcW w:w="50" w:type="dxa"/>
            <w:vAlign w:val="center"/>
          </w:tcPr>
          <w:p w14:paraId="242FDB1A" w14:textId="77777777" w:rsidR="00A53D2B" w:rsidRDefault="00A53D2B" w:rsidP="008B1BFC">
            <w:pPr>
              <w:spacing w:before="0" w:after="0"/>
              <w:rPr>
                <w:sz w:val="20"/>
                <w:szCs w:val="20"/>
              </w:rPr>
            </w:pPr>
          </w:p>
        </w:tc>
      </w:tr>
      <w:tr w:rsidR="00A53D2B" w14:paraId="27D1E415" w14:textId="77777777" w:rsidTr="008B1BFC">
        <w:trPr>
          <w:trHeight w:val="306"/>
          <w:jc w:val="center"/>
        </w:trPr>
        <w:tc>
          <w:tcPr>
            <w:tcW w:w="98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C96F37" w14:textId="77777777" w:rsidR="00A53D2B" w:rsidRDefault="00A53D2B" w:rsidP="008B1BFC">
            <w:pPr>
              <w:spacing w:before="0" w:after="0" w:line="240" w:lineRule="auto"/>
              <w:ind w:firstLine="32"/>
              <w:rPr>
                <w:rFonts w:eastAsia="Times New Roman" w:cs="Times New Roman"/>
                <w:sz w:val="20"/>
                <w:szCs w:val="20"/>
              </w:rPr>
            </w:pPr>
            <w:r>
              <w:rPr>
                <w:rFonts w:eastAsia="Times New Roman" w:cs="Times New Roman"/>
                <w:color w:val="000000"/>
                <w:sz w:val="20"/>
                <w:szCs w:val="20"/>
              </w:rPr>
              <w:t>2020</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BC48A8" w14:textId="77777777" w:rsidR="00A53D2B" w:rsidRDefault="00A53D2B" w:rsidP="008B1BFC">
            <w:pPr>
              <w:spacing w:before="0" w:after="0" w:line="240" w:lineRule="auto"/>
              <w:ind w:firstLine="64"/>
              <w:rPr>
                <w:rFonts w:eastAsia="Times New Roman" w:cs="Times New Roman"/>
                <w:sz w:val="20"/>
                <w:szCs w:val="20"/>
              </w:rPr>
            </w:pPr>
            <w:r>
              <w:rPr>
                <w:rFonts w:eastAsia="Times New Roman" w:cs="Times New Roman"/>
                <w:color w:val="000000"/>
                <w:sz w:val="20"/>
                <w:szCs w:val="20"/>
              </w:rPr>
              <w:t>Sulina</w:t>
            </w:r>
          </w:p>
        </w:tc>
        <w:tc>
          <w:tcPr>
            <w:tcW w:w="19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3C06EE"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0,00004</w:t>
            </w:r>
          </w:p>
        </w:tc>
        <w:tc>
          <w:tcPr>
            <w:tcW w:w="1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E2D79D" w14:textId="77777777" w:rsidR="00A53D2B" w:rsidRDefault="00A53D2B" w:rsidP="008B1BFC">
            <w:pPr>
              <w:spacing w:before="0" w:after="0" w:line="240" w:lineRule="auto"/>
              <w:ind w:hanging="4"/>
              <w:rPr>
                <w:rFonts w:eastAsia="Times New Roman" w:cs="Times New Roman"/>
                <w:sz w:val="20"/>
                <w:szCs w:val="20"/>
              </w:rPr>
            </w:pPr>
            <w:r>
              <w:rPr>
                <w:rFonts w:eastAsia="Times New Roman" w:cs="Times New Roman"/>
                <w:color w:val="000000"/>
                <w:sz w:val="20"/>
                <w:szCs w:val="20"/>
              </w:rPr>
              <w:t>0,0004</w:t>
            </w:r>
          </w:p>
        </w:tc>
        <w:tc>
          <w:tcPr>
            <w:tcW w:w="13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76853E" w14:textId="77777777" w:rsidR="00A53D2B" w:rsidRDefault="00A53D2B" w:rsidP="008B1BFC">
            <w:pPr>
              <w:spacing w:before="0" w:after="0" w:line="240" w:lineRule="auto"/>
              <w:ind w:firstLine="60"/>
              <w:rPr>
                <w:rFonts w:eastAsia="Times New Roman" w:cs="Times New Roman"/>
                <w:sz w:val="20"/>
                <w:szCs w:val="20"/>
              </w:rPr>
            </w:pPr>
          </w:p>
        </w:tc>
        <w:tc>
          <w:tcPr>
            <w:tcW w:w="50" w:type="dxa"/>
            <w:vAlign w:val="center"/>
          </w:tcPr>
          <w:p w14:paraId="20E261E2" w14:textId="77777777" w:rsidR="00A53D2B" w:rsidRDefault="00A53D2B" w:rsidP="008B1BFC">
            <w:pPr>
              <w:spacing w:before="0" w:after="0"/>
              <w:rPr>
                <w:sz w:val="20"/>
                <w:szCs w:val="20"/>
              </w:rPr>
            </w:pPr>
          </w:p>
        </w:tc>
      </w:tr>
      <w:tr w:rsidR="00A53D2B" w14:paraId="5E085C34" w14:textId="77777777" w:rsidTr="008B1BFC">
        <w:trPr>
          <w:trHeight w:val="253"/>
          <w:jc w:val="center"/>
        </w:trPr>
        <w:tc>
          <w:tcPr>
            <w:tcW w:w="98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27D052" w14:textId="77777777" w:rsidR="00A53D2B" w:rsidRDefault="00A53D2B" w:rsidP="008B1BFC">
            <w:pPr>
              <w:widowControl w:val="0"/>
              <w:pBdr>
                <w:top w:val="nil"/>
                <w:left w:val="nil"/>
                <w:bottom w:val="nil"/>
                <w:right w:val="nil"/>
                <w:between w:val="nil"/>
              </w:pBdr>
              <w:spacing w:before="0" w:after="0"/>
              <w:ind w:firstLine="32"/>
              <w:rPr>
                <w:sz w:val="20"/>
                <w:szCs w:val="20"/>
              </w:rPr>
            </w:pP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6FB9B3" w14:textId="77777777" w:rsidR="00A53D2B" w:rsidRDefault="00A53D2B" w:rsidP="008B1BFC">
            <w:pPr>
              <w:spacing w:before="0" w:after="0" w:line="240" w:lineRule="auto"/>
              <w:ind w:firstLine="64"/>
              <w:rPr>
                <w:rFonts w:eastAsia="Times New Roman" w:cs="Times New Roman"/>
                <w:sz w:val="20"/>
                <w:szCs w:val="20"/>
              </w:rPr>
            </w:pPr>
            <w:r>
              <w:rPr>
                <w:rFonts w:eastAsia="Times New Roman" w:cs="Times New Roman"/>
                <w:color w:val="000000"/>
                <w:sz w:val="20"/>
                <w:szCs w:val="20"/>
              </w:rPr>
              <w:t>Jurilovca</w:t>
            </w:r>
          </w:p>
        </w:tc>
        <w:tc>
          <w:tcPr>
            <w:tcW w:w="19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33CEAF" w14:textId="77777777" w:rsidR="00A53D2B" w:rsidRDefault="00A53D2B" w:rsidP="008B1BFC">
            <w:pPr>
              <w:spacing w:before="0" w:after="0" w:line="240" w:lineRule="auto"/>
              <w:ind w:firstLine="0"/>
              <w:rPr>
                <w:rFonts w:eastAsia="Times New Roman" w:cs="Times New Roman"/>
                <w:sz w:val="20"/>
                <w:szCs w:val="20"/>
              </w:rPr>
            </w:pPr>
          </w:p>
        </w:tc>
        <w:tc>
          <w:tcPr>
            <w:tcW w:w="1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8CF46D" w14:textId="77777777" w:rsidR="00A53D2B" w:rsidRDefault="00A53D2B" w:rsidP="008B1BFC">
            <w:pPr>
              <w:spacing w:before="0" w:after="0" w:line="240" w:lineRule="auto"/>
              <w:ind w:hanging="4"/>
              <w:rPr>
                <w:rFonts w:eastAsia="Times New Roman" w:cs="Times New Roman"/>
                <w:sz w:val="20"/>
                <w:szCs w:val="20"/>
              </w:rPr>
            </w:pPr>
            <w:r>
              <w:rPr>
                <w:rFonts w:eastAsia="Times New Roman" w:cs="Times New Roman"/>
                <w:color w:val="000000"/>
                <w:sz w:val="20"/>
                <w:szCs w:val="20"/>
              </w:rPr>
              <w:t>0,00002</w:t>
            </w:r>
          </w:p>
        </w:tc>
        <w:tc>
          <w:tcPr>
            <w:tcW w:w="13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89E651" w14:textId="77777777" w:rsidR="00A53D2B" w:rsidRDefault="00A53D2B" w:rsidP="008B1BFC">
            <w:pPr>
              <w:spacing w:before="0" w:after="0" w:line="240" w:lineRule="auto"/>
              <w:ind w:firstLine="60"/>
              <w:rPr>
                <w:rFonts w:eastAsia="Times New Roman" w:cs="Times New Roman"/>
                <w:sz w:val="20"/>
                <w:szCs w:val="20"/>
              </w:rPr>
            </w:pPr>
          </w:p>
        </w:tc>
        <w:tc>
          <w:tcPr>
            <w:tcW w:w="50" w:type="dxa"/>
            <w:vAlign w:val="center"/>
          </w:tcPr>
          <w:p w14:paraId="4655A0D8" w14:textId="77777777" w:rsidR="00A53D2B" w:rsidRDefault="00A53D2B" w:rsidP="008B1BFC">
            <w:pPr>
              <w:spacing w:before="0" w:after="0"/>
              <w:rPr>
                <w:sz w:val="20"/>
                <w:szCs w:val="20"/>
              </w:rPr>
            </w:pPr>
          </w:p>
        </w:tc>
      </w:tr>
      <w:tr w:rsidR="00A53D2B" w14:paraId="26131B24" w14:textId="77777777" w:rsidTr="008B1BFC">
        <w:trPr>
          <w:trHeight w:val="350"/>
          <w:jc w:val="center"/>
        </w:trPr>
        <w:tc>
          <w:tcPr>
            <w:tcW w:w="98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C619A6" w14:textId="77777777" w:rsidR="00A53D2B" w:rsidRDefault="00A53D2B" w:rsidP="008B1BFC">
            <w:pPr>
              <w:spacing w:before="0" w:after="0" w:line="240" w:lineRule="auto"/>
              <w:ind w:firstLine="32"/>
              <w:rPr>
                <w:rFonts w:eastAsia="Times New Roman" w:cs="Times New Roman"/>
                <w:sz w:val="20"/>
                <w:szCs w:val="20"/>
              </w:rPr>
            </w:pPr>
            <w:r>
              <w:rPr>
                <w:rFonts w:eastAsia="Times New Roman" w:cs="Times New Roman"/>
                <w:color w:val="000000"/>
                <w:sz w:val="20"/>
                <w:szCs w:val="20"/>
              </w:rPr>
              <w:t>2021</w:t>
            </w: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D2B838" w14:textId="77777777" w:rsidR="00A53D2B" w:rsidRDefault="00A53D2B" w:rsidP="008B1BFC">
            <w:pPr>
              <w:spacing w:before="0" w:after="0" w:line="240" w:lineRule="auto"/>
              <w:ind w:firstLine="64"/>
              <w:rPr>
                <w:rFonts w:eastAsia="Times New Roman" w:cs="Times New Roman"/>
                <w:sz w:val="20"/>
                <w:szCs w:val="20"/>
              </w:rPr>
            </w:pPr>
            <w:r>
              <w:rPr>
                <w:rFonts w:eastAsia="Times New Roman" w:cs="Times New Roman"/>
                <w:color w:val="000000"/>
                <w:sz w:val="20"/>
                <w:szCs w:val="20"/>
              </w:rPr>
              <w:t>Sulina</w:t>
            </w:r>
          </w:p>
        </w:tc>
        <w:tc>
          <w:tcPr>
            <w:tcW w:w="19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F1F7B0"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0,0007</w:t>
            </w:r>
          </w:p>
        </w:tc>
        <w:tc>
          <w:tcPr>
            <w:tcW w:w="1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B80663" w14:textId="77777777" w:rsidR="00A53D2B" w:rsidRDefault="00A53D2B" w:rsidP="008B1BFC">
            <w:pPr>
              <w:spacing w:before="0" w:after="0" w:line="240" w:lineRule="auto"/>
              <w:ind w:hanging="4"/>
              <w:rPr>
                <w:rFonts w:eastAsia="Times New Roman" w:cs="Times New Roman"/>
                <w:sz w:val="20"/>
                <w:szCs w:val="20"/>
              </w:rPr>
            </w:pPr>
            <w:r>
              <w:rPr>
                <w:rFonts w:eastAsia="Times New Roman" w:cs="Times New Roman"/>
                <w:color w:val="000000"/>
                <w:sz w:val="20"/>
                <w:szCs w:val="20"/>
              </w:rPr>
              <w:t>0,0008</w:t>
            </w:r>
          </w:p>
        </w:tc>
        <w:tc>
          <w:tcPr>
            <w:tcW w:w="13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D9C992" w14:textId="77777777" w:rsidR="00A53D2B" w:rsidRDefault="00A53D2B" w:rsidP="008B1BFC">
            <w:pPr>
              <w:spacing w:before="0" w:after="0" w:line="240" w:lineRule="auto"/>
              <w:ind w:firstLine="60"/>
              <w:rPr>
                <w:rFonts w:eastAsia="Times New Roman" w:cs="Times New Roman"/>
                <w:sz w:val="20"/>
                <w:szCs w:val="20"/>
              </w:rPr>
            </w:pPr>
          </w:p>
        </w:tc>
        <w:tc>
          <w:tcPr>
            <w:tcW w:w="50" w:type="dxa"/>
            <w:vAlign w:val="center"/>
          </w:tcPr>
          <w:p w14:paraId="3616DC6D" w14:textId="77777777" w:rsidR="00A53D2B" w:rsidRDefault="00A53D2B" w:rsidP="008B1BFC">
            <w:pPr>
              <w:spacing w:before="0" w:after="0"/>
              <w:rPr>
                <w:sz w:val="20"/>
                <w:szCs w:val="20"/>
              </w:rPr>
            </w:pPr>
          </w:p>
        </w:tc>
      </w:tr>
      <w:tr w:rsidR="00A53D2B" w14:paraId="5AC009A4" w14:textId="77777777" w:rsidTr="008B1BFC">
        <w:trPr>
          <w:trHeight w:val="201"/>
          <w:jc w:val="center"/>
        </w:trPr>
        <w:tc>
          <w:tcPr>
            <w:tcW w:w="98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04E9E0" w14:textId="77777777" w:rsidR="00A53D2B" w:rsidRDefault="00A53D2B" w:rsidP="008B1BFC">
            <w:pPr>
              <w:widowControl w:val="0"/>
              <w:pBdr>
                <w:top w:val="nil"/>
                <w:left w:val="nil"/>
                <w:bottom w:val="nil"/>
                <w:right w:val="nil"/>
                <w:between w:val="nil"/>
              </w:pBdr>
              <w:spacing w:before="0" w:after="0"/>
              <w:rPr>
                <w:sz w:val="20"/>
                <w:szCs w:val="20"/>
              </w:rPr>
            </w:pPr>
          </w:p>
        </w:tc>
        <w:tc>
          <w:tcPr>
            <w:tcW w:w="14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8D2040" w14:textId="77777777" w:rsidR="00A53D2B" w:rsidRDefault="00A53D2B" w:rsidP="008B1BFC">
            <w:pPr>
              <w:spacing w:before="0" w:after="0" w:line="240" w:lineRule="auto"/>
              <w:ind w:firstLine="64"/>
              <w:rPr>
                <w:rFonts w:eastAsia="Times New Roman" w:cs="Times New Roman"/>
                <w:sz w:val="20"/>
                <w:szCs w:val="20"/>
              </w:rPr>
            </w:pPr>
            <w:r>
              <w:rPr>
                <w:rFonts w:eastAsia="Times New Roman" w:cs="Times New Roman"/>
                <w:color w:val="000000"/>
                <w:sz w:val="20"/>
                <w:szCs w:val="20"/>
              </w:rPr>
              <w:t>Jurilovca</w:t>
            </w:r>
          </w:p>
        </w:tc>
        <w:tc>
          <w:tcPr>
            <w:tcW w:w="19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1B03FA" w14:textId="77777777" w:rsidR="00A53D2B" w:rsidRDefault="00A53D2B" w:rsidP="008B1BFC">
            <w:pPr>
              <w:spacing w:before="0" w:after="0" w:line="240" w:lineRule="auto"/>
              <w:ind w:firstLine="0"/>
              <w:rPr>
                <w:rFonts w:eastAsia="Times New Roman" w:cs="Times New Roman"/>
                <w:sz w:val="20"/>
                <w:szCs w:val="20"/>
              </w:rPr>
            </w:pPr>
          </w:p>
        </w:tc>
        <w:tc>
          <w:tcPr>
            <w:tcW w:w="1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7467A8" w14:textId="77777777" w:rsidR="00A53D2B" w:rsidRDefault="00A53D2B" w:rsidP="008B1BFC">
            <w:pPr>
              <w:spacing w:before="0" w:after="0" w:line="240" w:lineRule="auto"/>
              <w:ind w:hanging="4"/>
              <w:rPr>
                <w:rFonts w:eastAsia="Times New Roman" w:cs="Times New Roman"/>
                <w:sz w:val="20"/>
                <w:szCs w:val="20"/>
              </w:rPr>
            </w:pPr>
            <w:r>
              <w:rPr>
                <w:rFonts w:eastAsia="Times New Roman" w:cs="Times New Roman"/>
                <w:color w:val="000000"/>
                <w:sz w:val="20"/>
                <w:szCs w:val="20"/>
              </w:rPr>
              <w:t>0,0001</w:t>
            </w:r>
          </w:p>
        </w:tc>
        <w:tc>
          <w:tcPr>
            <w:tcW w:w="13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B99012" w14:textId="77777777" w:rsidR="00A53D2B" w:rsidRDefault="00A53D2B" w:rsidP="008B1BFC">
            <w:pPr>
              <w:spacing w:before="0" w:after="0" w:line="240" w:lineRule="auto"/>
              <w:ind w:firstLine="60"/>
              <w:rPr>
                <w:rFonts w:eastAsia="Times New Roman" w:cs="Times New Roman"/>
                <w:sz w:val="20"/>
                <w:szCs w:val="20"/>
              </w:rPr>
            </w:pPr>
          </w:p>
        </w:tc>
        <w:tc>
          <w:tcPr>
            <w:tcW w:w="50" w:type="dxa"/>
            <w:vAlign w:val="center"/>
          </w:tcPr>
          <w:p w14:paraId="7ED8B5B6" w14:textId="77777777" w:rsidR="00A53D2B" w:rsidRDefault="00A53D2B" w:rsidP="008B1BFC">
            <w:pPr>
              <w:spacing w:before="0" w:after="0"/>
              <w:rPr>
                <w:sz w:val="20"/>
                <w:szCs w:val="20"/>
              </w:rPr>
            </w:pPr>
          </w:p>
        </w:tc>
      </w:tr>
    </w:tbl>
    <w:p w14:paraId="143EC29B" w14:textId="77777777" w:rsidR="00A53D2B" w:rsidRDefault="00A53D2B" w:rsidP="00A53D2B">
      <w:pPr>
        <w:spacing w:after="0"/>
      </w:pPr>
    </w:p>
    <w:p w14:paraId="46BC689C" w14:textId="77777777" w:rsidR="00A53D2B" w:rsidRDefault="00A53D2B" w:rsidP="008B1BFC">
      <w:pPr>
        <w:spacing w:before="0"/>
        <w:ind w:firstLine="567"/>
        <w:rPr>
          <w:rFonts w:eastAsia="Times New Roman" w:cs="Times New Roman"/>
        </w:rPr>
      </w:pPr>
      <w:r>
        <w:rPr>
          <w:rFonts w:eastAsia="Times New Roman" w:cs="Times New Roman"/>
          <w:color w:val="000000"/>
        </w:rPr>
        <w:t>În partea de sud a zonei costiere, poluarea lacurilor litorale cu substanțe sintetice și nesintetice este generată de activitățile agricole (în proximitatea lacurilor Techirghiol, Tașaul, Corbu, Siutghiol, Mangalia, etc.), activități industriale din vecinătate (exemplu - lacurile Tașaul și Corbu - industrie extractivă, prin depunerea de contaminanți din praful de carieră), dezvoltare urbană și turism (lacurile Siutghiol, Mangalia, Tăbăcari</w:t>
      </w:r>
      <w:r>
        <w:rPr>
          <w:rFonts w:eastAsia="Times New Roman" w:cs="Times New Roman"/>
        </w:rPr>
        <w:t>ei</w:t>
      </w:r>
      <w:r>
        <w:rPr>
          <w:rFonts w:eastAsia="Times New Roman" w:cs="Times New Roman"/>
          <w:color w:val="000000"/>
        </w:rPr>
        <w:t>, etc). De asemenea, apele uzate neepurate provenite de la gospodării din jurul lacurilor și deversate în lacuri constituie, precum și depozitarea deșeurilor în zone neamenajate din proximitatea lacurilor constituie surse de contaminare a acestora. </w:t>
      </w:r>
    </w:p>
    <w:p w14:paraId="4505FA45" w14:textId="77777777" w:rsidR="00A53D2B" w:rsidRDefault="00A53D2B" w:rsidP="008B1BFC">
      <w:pPr>
        <w:spacing w:before="0"/>
        <w:rPr>
          <w:rFonts w:eastAsia="Times New Roman" w:cs="Times New Roman"/>
          <w:u w:val="single"/>
        </w:rPr>
      </w:pPr>
      <w:r>
        <w:rPr>
          <w:rFonts w:eastAsia="Times New Roman" w:cs="Times New Roman"/>
          <w:color w:val="000000"/>
          <w:u w:val="single"/>
        </w:rPr>
        <w:t>Ape subterane</w:t>
      </w:r>
    </w:p>
    <w:p w14:paraId="115EFB7E" w14:textId="77777777" w:rsidR="00A53D2B" w:rsidRDefault="00A53D2B" w:rsidP="008B1BFC">
      <w:pPr>
        <w:spacing w:before="0"/>
        <w:ind w:firstLine="567"/>
        <w:rPr>
          <w:rFonts w:eastAsia="Times New Roman" w:cs="Times New Roman"/>
        </w:rPr>
      </w:pPr>
      <w:r>
        <w:rPr>
          <w:rFonts w:eastAsia="Times New Roman" w:cs="Times New Roman"/>
          <w:color w:val="000000"/>
          <w:highlight w:val="white"/>
        </w:rPr>
        <w:t>Un impact calitativ semnificativ asupra apelor subterane îl pot avea următoarele tipuri de poluări determinate de:</w:t>
      </w:r>
    </w:p>
    <w:p w14:paraId="2C7029DB" w14:textId="77777777" w:rsidR="00A53D2B" w:rsidRDefault="00A53D2B" w:rsidP="008B1BFC">
      <w:pPr>
        <w:spacing w:before="0"/>
        <w:rPr>
          <w:rFonts w:eastAsia="Times New Roman" w:cs="Times New Roman"/>
        </w:rPr>
      </w:pPr>
      <w:r>
        <w:rPr>
          <w:rFonts w:eastAsia="Times New Roman" w:cs="Times New Roman"/>
          <w:color w:val="000000"/>
          <w:highlight w:val="white"/>
        </w:rPr>
        <w:lastRenderedPageBreak/>
        <w:t>- poluarea difuză determinată de activităţile agricole (ferme agrozootehnice care nu au sisteme corespunzătoare de stocare a dejecţiilor, depozite neconforme de fertilizanţi, etc.);</w:t>
      </w:r>
    </w:p>
    <w:p w14:paraId="6602860E" w14:textId="77777777" w:rsidR="00A53D2B" w:rsidRDefault="00A53D2B" w:rsidP="008B1BFC">
      <w:pPr>
        <w:spacing w:before="0"/>
        <w:rPr>
          <w:rFonts w:eastAsia="Times New Roman" w:cs="Times New Roman"/>
        </w:rPr>
      </w:pPr>
      <w:r>
        <w:rPr>
          <w:rFonts w:eastAsia="Times New Roman" w:cs="Times New Roman"/>
          <w:color w:val="000000"/>
          <w:highlight w:val="white"/>
        </w:rPr>
        <w:t>- poluarea difuză și/sau punctiformă din utilizarea necorespunzătoare a îngrășămintelor și pesticidelor;</w:t>
      </w:r>
    </w:p>
    <w:p w14:paraId="09DDBC94" w14:textId="77777777" w:rsidR="00A53D2B" w:rsidRDefault="00A53D2B" w:rsidP="008B1BFC">
      <w:pPr>
        <w:spacing w:before="0"/>
        <w:rPr>
          <w:rFonts w:eastAsia="Times New Roman" w:cs="Times New Roman"/>
          <w:color w:val="000000"/>
          <w:highlight w:val="white"/>
        </w:rPr>
      </w:pPr>
      <w:r>
        <w:rPr>
          <w:rFonts w:eastAsia="Times New Roman" w:cs="Times New Roman"/>
          <w:color w:val="000000"/>
          <w:highlight w:val="white"/>
        </w:rPr>
        <w:t>- poluare difuză de la aglomerări umane fără sisteme de colectare şi staţii de epurare a apelor uzate;</w:t>
      </w:r>
    </w:p>
    <w:p w14:paraId="1A98260D" w14:textId="77777777" w:rsidR="00A53D2B" w:rsidRDefault="00A53D2B" w:rsidP="008B1BFC">
      <w:pPr>
        <w:spacing w:before="0"/>
        <w:rPr>
          <w:rFonts w:eastAsia="Times New Roman" w:cs="Times New Roman"/>
        </w:rPr>
      </w:pPr>
      <w:r>
        <w:rPr>
          <w:rFonts w:eastAsia="Times New Roman" w:cs="Times New Roman"/>
          <w:color w:val="000000"/>
          <w:highlight w:val="white"/>
        </w:rPr>
        <w:t>- poluare cu hidrocarburi din conductele îngropate, uzate fizic sau distruse intenționate</w:t>
      </w:r>
    </w:p>
    <w:p w14:paraId="59F8819C" w14:textId="77777777" w:rsidR="00A53D2B" w:rsidRDefault="00A53D2B" w:rsidP="008B1BFC">
      <w:pPr>
        <w:spacing w:before="0"/>
        <w:rPr>
          <w:rFonts w:eastAsia="Times New Roman" w:cs="Times New Roman"/>
          <w:color w:val="000000"/>
          <w:highlight w:val="white"/>
        </w:rPr>
      </w:pPr>
      <w:r>
        <w:rPr>
          <w:rFonts w:eastAsia="Times New Roman" w:cs="Times New Roman"/>
          <w:color w:val="000000"/>
          <w:highlight w:val="white"/>
        </w:rPr>
        <w:t>- alte activităţi antropice potenţial poluatoare.</w:t>
      </w:r>
    </w:p>
    <w:p w14:paraId="2D91230D" w14:textId="4CBD43BF" w:rsidR="00A53D2B" w:rsidRDefault="00A53D2B" w:rsidP="008B1BFC">
      <w:pPr>
        <w:spacing w:before="0"/>
        <w:rPr>
          <w:rFonts w:eastAsia="Times New Roman" w:cs="Times New Roman"/>
        </w:rPr>
      </w:pPr>
      <w:r>
        <w:rPr>
          <w:rFonts w:eastAsia="Times New Roman" w:cs="Times New Roman"/>
        </w:rPr>
        <w:t>Având în vedere că cea mai mare parte a suprafeţelor corpurilor de apă subterană este acoperită de terenuri agricole, principala problemă referitoare la calitatea acestor ape este legată de utilizarea necorespunzătoare a îngrășămintelor și pesticidelor (folosirea în exces, depozitarea defectuoasă, neconformă), precum și lipsa unor sisteme corespunzătoare de colectare și stocare a dejecţiilor în cazul unor ferme zootehnice constituie amenințări semnificative pentru calitatea apelor subterane. La acestea se adaugă și altele, de natură antropică, depozite ilegale de deșeuri, aglomerări umane fără sisteme de colectare şi staţii de epurare a apelor uzate, ale căror efect pot fi amplificate de factori naturali, precum inundațiile, viiturile.</w:t>
      </w:r>
    </w:p>
    <w:p w14:paraId="33FA7A59" w14:textId="77777777" w:rsidR="00A53D2B" w:rsidRDefault="00A53D2B" w:rsidP="008B1BFC">
      <w:pPr>
        <w:spacing w:before="0"/>
        <w:ind w:firstLine="567"/>
        <w:rPr>
          <w:rFonts w:eastAsia="Times New Roman" w:cs="Times New Roman"/>
        </w:rPr>
      </w:pPr>
      <w:r>
        <w:rPr>
          <w:rFonts w:eastAsia="Times New Roman" w:cs="Times New Roman"/>
          <w:color w:val="000000"/>
          <w:highlight w:val="white"/>
        </w:rPr>
        <w:t>Ținând cont cǎ reîncărcarea acviferelor se realizează prin infiltrarea apelor de suprafaţă şi meteorice, este nevoie, pentru limitarea poluării apelor subterane, de îmbunătățirea managementul activităților agricole și zootehnice, creșterea gradului de colectare și epurare a apelor uzate și meteorice și întărirea controlului și aplicarea strictă a legii privind depozitarea deșeurilor. De asemenea, trebuie avut în vedere faptul că dinamica apelor subterane este mult mai lentă decât cea a apelor de suprafață, astfel încât efectul oricăror măsuri se face resimțit după o perioadă mai lungă de timp.</w:t>
      </w:r>
    </w:p>
    <w:p w14:paraId="2B346CE5" w14:textId="77777777" w:rsidR="00A53D2B" w:rsidRDefault="00A53D2B" w:rsidP="008B1BFC">
      <w:pPr>
        <w:pStyle w:val="Heading5"/>
        <w:spacing w:before="0" w:after="120"/>
        <w:rPr>
          <w:b w:val="0"/>
          <w:i w:val="0"/>
        </w:rPr>
      </w:pPr>
      <w:r>
        <w:rPr>
          <w:b w:val="0"/>
          <w:i w:val="0"/>
          <w:highlight w:val="white"/>
        </w:rPr>
        <w:t>Soluri (poluarea solului)</w:t>
      </w:r>
    </w:p>
    <w:p w14:paraId="15424863" w14:textId="77777777" w:rsidR="00A53D2B" w:rsidRDefault="00A53D2B" w:rsidP="008B1BFC">
      <w:pPr>
        <w:spacing w:before="0"/>
        <w:ind w:firstLine="567"/>
        <w:rPr>
          <w:rFonts w:eastAsia="Times New Roman" w:cs="Times New Roman"/>
        </w:rPr>
      </w:pPr>
      <w:r>
        <w:rPr>
          <w:rFonts w:eastAsia="Times New Roman" w:cs="Times New Roman"/>
          <w:color w:val="000000"/>
        </w:rPr>
        <w:t>Exceptând o serie de contaminanți care apar în mod natural în sol ca urmare a proceselor geologice și pedologice (metale grele, radionuclizi, azbest, etc.) impactul asupra solurilor din zona costieră este accentuat de multitudinea de activități desfășurate în acest areal, de la agricultură, care se desfășoară pe o suprafață considerabilă în majoritatea UAT-urilor din zona costieră, trecând prin dezvoltare urbanistică, turism și până la activități industriale.</w:t>
      </w:r>
    </w:p>
    <w:p w14:paraId="2ADFC479" w14:textId="77777777" w:rsidR="00A53D2B" w:rsidRDefault="00A53D2B" w:rsidP="008B1BFC">
      <w:pPr>
        <w:spacing w:before="0"/>
        <w:ind w:firstLine="567"/>
        <w:rPr>
          <w:rFonts w:eastAsia="Times New Roman" w:cs="Times New Roman"/>
        </w:rPr>
      </w:pPr>
      <w:r>
        <w:rPr>
          <w:rFonts w:eastAsia="Times New Roman" w:cs="Times New Roman"/>
          <w:color w:val="000000"/>
        </w:rPr>
        <w:t>Terenurile agricole pot fi contaminate de poluanți caracteristici acestei activități, respectiv pesticide, îngrășăminte minerale și naturale, utilizarea apelor reziduale pentru irigații, reziduuri de materiale plastice de la activități agricole și deșeuri de la comunitățile din zona rurală. Exceptând utilizarea apelor reziduale pentru irigații, activitate care nu se desfășoară în zona evaluată, toate celelalte posibilități de contaminare pot afecta într-o oarecare măsură solurile din zona de interes. Poluarea este accentuată în cazul unui management defectuos atât în ceea ce privește utilizarea (excesivă) a pesticidelor, îngrășămintelor naturale sau minerale, etc., un management inadecvat al deșeurilor (depozitarea ilegală sau necorespunzătoare, timpul lung de eliminare, etc.).</w:t>
      </w:r>
    </w:p>
    <w:p w14:paraId="65812CDF" w14:textId="77777777" w:rsidR="00A53D2B" w:rsidRDefault="00A53D2B" w:rsidP="008B1BFC">
      <w:pPr>
        <w:spacing w:before="0"/>
        <w:ind w:firstLine="567"/>
        <w:rPr>
          <w:rFonts w:eastAsia="Times New Roman" w:cs="Times New Roman"/>
          <w:color w:val="000000"/>
          <w:highlight w:val="white"/>
        </w:rPr>
      </w:pPr>
      <w:r>
        <w:rPr>
          <w:rFonts w:eastAsia="Times New Roman" w:cs="Times New Roman"/>
          <w:color w:val="000000"/>
          <w:highlight w:val="white"/>
        </w:rPr>
        <w:lastRenderedPageBreak/>
        <w:t xml:space="preserve">Alți potențiali contaminanți pentru sol provin din zonele urbane, sursele putând fi de natură domestică (multe din produsele utilizate în gospodarie conțin elemente chimice ce pot sa polueze solurile, dacă nu sunt eliminate corespunzător), din activități agricole/horticole urbane </w:t>
      </w:r>
      <w:sdt>
        <w:sdtPr>
          <w:tag w:val="goog_rdk_46"/>
          <w:id w:val="1308825797"/>
        </w:sdtPr>
        <w:sdtContent>
          <w:r>
            <w:rPr>
              <w:rFonts w:eastAsia="Times New Roman" w:cs="Times New Roman"/>
              <w:color w:val="000000"/>
              <w:highlight w:val="white"/>
            </w:rPr>
            <w:t>sau</w:t>
          </w:r>
        </w:sdtContent>
      </w:sdt>
      <w:r>
        <w:rPr>
          <w:rFonts w:eastAsia="Times New Roman" w:cs="Times New Roman"/>
          <w:color w:val="000000"/>
          <w:highlight w:val="white"/>
        </w:rPr>
        <w:t xml:space="preserve"> periurbane (cu substanțele potențial contaminate amintite anterior), utilizarea de pesticide în zona urbană (ex. pentru gestionarea spațiilor verzi), scurgeri accidentale de substanțe toxice, deșeuri municipale, deșeuri medicale, deșeuri de la echipamente electronice. Toți acești potențiali contaminanti sunt prezenți cu prisosință în zonele urbane din zona costieră și gestionarea defectuoasă, în special a deșeurilor de orice natură, pune o presiune și mai mare asupra solurilor. De asemenea, sunt necesare campanii permanente de creștere a conștientizării în rândul populației cu privire la importanța reducerii poluării solului din surse domestice. </w:t>
      </w:r>
    </w:p>
    <w:p w14:paraId="27A35BD4" w14:textId="77777777" w:rsidR="00A53D2B" w:rsidRDefault="00A53D2B" w:rsidP="008B1BFC">
      <w:pPr>
        <w:spacing w:before="0"/>
        <w:ind w:firstLine="567"/>
        <w:rPr>
          <w:rFonts w:eastAsia="Times New Roman" w:cs="Times New Roman"/>
          <w:color w:val="000000"/>
          <w:highlight w:val="white"/>
        </w:rPr>
      </w:pPr>
      <w:r>
        <w:rPr>
          <w:rFonts w:eastAsia="Times New Roman" w:cs="Times New Roman"/>
          <w:color w:val="000000"/>
          <w:highlight w:val="white"/>
        </w:rPr>
        <w:t>Activitățile industriale și de transporturi reprezintă o altă sursă importantă de poluare a solurilor, activități ce se manifestă cu destul de multă intensitate și în zona costieră. Spre exemplu activitățile desfășurate în Combinatul Petrochimic Midia Năvodari, în porturile și șantierele navale de la Marea Neagră, precum și activități de extracție a calcarului industrial pot avea au impact foarte ridicat asupra solurilor. Este nevoie de respectarea strictă a reglementărilor privind emisiile de poluanți în atmosferă, de managementul deșeurilor industriale pentru a limita poluarea solului și efectele generate de aceasta.</w:t>
      </w:r>
    </w:p>
    <w:p w14:paraId="41068E4F" w14:textId="77777777" w:rsidR="00A53D2B" w:rsidRDefault="00A53D2B" w:rsidP="008B1BFC">
      <w:pPr>
        <w:spacing w:before="0"/>
        <w:rPr>
          <w:rFonts w:eastAsia="Times New Roman" w:cs="Times New Roman"/>
          <w:b/>
          <w:i/>
        </w:rPr>
      </w:pPr>
      <w:r>
        <w:rPr>
          <w:rFonts w:eastAsia="Times New Roman" w:cs="Times New Roman"/>
          <w:b/>
          <w:i/>
        </w:rPr>
        <w:t>Introducerea de materie organică și substanțe cu P și N în apă și soluri </w:t>
      </w:r>
    </w:p>
    <w:p w14:paraId="338E52AD" w14:textId="77777777" w:rsidR="00A53D2B" w:rsidRDefault="00A53D2B" w:rsidP="008B1BFC">
      <w:pPr>
        <w:shd w:val="clear" w:color="auto" w:fill="FFFFFF"/>
        <w:spacing w:before="0"/>
        <w:ind w:firstLine="567"/>
        <w:rPr>
          <w:rFonts w:eastAsia="Times New Roman" w:cs="Times New Roman"/>
        </w:rPr>
      </w:pPr>
      <w:r>
        <w:rPr>
          <w:rFonts w:eastAsia="Times New Roman" w:cs="Times New Roman"/>
          <w:color w:val="000000"/>
        </w:rPr>
        <w:t>Introducerea de nutrienți și materie organică în mediul acvatic (atât dulcicol, cât și marin) conduce la fenomenul de eutrofizare, cu consecințe negative, uneori dramatice, asupra ecosistemelor acvatice, respectiv înfloriri algale, uneori toxice și dezoxigenare, în unele cazuri până la anoxie.</w:t>
      </w:r>
    </w:p>
    <w:p w14:paraId="760698DA" w14:textId="77777777" w:rsidR="00A53D2B" w:rsidRDefault="00A53D2B" w:rsidP="008B1BFC">
      <w:pPr>
        <w:pStyle w:val="Heading5"/>
        <w:spacing w:before="0" w:after="120"/>
        <w:rPr>
          <w:b w:val="0"/>
          <w:u w:val="single"/>
        </w:rPr>
      </w:pPr>
      <w:r>
        <w:rPr>
          <w:b w:val="0"/>
          <w:u w:val="single"/>
        </w:rPr>
        <w:t>Ape costiere</w:t>
      </w:r>
    </w:p>
    <w:p w14:paraId="7622D383" w14:textId="77777777" w:rsidR="00A53D2B" w:rsidRDefault="00A53D2B" w:rsidP="008B1BFC">
      <w:pPr>
        <w:spacing w:before="0"/>
        <w:ind w:firstLine="567"/>
        <w:rPr>
          <w:rFonts w:eastAsia="Times New Roman" w:cs="Times New Roman"/>
        </w:rPr>
      </w:pPr>
      <w:r>
        <w:rPr>
          <w:rFonts w:eastAsia="Times New Roman" w:cs="Times New Roman"/>
          <w:color w:val="000000"/>
        </w:rPr>
        <w:t>Principala sursă de poluare a mediului marin cu materie organică și compuși cu N și P o constituie fluviul Dunărea. Datele furnizate de către ANAR în 2021 referitoare la cantitățile de nutrienți în apele Dunării, măsurat în stația Reni, raportate la un descărcare de apă anuală de 191,23 km</w:t>
      </w:r>
      <w:r>
        <w:rPr>
          <w:rFonts w:eastAsia="Times New Roman" w:cs="Times New Roman"/>
          <w:color w:val="000000"/>
          <w:vertAlign w:val="superscript"/>
        </w:rPr>
        <w:t>3</w:t>
      </w:r>
      <w:r>
        <w:rPr>
          <w:rFonts w:eastAsia="Times New Roman" w:cs="Times New Roman"/>
          <w:color w:val="000000"/>
        </w:rPr>
        <w:t xml:space="preserve"> arată un aport de 284.173 tone azot total și 18.167 tone fosfor total, semnificativ mai ridicat comparativ cu 2019, când aportul de azot total și fosfor total al Dunării au fost estimate la 265.824 tone N, respectiv 15.668 tone P (raportat la o descărcare de apă anuală de 176,04 Km</w:t>
      </w:r>
      <w:r>
        <w:rPr>
          <w:rFonts w:eastAsia="Times New Roman" w:cs="Times New Roman"/>
          <w:color w:val="000000"/>
          <w:vertAlign w:val="superscript"/>
        </w:rPr>
        <w:t>3</w:t>
      </w:r>
      <w:r>
        <w:rPr>
          <w:rFonts w:eastAsia="Times New Roman" w:cs="Times New Roman"/>
          <w:color w:val="000000"/>
        </w:rPr>
        <w:t>). Aceasta se datorează debitului mai ridicat al Dunării în 2021 față de 2019 (media zilnică a debitului la Isaccea în 2021 – 6.064 m</w:t>
      </w:r>
      <w:r>
        <w:rPr>
          <w:rFonts w:eastAsia="Times New Roman" w:cs="Times New Roman"/>
          <w:color w:val="000000"/>
          <w:vertAlign w:val="superscript"/>
        </w:rPr>
        <w:t>3</w:t>
      </w:r>
      <w:r>
        <w:rPr>
          <w:rFonts w:eastAsia="Times New Roman" w:cs="Times New Roman"/>
          <w:color w:val="000000"/>
        </w:rPr>
        <w:t>/s, față de 5.582 m</w:t>
      </w:r>
      <w:r>
        <w:rPr>
          <w:rFonts w:eastAsia="Times New Roman" w:cs="Times New Roman"/>
          <w:color w:val="000000"/>
          <w:vertAlign w:val="superscript"/>
        </w:rPr>
        <w:t>3</w:t>
      </w:r>
      <w:r>
        <w:rPr>
          <w:rFonts w:eastAsia="Times New Roman" w:cs="Times New Roman"/>
          <w:color w:val="000000"/>
        </w:rPr>
        <w:t>/s în 2019, conform INHGA), concentrațiile medii anuale ale azotului și fosforului total măsurate la Renni fiind foarte apropiate (N tot - 1,49 mg/l și P tot - 0,095 mg/l în 2021, comparativ cu N tot - 1,51 mg/l și P tot - 0,089 mg/l în 2019), conform ANAR. </w:t>
      </w:r>
    </w:p>
    <w:p w14:paraId="31192D38" w14:textId="77777777" w:rsidR="00A53D2B" w:rsidRDefault="00A53D2B" w:rsidP="008B1BFC">
      <w:pPr>
        <w:spacing w:before="0"/>
        <w:ind w:firstLine="567"/>
        <w:rPr>
          <w:rFonts w:eastAsia="Times New Roman" w:cs="Times New Roman"/>
        </w:rPr>
      </w:pPr>
      <w:r>
        <w:rPr>
          <w:rFonts w:eastAsia="Times New Roman" w:cs="Times New Roman"/>
          <w:color w:val="000000"/>
        </w:rPr>
        <w:t xml:space="preserve">Alte surse de poluare difuză a apelor costiere sunt, în special, depunerile atmosferice de azot și, într-o măsură mai mică apele uzate din unități agricole unde nu există sisteme de canalizare (Boicenco și colab., 2019). În lipsa unei infrastructuri de monitorizare, estimarea acestor presiuni este dificil de realizat și se bazează pe modele matematice (exemplu - MONERIS, ANAR). Media anuală a depunerilor de azot anorganic prin precipitații este estimată, la nivelul Mării Negre, la 3-39 % din aportul total de azot anorganic al fluviilor (Varenik și colab., 2015), deci un aport semnificativ. Acest aport atmosferic variază atât spațial, </w:t>
      </w:r>
      <w:r>
        <w:rPr>
          <w:rFonts w:eastAsia="Times New Roman" w:cs="Times New Roman"/>
          <w:color w:val="000000"/>
        </w:rPr>
        <w:lastRenderedPageBreak/>
        <w:t>cât și temporal, importanța relativă a inputului atmosferic crescând de la coastă către larg și din iarnă către vară (Varenik și colab., 2015). </w:t>
      </w:r>
    </w:p>
    <w:p w14:paraId="2DE89516" w14:textId="77971DEB" w:rsidR="00A53D2B" w:rsidRDefault="00A53D2B" w:rsidP="008B1BFC">
      <w:pPr>
        <w:spacing w:before="0"/>
        <w:ind w:firstLine="567"/>
        <w:rPr>
          <w:rFonts w:eastAsia="Times New Roman" w:cs="Times New Roman"/>
        </w:rPr>
      </w:pPr>
      <w:r>
        <w:rPr>
          <w:rFonts w:eastAsia="Times New Roman" w:cs="Times New Roman"/>
          <w:color w:val="000000"/>
        </w:rPr>
        <w:t xml:space="preserve">Referitor la sursele punctiforme, cele mai importante sunt stațiile de epurare care deversează apă epurată în mare. Emisiile de compuși cu azot și fosfor din stațiile de epurare Petromidia, </w:t>
      </w:r>
      <w:sdt>
        <w:sdtPr>
          <w:tag w:val="goog_rdk_47"/>
          <w:id w:val="-1907140748"/>
        </w:sdtPr>
        <w:sdtContent>
          <w:r>
            <w:rPr>
              <w:rFonts w:eastAsia="Times New Roman" w:cs="Times New Roman"/>
              <w:color w:val="000000"/>
            </w:rPr>
            <w:t>Constanța</w:t>
          </w:r>
        </w:sdtContent>
      </w:sdt>
      <w:r>
        <w:rPr>
          <w:rFonts w:eastAsia="Times New Roman" w:cs="Times New Roman"/>
          <w:color w:val="000000"/>
        </w:rPr>
        <w:t xml:space="preserve"> Nord, Constanța Sud, Eforie Sud și Mangalia sunt redate în Tabelele </w:t>
      </w:r>
      <w:r w:rsidR="008B1BFC">
        <w:rPr>
          <w:rFonts w:eastAsia="Times New Roman" w:cs="Times New Roman"/>
          <w:color w:val="000000"/>
        </w:rPr>
        <w:t>2.</w:t>
      </w:r>
      <w:r>
        <w:rPr>
          <w:rFonts w:eastAsia="Times New Roman" w:cs="Times New Roman"/>
          <w:color w:val="000000"/>
        </w:rPr>
        <w:t xml:space="preserve">5.2.8 – </w:t>
      </w:r>
      <w:r w:rsidR="008B1BFC">
        <w:rPr>
          <w:rFonts w:eastAsia="Times New Roman" w:cs="Times New Roman"/>
          <w:color w:val="000000"/>
        </w:rPr>
        <w:t>2.</w:t>
      </w:r>
      <w:r>
        <w:rPr>
          <w:rFonts w:eastAsia="Times New Roman" w:cs="Times New Roman"/>
          <w:color w:val="000000"/>
        </w:rPr>
        <w:t>5.2.12.</w:t>
      </w:r>
    </w:p>
    <w:p w14:paraId="4EAC3B5E" w14:textId="77777777" w:rsidR="00A53D2B" w:rsidRDefault="00A53D2B" w:rsidP="00A53D2B">
      <w:bookmarkStart w:id="129" w:name="_heading=h.2zbgiuw" w:colFirst="0" w:colLast="0"/>
      <w:bookmarkEnd w:id="129"/>
    </w:p>
    <w:p w14:paraId="406E5ED7" w14:textId="7B63C597" w:rsidR="00A53D2B" w:rsidRDefault="00A53D2B" w:rsidP="00A53D2B">
      <w:pPr>
        <w:spacing w:after="0"/>
        <w:jc w:val="center"/>
        <w:rPr>
          <w:rFonts w:eastAsia="Times New Roman" w:cs="Times New Roman"/>
        </w:rPr>
      </w:pPr>
      <w:r>
        <w:rPr>
          <w:rFonts w:eastAsia="Times New Roman" w:cs="Times New Roman"/>
          <w:b/>
          <w:color w:val="000000"/>
        </w:rPr>
        <w:t xml:space="preserve">Tabel </w:t>
      </w:r>
      <w:r w:rsidR="008B1BFC">
        <w:rPr>
          <w:rFonts w:eastAsia="Times New Roman" w:cs="Times New Roman"/>
          <w:b/>
          <w:color w:val="000000"/>
        </w:rPr>
        <w:t>2.</w:t>
      </w:r>
      <w:r>
        <w:rPr>
          <w:rFonts w:eastAsia="Times New Roman" w:cs="Times New Roman"/>
          <w:b/>
          <w:color w:val="000000"/>
        </w:rPr>
        <w:t>5.2.8 Emisii de compuși cu N și P (tone/an) din stația de epurare Petromidia (</w:t>
      </w:r>
      <w:r>
        <w:rPr>
          <w:rFonts w:eastAsia="Times New Roman" w:cs="Times New Roman"/>
          <w:b/>
          <w:i/>
          <w:color w:val="000000"/>
        </w:rPr>
        <w:t>sursa: Administrația Națională Apele Române, 2023</w:t>
      </w:r>
      <w:r>
        <w:rPr>
          <w:rFonts w:eastAsia="Times New Roman" w:cs="Times New Roman"/>
          <w:b/>
          <w:color w:val="000000"/>
        </w:rPr>
        <w:t>)</w:t>
      </w:r>
    </w:p>
    <w:tbl>
      <w:tblPr>
        <w:tblW w:w="6039" w:type="dxa"/>
        <w:jc w:val="center"/>
        <w:tblLayout w:type="fixed"/>
        <w:tblLook w:val="0400" w:firstRow="0" w:lastRow="0" w:firstColumn="0" w:lastColumn="0" w:noHBand="0" w:noVBand="1"/>
      </w:tblPr>
      <w:tblGrid>
        <w:gridCol w:w="881"/>
        <w:gridCol w:w="1674"/>
        <w:gridCol w:w="1755"/>
        <w:gridCol w:w="1493"/>
        <w:gridCol w:w="236"/>
      </w:tblGrid>
      <w:tr w:rsidR="00A53D2B" w14:paraId="4D752B7D" w14:textId="77777777" w:rsidTr="008B1BFC">
        <w:trPr>
          <w:gridAfter w:val="1"/>
          <w:wAfter w:w="36" w:type="dxa"/>
          <w:trHeight w:val="557"/>
          <w:jc w:val="center"/>
        </w:trPr>
        <w:tc>
          <w:tcPr>
            <w:tcW w:w="908"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3921D7" w14:textId="77777777" w:rsidR="00A53D2B" w:rsidRDefault="00A53D2B" w:rsidP="008B1BFC">
            <w:pPr>
              <w:spacing w:before="0" w:after="0" w:line="240" w:lineRule="auto"/>
              <w:ind w:firstLine="32"/>
              <w:rPr>
                <w:rFonts w:eastAsia="Times New Roman" w:cs="Times New Roman"/>
                <w:sz w:val="20"/>
                <w:szCs w:val="20"/>
              </w:rPr>
            </w:pPr>
            <w:r>
              <w:rPr>
                <w:rFonts w:eastAsia="Times New Roman" w:cs="Times New Roman"/>
                <w:color w:val="000000"/>
                <w:sz w:val="20"/>
                <w:szCs w:val="20"/>
              </w:rPr>
              <w:t>An</w:t>
            </w:r>
          </w:p>
        </w:tc>
        <w:tc>
          <w:tcPr>
            <w:tcW w:w="173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D416BC"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Azot total, tone/an </w:t>
            </w:r>
          </w:p>
        </w:tc>
        <w:tc>
          <w:tcPr>
            <w:tcW w:w="181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791E22" w14:textId="77777777" w:rsidR="00A53D2B" w:rsidRDefault="00A53D2B" w:rsidP="008B1BFC">
            <w:pPr>
              <w:spacing w:before="0" w:after="0" w:line="240" w:lineRule="auto"/>
              <w:ind w:firstLine="29"/>
              <w:rPr>
                <w:rFonts w:eastAsia="Times New Roman" w:cs="Times New Roman"/>
                <w:sz w:val="20"/>
                <w:szCs w:val="20"/>
              </w:rPr>
            </w:pPr>
            <w:r>
              <w:rPr>
                <w:rFonts w:eastAsia="Times New Roman" w:cs="Times New Roman"/>
                <w:color w:val="000000"/>
                <w:sz w:val="20"/>
                <w:szCs w:val="20"/>
              </w:rPr>
              <w:t>Fosfor total, tone/an</w:t>
            </w:r>
          </w:p>
        </w:tc>
        <w:tc>
          <w:tcPr>
            <w:tcW w:w="1545"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85F783"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Amoniu, tone/an</w:t>
            </w:r>
          </w:p>
        </w:tc>
      </w:tr>
      <w:tr w:rsidR="00A53D2B" w14:paraId="35CF2270" w14:textId="77777777" w:rsidTr="008B1BFC">
        <w:trPr>
          <w:trHeight w:val="33"/>
          <w:jc w:val="center"/>
        </w:trPr>
        <w:tc>
          <w:tcPr>
            <w:tcW w:w="908"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123E84" w14:textId="77777777" w:rsidR="00A53D2B" w:rsidRDefault="00A53D2B" w:rsidP="008B1BFC">
            <w:pPr>
              <w:widowControl w:val="0"/>
              <w:pBdr>
                <w:top w:val="nil"/>
                <w:left w:val="nil"/>
                <w:bottom w:val="nil"/>
                <w:right w:val="nil"/>
                <w:between w:val="nil"/>
              </w:pBdr>
              <w:spacing w:before="0" w:after="0"/>
              <w:ind w:firstLine="32"/>
              <w:rPr>
                <w:rFonts w:eastAsia="Times New Roman" w:cs="Times New Roman"/>
                <w:sz w:val="20"/>
                <w:szCs w:val="20"/>
              </w:rPr>
            </w:pPr>
          </w:p>
        </w:tc>
        <w:tc>
          <w:tcPr>
            <w:tcW w:w="173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F51B35" w14:textId="77777777" w:rsidR="00A53D2B" w:rsidRDefault="00A53D2B" w:rsidP="008B1BFC">
            <w:pPr>
              <w:widowControl w:val="0"/>
              <w:pBdr>
                <w:top w:val="nil"/>
                <w:left w:val="nil"/>
                <w:bottom w:val="nil"/>
                <w:right w:val="nil"/>
                <w:between w:val="nil"/>
              </w:pBdr>
              <w:spacing w:before="0" w:after="0"/>
              <w:ind w:firstLine="0"/>
              <w:rPr>
                <w:rFonts w:eastAsia="Times New Roman" w:cs="Times New Roman"/>
                <w:sz w:val="20"/>
                <w:szCs w:val="20"/>
              </w:rPr>
            </w:pPr>
          </w:p>
        </w:tc>
        <w:tc>
          <w:tcPr>
            <w:tcW w:w="181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217E26" w14:textId="77777777" w:rsidR="00A53D2B" w:rsidRDefault="00A53D2B" w:rsidP="008B1BFC">
            <w:pPr>
              <w:widowControl w:val="0"/>
              <w:pBdr>
                <w:top w:val="nil"/>
                <w:left w:val="nil"/>
                <w:bottom w:val="nil"/>
                <w:right w:val="nil"/>
                <w:between w:val="nil"/>
              </w:pBdr>
              <w:spacing w:before="0" w:after="0"/>
              <w:ind w:firstLine="29"/>
              <w:rPr>
                <w:rFonts w:eastAsia="Times New Roman" w:cs="Times New Roman"/>
                <w:sz w:val="20"/>
                <w:szCs w:val="20"/>
              </w:rPr>
            </w:pPr>
          </w:p>
        </w:tc>
        <w:tc>
          <w:tcPr>
            <w:tcW w:w="154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F12CA2" w14:textId="77777777" w:rsidR="00A53D2B" w:rsidRDefault="00A53D2B" w:rsidP="008B1BFC">
            <w:pPr>
              <w:widowControl w:val="0"/>
              <w:pBdr>
                <w:top w:val="nil"/>
                <w:left w:val="nil"/>
                <w:bottom w:val="nil"/>
                <w:right w:val="nil"/>
                <w:between w:val="nil"/>
              </w:pBdr>
              <w:spacing w:before="0" w:after="0"/>
              <w:ind w:firstLine="0"/>
              <w:rPr>
                <w:rFonts w:eastAsia="Times New Roman" w:cs="Times New Roman"/>
                <w:sz w:val="20"/>
                <w:szCs w:val="20"/>
              </w:rPr>
            </w:pPr>
          </w:p>
        </w:tc>
        <w:tc>
          <w:tcPr>
            <w:tcW w:w="36" w:type="dxa"/>
            <w:vAlign w:val="center"/>
          </w:tcPr>
          <w:p w14:paraId="4949F880" w14:textId="77777777" w:rsidR="00A53D2B" w:rsidRDefault="00A53D2B" w:rsidP="008B1BFC">
            <w:pPr>
              <w:spacing w:before="0" w:after="0"/>
            </w:pPr>
          </w:p>
        </w:tc>
      </w:tr>
      <w:tr w:rsidR="00A53D2B" w14:paraId="4ECBE537" w14:textId="77777777" w:rsidTr="008B1BFC">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68F7A7" w14:textId="77777777" w:rsidR="00A53D2B" w:rsidRDefault="00A53D2B" w:rsidP="008B1BFC">
            <w:pPr>
              <w:spacing w:before="0" w:after="0" w:line="240" w:lineRule="auto"/>
              <w:ind w:firstLine="32"/>
              <w:rPr>
                <w:rFonts w:eastAsia="Times New Roman" w:cs="Times New Roman"/>
                <w:sz w:val="20"/>
                <w:szCs w:val="20"/>
              </w:rPr>
            </w:pPr>
            <w:r>
              <w:rPr>
                <w:rFonts w:eastAsia="Times New Roman" w:cs="Times New Roman"/>
                <w:color w:val="000000"/>
                <w:sz w:val="20"/>
                <w:szCs w:val="20"/>
              </w:rPr>
              <w:t>2015</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F1C11E"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0,012</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8A9AFA" w14:textId="77777777" w:rsidR="00A53D2B" w:rsidRDefault="00A53D2B" w:rsidP="008B1BFC">
            <w:pPr>
              <w:spacing w:before="0" w:after="0" w:line="240" w:lineRule="auto"/>
              <w:ind w:firstLine="29"/>
              <w:rPr>
                <w:rFonts w:eastAsia="Times New Roman" w:cs="Times New Roman"/>
                <w:sz w:val="20"/>
                <w:szCs w:val="20"/>
              </w:rPr>
            </w:pPr>
            <w:r>
              <w:rPr>
                <w:rFonts w:eastAsia="Times New Roman" w:cs="Times New Roman"/>
                <w:color w:val="000000"/>
                <w:sz w:val="20"/>
                <w:szCs w:val="20"/>
              </w:rPr>
              <w:t>0,0048</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68450E"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0,0013</w:t>
            </w:r>
          </w:p>
        </w:tc>
        <w:tc>
          <w:tcPr>
            <w:tcW w:w="36" w:type="dxa"/>
            <w:vAlign w:val="center"/>
          </w:tcPr>
          <w:p w14:paraId="472E1AEE" w14:textId="77777777" w:rsidR="00A53D2B" w:rsidRDefault="00A53D2B" w:rsidP="008B1BFC">
            <w:pPr>
              <w:spacing w:before="0" w:after="0"/>
              <w:rPr>
                <w:sz w:val="20"/>
                <w:szCs w:val="20"/>
              </w:rPr>
            </w:pPr>
          </w:p>
        </w:tc>
      </w:tr>
      <w:tr w:rsidR="00A53D2B" w14:paraId="4CAED2C0" w14:textId="77777777" w:rsidTr="008B1BFC">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255721" w14:textId="77777777" w:rsidR="00A53D2B" w:rsidRDefault="00A53D2B" w:rsidP="008B1BFC">
            <w:pPr>
              <w:spacing w:before="0" w:after="0" w:line="240" w:lineRule="auto"/>
              <w:ind w:firstLine="32"/>
              <w:rPr>
                <w:rFonts w:eastAsia="Times New Roman" w:cs="Times New Roman"/>
                <w:sz w:val="20"/>
                <w:szCs w:val="20"/>
              </w:rPr>
            </w:pPr>
            <w:r>
              <w:rPr>
                <w:rFonts w:eastAsia="Times New Roman" w:cs="Times New Roman"/>
                <w:color w:val="000000"/>
                <w:sz w:val="20"/>
                <w:szCs w:val="20"/>
              </w:rPr>
              <w:t>2016</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8C7942"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0,021</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14C4F2" w14:textId="77777777" w:rsidR="00A53D2B" w:rsidRDefault="00A53D2B" w:rsidP="008B1BFC">
            <w:pPr>
              <w:spacing w:before="0" w:after="0" w:line="240" w:lineRule="auto"/>
              <w:ind w:firstLine="29"/>
              <w:rPr>
                <w:rFonts w:eastAsia="Times New Roman" w:cs="Times New Roman"/>
                <w:sz w:val="20"/>
                <w:szCs w:val="20"/>
              </w:rPr>
            </w:pPr>
            <w:r>
              <w:rPr>
                <w:rFonts w:eastAsia="Times New Roman" w:cs="Times New Roman"/>
                <w:color w:val="000000"/>
                <w:sz w:val="20"/>
                <w:szCs w:val="20"/>
              </w:rPr>
              <w:t>0,0037</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D46E4D"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0,014</w:t>
            </w:r>
          </w:p>
        </w:tc>
        <w:tc>
          <w:tcPr>
            <w:tcW w:w="36" w:type="dxa"/>
            <w:vAlign w:val="center"/>
          </w:tcPr>
          <w:p w14:paraId="01985984" w14:textId="77777777" w:rsidR="00A53D2B" w:rsidRDefault="00A53D2B" w:rsidP="008B1BFC">
            <w:pPr>
              <w:spacing w:before="0" w:after="0"/>
              <w:rPr>
                <w:sz w:val="20"/>
                <w:szCs w:val="20"/>
              </w:rPr>
            </w:pPr>
          </w:p>
        </w:tc>
      </w:tr>
      <w:tr w:rsidR="00A53D2B" w14:paraId="0108BF3D" w14:textId="77777777" w:rsidTr="008B1BFC">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D7F99F" w14:textId="77777777" w:rsidR="00A53D2B" w:rsidRDefault="00A53D2B" w:rsidP="008B1BFC">
            <w:pPr>
              <w:spacing w:before="0" w:after="0" w:line="240" w:lineRule="auto"/>
              <w:ind w:firstLine="32"/>
              <w:rPr>
                <w:rFonts w:eastAsia="Times New Roman" w:cs="Times New Roman"/>
                <w:sz w:val="20"/>
                <w:szCs w:val="20"/>
              </w:rPr>
            </w:pPr>
            <w:r>
              <w:rPr>
                <w:rFonts w:eastAsia="Times New Roman" w:cs="Times New Roman"/>
                <w:color w:val="000000"/>
                <w:sz w:val="20"/>
                <w:szCs w:val="20"/>
              </w:rPr>
              <w:t>2017</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904751"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0,020</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0CC03F" w14:textId="77777777" w:rsidR="00A53D2B" w:rsidRDefault="00A53D2B" w:rsidP="008B1BFC">
            <w:pPr>
              <w:spacing w:before="0" w:after="0" w:line="240" w:lineRule="auto"/>
              <w:ind w:firstLine="29"/>
              <w:rPr>
                <w:rFonts w:eastAsia="Times New Roman" w:cs="Times New Roman"/>
                <w:sz w:val="20"/>
                <w:szCs w:val="20"/>
              </w:rPr>
            </w:pPr>
            <w:r>
              <w:rPr>
                <w:rFonts w:eastAsia="Times New Roman" w:cs="Times New Roman"/>
                <w:color w:val="000000"/>
                <w:sz w:val="20"/>
                <w:szCs w:val="20"/>
              </w:rPr>
              <w:t>0,0048</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381836"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0,0065</w:t>
            </w:r>
          </w:p>
        </w:tc>
        <w:tc>
          <w:tcPr>
            <w:tcW w:w="36" w:type="dxa"/>
            <w:vAlign w:val="center"/>
          </w:tcPr>
          <w:p w14:paraId="1205BBF7" w14:textId="77777777" w:rsidR="00A53D2B" w:rsidRDefault="00A53D2B" w:rsidP="008B1BFC">
            <w:pPr>
              <w:spacing w:before="0" w:after="0"/>
              <w:rPr>
                <w:sz w:val="20"/>
                <w:szCs w:val="20"/>
              </w:rPr>
            </w:pPr>
          </w:p>
        </w:tc>
      </w:tr>
      <w:tr w:rsidR="00A53D2B" w14:paraId="5E346013" w14:textId="77777777" w:rsidTr="008B1BFC">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9D25BB" w14:textId="77777777" w:rsidR="00A53D2B" w:rsidRDefault="00A53D2B" w:rsidP="008B1BFC">
            <w:pPr>
              <w:spacing w:before="0" w:after="0" w:line="240" w:lineRule="auto"/>
              <w:ind w:firstLine="32"/>
              <w:rPr>
                <w:rFonts w:eastAsia="Times New Roman" w:cs="Times New Roman"/>
                <w:sz w:val="20"/>
                <w:szCs w:val="20"/>
              </w:rPr>
            </w:pPr>
            <w:r>
              <w:rPr>
                <w:rFonts w:eastAsia="Times New Roman" w:cs="Times New Roman"/>
                <w:color w:val="000000"/>
                <w:sz w:val="20"/>
                <w:szCs w:val="20"/>
              </w:rPr>
              <w:t>2018</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BD54F8"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0,017</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7191D2" w14:textId="77777777" w:rsidR="00A53D2B" w:rsidRDefault="00A53D2B" w:rsidP="008B1BFC">
            <w:pPr>
              <w:spacing w:before="0" w:after="0" w:line="240" w:lineRule="auto"/>
              <w:ind w:firstLine="29"/>
              <w:rPr>
                <w:rFonts w:eastAsia="Times New Roman" w:cs="Times New Roman"/>
                <w:sz w:val="20"/>
                <w:szCs w:val="20"/>
              </w:rPr>
            </w:pPr>
            <w:r>
              <w:rPr>
                <w:rFonts w:eastAsia="Times New Roman" w:cs="Times New Roman"/>
                <w:color w:val="000000"/>
                <w:sz w:val="20"/>
                <w:szCs w:val="20"/>
              </w:rPr>
              <w:t>0,0077</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F41C7F"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0,0041</w:t>
            </w:r>
          </w:p>
        </w:tc>
        <w:tc>
          <w:tcPr>
            <w:tcW w:w="36" w:type="dxa"/>
            <w:vAlign w:val="center"/>
          </w:tcPr>
          <w:p w14:paraId="76F633F6" w14:textId="77777777" w:rsidR="00A53D2B" w:rsidRDefault="00A53D2B" w:rsidP="008B1BFC">
            <w:pPr>
              <w:spacing w:before="0" w:after="0"/>
              <w:rPr>
                <w:sz w:val="20"/>
                <w:szCs w:val="20"/>
              </w:rPr>
            </w:pPr>
          </w:p>
        </w:tc>
      </w:tr>
      <w:tr w:rsidR="00A53D2B" w14:paraId="780ABFA4" w14:textId="77777777" w:rsidTr="008B1BFC">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568E8C" w14:textId="77777777" w:rsidR="00A53D2B" w:rsidRDefault="00A53D2B" w:rsidP="008B1BFC">
            <w:pPr>
              <w:spacing w:before="0" w:after="0" w:line="240" w:lineRule="auto"/>
              <w:ind w:firstLine="32"/>
              <w:rPr>
                <w:rFonts w:eastAsia="Times New Roman" w:cs="Times New Roman"/>
                <w:sz w:val="20"/>
                <w:szCs w:val="20"/>
              </w:rPr>
            </w:pPr>
            <w:r>
              <w:rPr>
                <w:rFonts w:eastAsia="Times New Roman" w:cs="Times New Roman"/>
                <w:color w:val="000000"/>
                <w:sz w:val="20"/>
                <w:szCs w:val="20"/>
              </w:rPr>
              <w:t>2019</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A75BF1"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0,016</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7EE02E" w14:textId="77777777" w:rsidR="00A53D2B" w:rsidRDefault="00A53D2B" w:rsidP="008B1BFC">
            <w:pPr>
              <w:spacing w:before="0" w:after="0" w:line="240" w:lineRule="auto"/>
              <w:ind w:firstLine="29"/>
              <w:rPr>
                <w:rFonts w:eastAsia="Times New Roman" w:cs="Times New Roman"/>
                <w:sz w:val="20"/>
                <w:szCs w:val="20"/>
              </w:rPr>
            </w:pPr>
            <w:r>
              <w:rPr>
                <w:rFonts w:eastAsia="Times New Roman" w:cs="Times New Roman"/>
                <w:color w:val="000000"/>
                <w:sz w:val="20"/>
                <w:szCs w:val="20"/>
              </w:rPr>
              <w:t>0,0031</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6AFDF5"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0,0027</w:t>
            </w:r>
          </w:p>
        </w:tc>
        <w:tc>
          <w:tcPr>
            <w:tcW w:w="36" w:type="dxa"/>
            <w:vAlign w:val="center"/>
          </w:tcPr>
          <w:p w14:paraId="099D7128" w14:textId="77777777" w:rsidR="00A53D2B" w:rsidRDefault="00A53D2B" w:rsidP="008B1BFC">
            <w:pPr>
              <w:spacing w:before="0" w:after="0"/>
              <w:rPr>
                <w:sz w:val="20"/>
                <w:szCs w:val="20"/>
              </w:rPr>
            </w:pPr>
          </w:p>
        </w:tc>
      </w:tr>
      <w:tr w:rsidR="00A53D2B" w14:paraId="143FD3AE" w14:textId="77777777" w:rsidTr="008B1BFC">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66F04C" w14:textId="77777777" w:rsidR="00A53D2B" w:rsidRDefault="00A53D2B" w:rsidP="008B1BFC">
            <w:pPr>
              <w:spacing w:before="0" w:after="0" w:line="240" w:lineRule="auto"/>
              <w:ind w:firstLine="32"/>
              <w:rPr>
                <w:rFonts w:eastAsia="Times New Roman" w:cs="Times New Roman"/>
                <w:sz w:val="20"/>
                <w:szCs w:val="20"/>
              </w:rPr>
            </w:pPr>
            <w:r>
              <w:rPr>
                <w:rFonts w:eastAsia="Times New Roman" w:cs="Times New Roman"/>
                <w:color w:val="000000"/>
                <w:sz w:val="20"/>
                <w:szCs w:val="20"/>
              </w:rPr>
              <w:t>2020</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1D83A1"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0,024</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4F802A" w14:textId="77777777" w:rsidR="00A53D2B" w:rsidRDefault="00A53D2B" w:rsidP="008B1BFC">
            <w:pPr>
              <w:spacing w:before="0" w:after="0" w:line="240" w:lineRule="auto"/>
              <w:ind w:firstLine="29"/>
              <w:rPr>
                <w:rFonts w:eastAsia="Times New Roman" w:cs="Times New Roman"/>
                <w:sz w:val="20"/>
                <w:szCs w:val="20"/>
              </w:rPr>
            </w:pPr>
            <w:r>
              <w:rPr>
                <w:rFonts w:eastAsia="Times New Roman" w:cs="Times New Roman"/>
                <w:color w:val="000000"/>
                <w:sz w:val="20"/>
                <w:szCs w:val="20"/>
              </w:rPr>
              <w:t>0,0060</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F4D2CD"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0,0026</w:t>
            </w:r>
          </w:p>
        </w:tc>
        <w:tc>
          <w:tcPr>
            <w:tcW w:w="36" w:type="dxa"/>
            <w:vAlign w:val="center"/>
          </w:tcPr>
          <w:p w14:paraId="6547F2F0" w14:textId="77777777" w:rsidR="00A53D2B" w:rsidRDefault="00A53D2B" w:rsidP="008B1BFC">
            <w:pPr>
              <w:spacing w:before="0" w:after="0"/>
              <w:rPr>
                <w:sz w:val="20"/>
                <w:szCs w:val="20"/>
              </w:rPr>
            </w:pPr>
          </w:p>
        </w:tc>
      </w:tr>
      <w:tr w:rsidR="00A53D2B" w14:paraId="60E88F26" w14:textId="77777777" w:rsidTr="008B1BFC">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A882AA" w14:textId="77777777" w:rsidR="00A53D2B" w:rsidRDefault="00A53D2B" w:rsidP="008B1BFC">
            <w:pPr>
              <w:spacing w:before="0" w:after="0" w:line="240" w:lineRule="auto"/>
              <w:ind w:firstLine="32"/>
              <w:rPr>
                <w:rFonts w:eastAsia="Times New Roman" w:cs="Times New Roman"/>
                <w:sz w:val="20"/>
                <w:szCs w:val="20"/>
              </w:rPr>
            </w:pPr>
            <w:r>
              <w:rPr>
                <w:rFonts w:eastAsia="Times New Roman" w:cs="Times New Roman"/>
                <w:color w:val="000000"/>
                <w:sz w:val="20"/>
                <w:szCs w:val="20"/>
              </w:rPr>
              <w:t>2021</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A9A666"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0,030</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616D99" w14:textId="77777777" w:rsidR="00A53D2B" w:rsidRDefault="00A53D2B" w:rsidP="008B1BFC">
            <w:pPr>
              <w:spacing w:before="0" w:after="0" w:line="240" w:lineRule="auto"/>
              <w:ind w:firstLine="29"/>
              <w:rPr>
                <w:rFonts w:eastAsia="Times New Roman" w:cs="Times New Roman"/>
                <w:sz w:val="20"/>
                <w:szCs w:val="20"/>
              </w:rPr>
            </w:pPr>
            <w:r>
              <w:rPr>
                <w:rFonts w:eastAsia="Times New Roman" w:cs="Times New Roman"/>
                <w:color w:val="000000"/>
                <w:sz w:val="20"/>
                <w:szCs w:val="20"/>
              </w:rPr>
              <w:t>0,0062</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B6588D"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0,0030</w:t>
            </w:r>
          </w:p>
        </w:tc>
        <w:tc>
          <w:tcPr>
            <w:tcW w:w="36" w:type="dxa"/>
            <w:vAlign w:val="center"/>
          </w:tcPr>
          <w:p w14:paraId="37700E7C" w14:textId="77777777" w:rsidR="00A53D2B" w:rsidRDefault="00A53D2B" w:rsidP="008B1BFC">
            <w:pPr>
              <w:spacing w:before="0" w:after="0"/>
              <w:rPr>
                <w:sz w:val="20"/>
                <w:szCs w:val="20"/>
              </w:rPr>
            </w:pPr>
          </w:p>
        </w:tc>
      </w:tr>
    </w:tbl>
    <w:p w14:paraId="2E8C2520" w14:textId="77777777" w:rsidR="00A53D2B" w:rsidRDefault="00A53D2B" w:rsidP="008B1BFC">
      <w:pPr>
        <w:spacing w:after="0" w:line="257" w:lineRule="auto"/>
        <w:ind w:firstLine="0"/>
        <w:rPr>
          <w:rFonts w:eastAsia="Times New Roman" w:cs="Times New Roman"/>
          <w:b/>
          <w:color w:val="000000"/>
        </w:rPr>
      </w:pPr>
      <w:bookmarkStart w:id="130" w:name="_heading=h.1egqt2p" w:colFirst="0" w:colLast="0"/>
      <w:bookmarkEnd w:id="130"/>
    </w:p>
    <w:p w14:paraId="517917D0" w14:textId="654E4A72" w:rsidR="00A53D2B" w:rsidRDefault="00A53D2B" w:rsidP="00A53D2B">
      <w:pPr>
        <w:spacing w:after="0"/>
        <w:jc w:val="center"/>
        <w:rPr>
          <w:rFonts w:eastAsia="Times New Roman" w:cs="Times New Roman"/>
        </w:rPr>
      </w:pPr>
      <w:r>
        <w:rPr>
          <w:rFonts w:eastAsia="Times New Roman" w:cs="Times New Roman"/>
          <w:b/>
          <w:color w:val="000000"/>
        </w:rPr>
        <w:t xml:space="preserve">Tabel </w:t>
      </w:r>
      <w:r w:rsidR="008B1BFC">
        <w:rPr>
          <w:rFonts w:eastAsia="Times New Roman" w:cs="Times New Roman"/>
          <w:b/>
          <w:color w:val="000000"/>
        </w:rPr>
        <w:t>2.</w:t>
      </w:r>
      <w:r>
        <w:rPr>
          <w:rFonts w:eastAsia="Times New Roman" w:cs="Times New Roman"/>
          <w:b/>
          <w:color w:val="000000"/>
        </w:rPr>
        <w:t>5.2.9 Emisii de compuși cu N și P (tone/an) din stația de epurare Constanța Sud (</w:t>
      </w:r>
      <w:r>
        <w:rPr>
          <w:rFonts w:eastAsia="Times New Roman" w:cs="Times New Roman"/>
          <w:b/>
          <w:i/>
          <w:color w:val="000000"/>
        </w:rPr>
        <w:t>sursa: Administrația Națională Apele Române, 2023</w:t>
      </w:r>
      <w:r>
        <w:rPr>
          <w:rFonts w:eastAsia="Times New Roman" w:cs="Times New Roman"/>
          <w:b/>
          <w:color w:val="000000"/>
        </w:rPr>
        <w:t>)</w:t>
      </w:r>
    </w:p>
    <w:tbl>
      <w:tblPr>
        <w:tblW w:w="6039" w:type="dxa"/>
        <w:jc w:val="center"/>
        <w:tblLayout w:type="fixed"/>
        <w:tblLook w:val="0400" w:firstRow="0" w:lastRow="0" w:firstColumn="0" w:lastColumn="0" w:noHBand="0" w:noVBand="1"/>
      </w:tblPr>
      <w:tblGrid>
        <w:gridCol w:w="881"/>
        <w:gridCol w:w="1674"/>
        <w:gridCol w:w="1755"/>
        <w:gridCol w:w="1493"/>
        <w:gridCol w:w="236"/>
      </w:tblGrid>
      <w:tr w:rsidR="00A53D2B" w14:paraId="4A07D97D" w14:textId="77777777" w:rsidTr="008B1BFC">
        <w:trPr>
          <w:gridAfter w:val="1"/>
          <w:wAfter w:w="36" w:type="dxa"/>
          <w:trHeight w:val="557"/>
          <w:jc w:val="center"/>
        </w:trPr>
        <w:tc>
          <w:tcPr>
            <w:tcW w:w="908"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936293" w14:textId="77777777" w:rsidR="00A53D2B" w:rsidRDefault="00A53D2B" w:rsidP="008B1BFC">
            <w:pPr>
              <w:spacing w:before="0" w:after="0" w:line="240" w:lineRule="auto"/>
              <w:ind w:firstLine="32"/>
              <w:rPr>
                <w:rFonts w:eastAsia="Times New Roman" w:cs="Times New Roman"/>
                <w:sz w:val="20"/>
                <w:szCs w:val="20"/>
              </w:rPr>
            </w:pPr>
            <w:r>
              <w:rPr>
                <w:rFonts w:eastAsia="Times New Roman" w:cs="Times New Roman"/>
                <w:color w:val="000000"/>
                <w:sz w:val="20"/>
                <w:szCs w:val="20"/>
              </w:rPr>
              <w:t>An</w:t>
            </w:r>
          </w:p>
        </w:tc>
        <w:tc>
          <w:tcPr>
            <w:tcW w:w="173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397D58" w14:textId="77777777" w:rsidR="00A53D2B" w:rsidRDefault="00A53D2B" w:rsidP="008B1BFC">
            <w:pPr>
              <w:spacing w:before="0" w:after="0" w:line="240" w:lineRule="auto"/>
              <w:ind w:firstLine="2"/>
              <w:rPr>
                <w:rFonts w:eastAsia="Times New Roman" w:cs="Times New Roman"/>
                <w:sz w:val="20"/>
                <w:szCs w:val="20"/>
              </w:rPr>
            </w:pPr>
            <w:r>
              <w:rPr>
                <w:rFonts w:eastAsia="Times New Roman" w:cs="Times New Roman"/>
                <w:color w:val="000000"/>
                <w:sz w:val="20"/>
                <w:szCs w:val="20"/>
              </w:rPr>
              <w:t>Azot total, tone/an </w:t>
            </w:r>
          </w:p>
        </w:tc>
        <w:tc>
          <w:tcPr>
            <w:tcW w:w="181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8A4793" w14:textId="77777777" w:rsidR="00A53D2B" w:rsidRDefault="00A53D2B" w:rsidP="008B1BFC">
            <w:pPr>
              <w:spacing w:before="0" w:after="0" w:line="240" w:lineRule="auto"/>
              <w:ind w:firstLine="29"/>
              <w:rPr>
                <w:rFonts w:eastAsia="Times New Roman" w:cs="Times New Roman"/>
                <w:sz w:val="20"/>
                <w:szCs w:val="20"/>
              </w:rPr>
            </w:pPr>
            <w:r>
              <w:rPr>
                <w:rFonts w:eastAsia="Times New Roman" w:cs="Times New Roman"/>
                <w:color w:val="000000"/>
                <w:sz w:val="20"/>
                <w:szCs w:val="20"/>
              </w:rPr>
              <w:t>Fosfor total, tone/an</w:t>
            </w:r>
          </w:p>
        </w:tc>
        <w:tc>
          <w:tcPr>
            <w:tcW w:w="1545"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E8AB7F"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Amoniu, tone/an</w:t>
            </w:r>
          </w:p>
        </w:tc>
      </w:tr>
      <w:tr w:rsidR="00A53D2B" w14:paraId="2FD71927" w14:textId="77777777" w:rsidTr="008B1BFC">
        <w:trPr>
          <w:trHeight w:val="71"/>
          <w:jc w:val="center"/>
        </w:trPr>
        <w:tc>
          <w:tcPr>
            <w:tcW w:w="908"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2F6CA6" w14:textId="77777777" w:rsidR="00A53D2B" w:rsidRDefault="00A53D2B" w:rsidP="008B1BFC">
            <w:pPr>
              <w:widowControl w:val="0"/>
              <w:pBdr>
                <w:top w:val="nil"/>
                <w:left w:val="nil"/>
                <w:bottom w:val="nil"/>
                <w:right w:val="nil"/>
                <w:between w:val="nil"/>
              </w:pBdr>
              <w:spacing w:before="0" w:after="0"/>
              <w:ind w:firstLine="32"/>
              <w:rPr>
                <w:rFonts w:eastAsia="Times New Roman" w:cs="Times New Roman"/>
                <w:sz w:val="20"/>
                <w:szCs w:val="20"/>
              </w:rPr>
            </w:pPr>
          </w:p>
        </w:tc>
        <w:tc>
          <w:tcPr>
            <w:tcW w:w="173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67E6C8" w14:textId="77777777" w:rsidR="00A53D2B" w:rsidRDefault="00A53D2B" w:rsidP="008B1BFC">
            <w:pPr>
              <w:widowControl w:val="0"/>
              <w:pBdr>
                <w:top w:val="nil"/>
                <w:left w:val="nil"/>
                <w:bottom w:val="nil"/>
                <w:right w:val="nil"/>
                <w:between w:val="nil"/>
              </w:pBdr>
              <w:spacing w:before="0" w:after="0"/>
              <w:ind w:firstLine="2"/>
              <w:rPr>
                <w:rFonts w:eastAsia="Times New Roman" w:cs="Times New Roman"/>
                <w:sz w:val="20"/>
                <w:szCs w:val="20"/>
              </w:rPr>
            </w:pPr>
          </w:p>
        </w:tc>
        <w:tc>
          <w:tcPr>
            <w:tcW w:w="181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0D75A0" w14:textId="77777777" w:rsidR="00A53D2B" w:rsidRDefault="00A53D2B" w:rsidP="008B1BFC">
            <w:pPr>
              <w:widowControl w:val="0"/>
              <w:pBdr>
                <w:top w:val="nil"/>
                <w:left w:val="nil"/>
                <w:bottom w:val="nil"/>
                <w:right w:val="nil"/>
                <w:between w:val="nil"/>
              </w:pBdr>
              <w:spacing w:before="0" w:after="0"/>
              <w:ind w:firstLine="29"/>
              <w:rPr>
                <w:rFonts w:eastAsia="Times New Roman" w:cs="Times New Roman"/>
                <w:sz w:val="20"/>
                <w:szCs w:val="20"/>
              </w:rPr>
            </w:pPr>
          </w:p>
        </w:tc>
        <w:tc>
          <w:tcPr>
            <w:tcW w:w="154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66556A" w14:textId="77777777" w:rsidR="00A53D2B" w:rsidRDefault="00A53D2B" w:rsidP="008B1BFC">
            <w:pPr>
              <w:widowControl w:val="0"/>
              <w:pBdr>
                <w:top w:val="nil"/>
                <w:left w:val="nil"/>
                <w:bottom w:val="nil"/>
                <w:right w:val="nil"/>
                <w:between w:val="nil"/>
              </w:pBdr>
              <w:spacing w:before="0" w:after="0"/>
              <w:ind w:firstLine="0"/>
              <w:rPr>
                <w:rFonts w:eastAsia="Times New Roman" w:cs="Times New Roman"/>
                <w:sz w:val="20"/>
                <w:szCs w:val="20"/>
              </w:rPr>
            </w:pPr>
          </w:p>
        </w:tc>
        <w:tc>
          <w:tcPr>
            <w:tcW w:w="36" w:type="dxa"/>
            <w:vAlign w:val="center"/>
          </w:tcPr>
          <w:p w14:paraId="60E798A0" w14:textId="77777777" w:rsidR="00A53D2B" w:rsidRDefault="00A53D2B" w:rsidP="008B1BFC">
            <w:pPr>
              <w:spacing w:before="0" w:after="0" w:line="240" w:lineRule="auto"/>
              <w:rPr>
                <w:rFonts w:eastAsia="Times New Roman" w:cs="Times New Roman"/>
                <w:sz w:val="20"/>
                <w:szCs w:val="20"/>
              </w:rPr>
            </w:pPr>
          </w:p>
        </w:tc>
      </w:tr>
      <w:tr w:rsidR="00A53D2B" w14:paraId="3B25DE6C" w14:textId="77777777" w:rsidTr="008B1BFC">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ECBDA4" w14:textId="77777777" w:rsidR="00A53D2B" w:rsidRDefault="00A53D2B" w:rsidP="008B1BFC">
            <w:pPr>
              <w:spacing w:before="0" w:after="0" w:line="240" w:lineRule="auto"/>
              <w:ind w:firstLine="32"/>
              <w:rPr>
                <w:rFonts w:eastAsia="Times New Roman" w:cs="Times New Roman"/>
                <w:sz w:val="20"/>
                <w:szCs w:val="20"/>
              </w:rPr>
            </w:pPr>
            <w:r>
              <w:rPr>
                <w:rFonts w:eastAsia="Times New Roman" w:cs="Times New Roman"/>
                <w:color w:val="000000"/>
                <w:sz w:val="20"/>
                <w:szCs w:val="20"/>
              </w:rPr>
              <w:t>2015</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341991" w14:textId="77777777" w:rsidR="00A53D2B" w:rsidRDefault="00A53D2B" w:rsidP="008B1BFC">
            <w:pPr>
              <w:spacing w:before="0" w:after="0" w:line="240" w:lineRule="auto"/>
              <w:ind w:firstLine="2"/>
              <w:rPr>
                <w:rFonts w:eastAsia="Times New Roman" w:cs="Times New Roman"/>
                <w:sz w:val="20"/>
                <w:szCs w:val="20"/>
              </w:rPr>
            </w:pPr>
            <w:r>
              <w:rPr>
                <w:rFonts w:eastAsia="Times New Roman" w:cs="Times New Roman"/>
                <w:color w:val="000000"/>
                <w:sz w:val="20"/>
                <w:szCs w:val="20"/>
              </w:rPr>
              <w:t>0,65</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C5931C" w14:textId="77777777" w:rsidR="00A53D2B" w:rsidRDefault="00A53D2B" w:rsidP="008B1BFC">
            <w:pPr>
              <w:spacing w:before="0" w:after="0" w:line="240" w:lineRule="auto"/>
              <w:ind w:firstLine="29"/>
              <w:rPr>
                <w:rFonts w:eastAsia="Times New Roman" w:cs="Times New Roman"/>
                <w:sz w:val="20"/>
                <w:szCs w:val="20"/>
              </w:rPr>
            </w:pPr>
            <w:r>
              <w:rPr>
                <w:rFonts w:eastAsia="Times New Roman" w:cs="Times New Roman"/>
                <w:color w:val="000000"/>
                <w:sz w:val="20"/>
                <w:szCs w:val="20"/>
              </w:rPr>
              <w:t>0,026</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A9854B"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0,0013</w:t>
            </w:r>
          </w:p>
        </w:tc>
        <w:tc>
          <w:tcPr>
            <w:tcW w:w="36" w:type="dxa"/>
            <w:vAlign w:val="center"/>
          </w:tcPr>
          <w:p w14:paraId="336B6C48" w14:textId="77777777" w:rsidR="00A53D2B" w:rsidRDefault="00A53D2B" w:rsidP="008B1BFC">
            <w:pPr>
              <w:spacing w:before="0" w:after="0" w:line="240" w:lineRule="auto"/>
              <w:rPr>
                <w:rFonts w:eastAsia="Times New Roman" w:cs="Times New Roman"/>
                <w:sz w:val="20"/>
                <w:szCs w:val="20"/>
              </w:rPr>
            </w:pPr>
          </w:p>
        </w:tc>
      </w:tr>
      <w:tr w:rsidR="00A53D2B" w14:paraId="334C54E8" w14:textId="77777777" w:rsidTr="008B1BFC">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D2AE06" w14:textId="77777777" w:rsidR="00A53D2B" w:rsidRDefault="00A53D2B" w:rsidP="008B1BFC">
            <w:pPr>
              <w:spacing w:before="0" w:after="0" w:line="240" w:lineRule="auto"/>
              <w:ind w:firstLine="32"/>
              <w:rPr>
                <w:rFonts w:eastAsia="Times New Roman" w:cs="Times New Roman"/>
                <w:sz w:val="20"/>
                <w:szCs w:val="20"/>
              </w:rPr>
            </w:pPr>
            <w:r>
              <w:rPr>
                <w:rFonts w:eastAsia="Times New Roman" w:cs="Times New Roman"/>
                <w:color w:val="000000"/>
                <w:sz w:val="20"/>
                <w:szCs w:val="20"/>
              </w:rPr>
              <w:t>2016</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6AFF62" w14:textId="77777777" w:rsidR="00A53D2B" w:rsidRDefault="00A53D2B" w:rsidP="008B1BFC">
            <w:pPr>
              <w:spacing w:before="0" w:after="0" w:line="240" w:lineRule="auto"/>
              <w:ind w:firstLine="2"/>
              <w:rPr>
                <w:rFonts w:eastAsia="Times New Roman" w:cs="Times New Roman"/>
                <w:sz w:val="20"/>
                <w:szCs w:val="20"/>
              </w:rPr>
            </w:pPr>
            <w:r>
              <w:rPr>
                <w:rFonts w:eastAsia="Times New Roman" w:cs="Times New Roman"/>
                <w:color w:val="000000"/>
                <w:sz w:val="20"/>
                <w:szCs w:val="20"/>
              </w:rPr>
              <w:t>0,31</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D43F52" w14:textId="77777777" w:rsidR="00A53D2B" w:rsidRDefault="00A53D2B" w:rsidP="008B1BFC">
            <w:pPr>
              <w:spacing w:before="0" w:after="0" w:line="240" w:lineRule="auto"/>
              <w:ind w:firstLine="29"/>
              <w:rPr>
                <w:rFonts w:eastAsia="Times New Roman" w:cs="Times New Roman"/>
                <w:sz w:val="20"/>
                <w:szCs w:val="20"/>
              </w:rPr>
            </w:pPr>
            <w:r>
              <w:rPr>
                <w:rFonts w:eastAsia="Times New Roman" w:cs="Times New Roman"/>
                <w:color w:val="000000"/>
                <w:sz w:val="20"/>
                <w:szCs w:val="20"/>
              </w:rPr>
              <w:t>0,022</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8E1C23"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0,235</w:t>
            </w:r>
          </w:p>
        </w:tc>
        <w:tc>
          <w:tcPr>
            <w:tcW w:w="36" w:type="dxa"/>
            <w:vAlign w:val="center"/>
          </w:tcPr>
          <w:p w14:paraId="7DDA1B0A" w14:textId="77777777" w:rsidR="00A53D2B" w:rsidRDefault="00A53D2B" w:rsidP="008B1BFC">
            <w:pPr>
              <w:spacing w:before="0" w:after="0" w:line="240" w:lineRule="auto"/>
              <w:rPr>
                <w:rFonts w:eastAsia="Times New Roman" w:cs="Times New Roman"/>
                <w:sz w:val="20"/>
                <w:szCs w:val="20"/>
              </w:rPr>
            </w:pPr>
          </w:p>
        </w:tc>
      </w:tr>
      <w:tr w:rsidR="00A53D2B" w14:paraId="1D137EA9" w14:textId="77777777" w:rsidTr="008B1BFC">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620EF1" w14:textId="77777777" w:rsidR="00A53D2B" w:rsidRDefault="00A53D2B" w:rsidP="008B1BFC">
            <w:pPr>
              <w:spacing w:before="0" w:after="0" w:line="240" w:lineRule="auto"/>
              <w:ind w:firstLine="32"/>
              <w:rPr>
                <w:rFonts w:eastAsia="Times New Roman" w:cs="Times New Roman"/>
                <w:sz w:val="20"/>
                <w:szCs w:val="20"/>
              </w:rPr>
            </w:pPr>
            <w:r>
              <w:rPr>
                <w:rFonts w:eastAsia="Times New Roman" w:cs="Times New Roman"/>
                <w:color w:val="000000"/>
                <w:sz w:val="20"/>
                <w:szCs w:val="20"/>
              </w:rPr>
              <w:t>2017</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E3F20A" w14:textId="77777777" w:rsidR="00A53D2B" w:rsidRDefault="00A53D2B" w:rsidP="008B1BFC">
            <w:pPr>
              <w:spacing w:before="0" w:after="0" w:line="240" w:lineRule="auto"/>
              <w:ind w:firstLine="2"/>
              <w:rPr>
                <w:rFonts w:eastAsia="Times New Roman" w:cs="Times New Roman"/>
                <w:sz w:val="20"/>
                <w:szCs w:val="20"/>
              </w:rPr>
            </w:pPr>
            <w:r>
              <w:rPr>
                <w:rFonts w:eastAsia="Times New Roman" w:cs="Times New Roman"/>
                <w:color w:val="000000"/>
                <w:sz w:val="20"/>
                <w:szCs w:val="20"/>
              </w:rPr>
              <w:t>0,36</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C95635" w14:textId="77777777" w:rsidR="00A53D2B" w:rsidRDefault="00A53D2B" w:rsidP="008B1BFC">
            <w:pPr>
              <w:spacing w:before="0" w:after="0" w:line="240" w:lineRule="auto"/>
              <w:ind w:firstLine="29"/>
              <w:rPr>
                <w:rFonts w:eastAsia="Times New Roman" w:cs="Times New Roman"/>
                <w:sz w:val="20"/>
                <w:szCs w:val="20"/>
              </w:rPr>
            </w:pPr>
            <w:r>
              <w:rPr>
                <w:rFonts w:eastAsia="Times New Roman" w:cs="Times New Roman"/>
                <w:color w:val="000000"/>
                <w:sz w:val="20"/>
                <w:szCs w:val="20"/>
              </w:rPr>
              <w:t>0,023</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FCEA4D"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0,27</w:t>
            </w:r>
          </w:p>
        </w:tc>
        <w:tc>
          <w:tcPr>
            <w:tcW w:w="36" w:type="dxa"/>
            <w:vAlign w:val="center"/>
          </w:tcPr>
          <w:p w14:paraId="38B5448C" w14:textId="77777777" w:rsidR="00A53D2B" w:rsidRDefault="00A53D2B" w:rsidP="008B1BFC">
            <w:pPr>
              <w:spacing w:before="0" w:after="0" w:line="240" w:lineRule="auto"/>
              <w:rPr>
                <w:rFonts w:eastAsia="Times New Roman" w:cs="Times New Roman"/>
                <w:sz w:val="20"/>
                <w:szCs w:val="20"/>
              </w:rPr>
            </w:pPr>
          </w:p>
        </w:tc>
      </w:tr>
      <w:tr w:rsidR="00A53D2B" w14:paraId="1DF21CFA" w14:textId="77777777" w:rsidTr="008B1BFC">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EEDE08" w14:textId="77777777" w:rsidR="00A53D2B" w:rsidRDefault="00A53D2B" w:rsidP="008B1BFC">
            <w:pPr>
              <w:spacing w:before="0" w:after="0" w:line="240" w:lineRule="auto"/>
              <w:ind w:firstLine="32"/>
              <w:rPr>
                <w:rFonts w:eastAsia="Times New Roman" w:cs="Times New Roman"/>
                <w:sz w:val="20"/>
                <w:szCs w:val="20"/>
              </w:rPr>
            </w:pPr>
            <w:r>
              <w:rPr>
                <w:rFonts w:eastAsia="Times New Roman" w:cs="Times New Roman"/>
                <w:color w:val="000000"/>
                <w:sz w:val="20"/>
                <w:szCs w:val="20"/>
              </w:rPr>
              <w:t>2018</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C89B11" w14:textId="77777777" w:rsidR="00A53D2B" w:rsidRDefault="00A53D2B" w:rsidP="008B1BFC">
            <w:pPr>
              <w:spacing w:before="0" w:after="0" w:line="240" w:lineRule="auto"/>
              <w:ind w:firstLine="2"/>
              <w:rPr>
                <w:rFonts w:eastAsia="Times New Roman" w:cs="Times New Roman"/>
                <w:sz w:val="20"/>
                <w:szCs w:val="20"/>
              </w:rPr>
            </w:pPr>
            <w:r>
              <w:rPr>
                <w:rFonts w:eastAsia="Times New Roman" w:cs="Times New Roman"/>
                <w:color w:val="000000"/>
                <w:sz w:val="20"/>
                <w:szCs w:val="20"/>
              </w:rPr>
              <w:t>0,22</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F1C3EC" w14:textId="77777777" w:rsidR="00A53D2B" w:rsidRDefault="00A53D2B" w:rsidP="008B1BFC">
            <w:pPr>
              <w:spacing w:before="0" w:after="0" w:line="240" w:lineRule="auto"/>
              <w:ind w:firstLine="29"/>
              <w:rPr>
                <w:rFonts w:eastAsia="Times New Roman" w:cs="Times New Roman"/>
                <w:sz w:val="20"/>
                <w:szCs w:val="20"/>
              </w:rPr>
            </w:pPr>
            <w:r>
              <w:rPr>
                <w:rFonts w:eastAsia="Times New Roman" w:cs="Times New Roman"/>
                <w:color w:val="000000"/>
                <w:sz w:val="20"/>
                <w:szCs w:val="20"/>
              </w:rPr>
              <w:t>0,015</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F63263"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0,053</w:t>
            </w:r>
          </w:p>
        </w:tc>
        <w:tc>
          <w:tcPr>
            <w:tcW w:w="36" w:type="dxa"/>
            <w:vAlign w:val="center"/>
          </w:tcPr>
          <w:p w14:paraId="17F7F156" w14:textId="77777777" w:rsidR="00A53D2B" w:rsidRDefault="00A53D2B" w:rsidP="008B1BFC">
            <w:pPr>
              <w:spacing w:before="0" w:after="0" w:line="240" w:lineRule="auto"/>
              <w:rPr>
                <w:rFonts w:eastAsia="Times New Roman" w:cs="Times New Roman"/>
                <w:sz w:val="20"/>
                <w:szCs w:val="20"/>
              </w:rPr>
            </w:pPr>
          </w:p>
        </w:tc>
      </w:tr>
      <w:tr w:rsidR="00A53D2B" w14:paraId="421C8742" w14:textId="77777777" w:rsidTr="008B1BFC">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4E6727" w14:textId="77777777" w:rsidR="00A53D2B" w:rsidRDefault="00A53D2B" w:rsidP="008B1BFC">
            <w:pPr>
              <w:spacing w:before="0" w:after="0" w:line="240" w:lineRule="auto"/>
              <w:ind w:firstLine="32"/>
              <w:rPr>
                <w:rFonts w:eastAsia="Times New Roman" w:cs="Times New Roman"/>
                <w:sz w:val="20"/>
                <w:szCs w:val="20"/>
              </w:rPr>
            </w:pPr>
            <w:r>
              <w:rPr>
                <w:rFonts w:eastAsia="Times New Roman" w:cs="Times New Roman"/>
                <w:color w:val="000000"/>
                <w:sz w:val="20"/>
                <w:szCs w:val="20"/>
              </w:rPr>
              <w:t>2019</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D83630" w14:textId="77777777" w:rsidR="00A53D2B" w:rsidRDefault="00A53D2B" w:rsidP="008B1BFC">
            <w:pPr>
              <w:spacing w:before="0" w:after="0" w:line="240" w:lineRule="auto"/>
              <w:ind w:firstLine="2"/>
              <w:rPr>
                <w:rFonts w:eastAsia="Times New Roman" w:cs="Times New Roman"/>
                <w:sz w:val="20"/>
                <w:szCs w:val="20"/>
              </w:rPr>
            </w:pPr>
            <w:r>
              <w:rPr>
                <w:rFonts w:eastAsia="Times New Roman" w:cs="Times New Roman"/>
                <w:color w:val="000000"/>
                <w:sz w:val="20"/>
                <w:szCs w:val="20"/>
              </w:rPr>
              <w:t>0,29</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A37C04" w14:textId="77777777" w:rsidR="00A53D2B" w:rsidRDefault="00A53D2B" w:rsidP="008B1BFC">
            <w:pPr>
              <w:spacing w:before="0" w:after="0" w:line="240" w:lineRule="auto"/>
              <w:ind w:firstLine="29"/>
              <w:rPr>
                <w:rFonts w:eastAsia="Times New Roman" w:cs="Times New Roman"/>
                <w:sz w:val="20"/>
                <w:szCs w:val="20"/>
              </w:rPr>
            </w:pPr>
            <w:r>
              <w:rPr>
                <w:rFonts w:eastAsia="Times New Roman" w:cs="Times New Roman"/>
                <w:color w:val="000000"/>
                <w:sz w:val="20"/>
                <w:szCs w:val="20"/>
              </w:rPr>
              <w:t>0,011</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D9A894"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0,049</w:t>
            </w:r>
          </w:p>
        </w:tc>
        <w:tc>
          <w:tcPr>
            <w:tcW w:w="36" w:type="dxa"/>
            <w:vAlign w:val="center"/>
          </w:tcPr>
          <w:p w14:paraId="62250ACF" w14:textId="77777777" w:rsidR="00A53D2B" w:rsidRDefault="00A53D2B" w:rsidP="008B1BFC">
            <w:pPr>
              <w:spacing w:before="0" w:after="0" w:line="240" w:lineRule="auto"/>
              <w:rPr>
                <w:rFonts w:eastAsia="Times New Roman" w:cs="Times New Roman"/>
                <w:sz w:val="20"/>
                <w:szCs w:val="20"/>
              </w:rPr>
            </w:pPr>
          </w:p>
        </w:tc>
      </w:tr>
      <w:tr w:rsidR="00A53D2B" w14:paraId="36D28757" w14:textId="77777777" w:rsidTr="008B1BFC">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7DC392" w14:textId="77777777" w:rsidR="00A53D2B" w:rsidRDefault="00A53D2B" w:rsidP="008B1BFC">
            <w:pPr>
              <w:spacing w:before="0" w:after="0" w:line="240" w:lineRule="auto"/>
              <w:ind w:firstLine="32"/>
              <w:rPr>
                <w:rFonts w:eastAsia="Times New Roman" w:cs="Times New Roman"/>
                <w:sz w:val="20"/>
                <w:szCs w:val="20"/>
              </w:rPr>
            </w:pPr>
            <w:r>
              <w:rPr>
                <w:rFonts w:eastAsia="Times New Roman" w:cs="Times New Roman"/>
                <w:color w:val="000000"/>
                <w:sz w:val="20"/>
                <w:szCs w:val="20"/>
              </w:rPr>
              <w:t>2020</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C494A8" w14:textId="77777777" w:rsidR="00A53D2B" w:rsidRDefault="00A53D2B" w:rsidP="008B1BFC">
            <w:pPr>
              <w:spacing w:before="0" w:after="0" w:line="240" w:lineRule="auto"/>
              <w:ind w:firstLine="2"/>
              <w:rPr>
                <w:rFonts w:eastAsia="Times New Roman" w:cs="Times New Roman"/>
                <w:sz w:val="20"/>
                <w:szCs w:val="20"/>
              </w:rPr>
            </w:pPr>
            <w:r>
              <w:rPr>
                <w:rFonts w:eastAsia="Times New Roman" w:cs="Times New Roman"/>
                <w:color w:val="000000"/>
                <w:sz w:val="20"/>
                <w:szCs w:val="20"/>
              </w:rPr>
              <w:t>0,18</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8791A0" w14:textId="77777777" w:rsidR="00A53D2B" w:rsidRDefault="00A53D2B" w:rsidP="008B1BFC">
            <w:pPr>
              <w:spacing w:before="0" w:after="0" w:line="240" w:lineRule="auto"/>
              <w:ind w:firstLine="29"/>
              <w:rPr>
                <w:rFonts w:eastAsia="Times New Roman" w:cs="Times New Roman"/>
                <w:sz w:val="20"/>
                <w:szCs w:val="20"/>
              </w:rPr>
            </w:pPr>
            <w:r>
              <w:rPr>
                <w:rFonts w:eastAsia="Times New Roman" w:cs="Times New Roman"/>
                <w:color w:val="000000"/>
                <w:sz w:val="20"/>
                <w:szCs w:val="20"/>
              </w:rPr>
              <w:t>0,018</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EA817E"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0,16</w:t>
            </w:r>
          </w:p>
        </w:tc>
        <w:tc>
          <w:tcPr>
            <w:tcW w:w="36" w:type="dxa"/>
            <w:vAlign w:val="center"/>
          </w:tcPr>
          <w:p w14:paraId="38768B80" w14:textId="77777777" w:rsidR="00A53D2B" w:rsidRDefault="00A53D2B" w:rsidP="008B1BFC">
            <w:pPr>
              <w:spacing w:before="0" w:after="0" w:line="240" w:lineRule="auto"/>
              <w:rPr>
                <w:rFonts w:eastAsia="Times New Roman" w:cs="Times New Roman"/>
                <w:sz w:val="20"/>
                <w:szCs w:val="20"/>
              </w:rPr>
            </w:pPr>
          </w:p>
        </w:tc>
      </w:tr>
      <w:tr w:rsidR="00A53D2B" w14:paraId="388C06BF" w14:textId="77777777" w:rsidTr="008B1BFC">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9EE647" w14:textId="77777777" w:rsidR="00A53D2B" w:rsidRDefault="00A53D2B" w:rsidP="008B1BFC">
            <w:pPr>
              <w:spacing w:before="0" w:after="0" w:line="240" w:lineRule="auto"/>
              <w:ind w:firstLine="32"/>
              <w:rPr>
                <w:rFonts w:eastAsia="Times New Roman" w:cs="Times New Roman"/>
                <w:sz w:val="20"/>
                <w:szCs w:val="20"/>
              </w:rPr>
            </w:pPr>
            <w:r>
              <w:rPr>
                <w:rFonts w:eastAsia="Times New Roman" w:cs="Times New Roman"/>
                <w:color w:val="000000"/>
                <w:sz w:val="20"/>
                <w:szCs w:val="20"/>
              </w:rPr>
              <w:t>2021</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F50B2E" w14:textId="77777777" w:rsidR="00A53D2B" w:rsidRDefault="00A53D2B" w:rsidP="008B1BFC">
            <w:pPr>
              <w:spacing w:before="0" w:after="0" w:line="240" w:lineRule="auto"/>
              <w:ind w:firstLine="2"/>
              <w:rPr>
                <w:rFonts w:eastAsia="Times New Roman" w:cs="Times New Roman"/>
                <w:sz w:val="20"/>
                <w:szCs w:val="20"/>
              </w:rPr>
            </w:pPr>
            <w:r>
              <w:rPr>
                <w:rFonts w:eastAsia="Times New Roman" w:cs="Times New Roman"/>
                <w:color w:val="000000"/>
                <w:sz w:val="20"/>
                <w:szCs w:val="20"/>
              </w:rPr>
              <w:t>0,20</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BAD84E" w14:textId="77777777" w:rsidR="00A53D2B" w:rsidRDefault="00A53D2B" w:rsidP="008B1BFC">
            <w:pPr>
              <w:spacing w:before="0" w:after="0" w:line="240" w:lineRule="auto"/>
              <w:ind w:firstLine="29"/>
              <w:rPr>
                <w:rFonts w:eastAsia="Times New Roman" w:cs="Times New Roman"/>
                <w:sz w:val="20"/>
                <w:szCs w:val="20"/>
              </w:rPr>
            </w:pPr>
            <w:r>
              <w:rPr>
                <w:rFonts w:eastAsia="Times New Roman" w:cs="Times New Roman"/>
                <w:color w:val="000000"/>
                <w:sz w:val="20"/>
                <w:szCs w:val="20"/>
              </w:rPr>
              <w:t>0,011</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08CDB9"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0,060</w:t>
            </w:r>
          </w:p>
        </w:tc>
        <w:tc>
          <w:tcPr>
            <w:tcW w:w="36" w:type="dxa"/>
            <w:vAlign w:val="center"/>
          </w:tcPr>
          <w:p w14:paraId="4DC9248D" w14:textId="77777777" w:rsidR="00A53D2B" w:rsidRDefault="00A53D2B" w:rsidP="008B1BFC">
            <w:pPr>
              <w:spacing w:before="0" w:after="0" w:line="240" w:lineRule="auto"/>
              <w:rPr>
                <w:rFonts w:eastAsia="Times New Roman" w:cs="Times New Roman"/>
                <w:sz w:val="20"/>
                <w:szCs w:val="20"/>
              </w:rPr>
            </w:pPr>
          </w:p>
        </w:tc>
      </w:tr>
    </w:tbl>
    <w:p w14:paraId="6EEB98D6" w14:textId="77777777" w:rsidR="00A53D2B" w:rsidRDefault="00A53D2B" w:rsidP="00A53D2B">
      <w:pPr>
        <w:rPr>
          <w:color w:val="000000"/>
        </w:rPr>
      </w:pPr>
    </w:p>
    <w:p w14:paraId="5F534692" w14:textId="77777777" w:rsidR="00A53D2B" w:rsidRDefault="00A53D2B" w:rsidP="00A53D2B">
      <w:pPr>
        <w:ind w:firstLine="567"/>
        <w:rPr>
          <w:rFonts w:eastAsia="Times New Roman" w:cs="Times New Roman"/>
        </w:rPr>
      </w:pPr>
      <w:r>
        <w:rPr>
          <w:rFonts w:eastAsia="Times New Roman" w:cs="Times New Roman"/>
          <w:color w:val="000000"/>
        </w:rPr>
        <w:lastRenderedPageBreak/>
        <w:t xml:space="preserve">Cantitățile de compuși cu azot și fosfor (monitorizați) care se deversează în mare din stația de epurare urbană Constanța Sud, care deservește și Portul Constanța, arată o scădere începând cu 2017, până atunci apele uzate deversate au fost insuficient epurate, conform Administrația Națională Apele Române. Similar, stația de epurare Mangalia arată un trend clar descrescător începând cu 2018. </w:t>
      </w:r>
    </w:p>
    <w:p w14:paraId="18C7408F" w14:textId="77777777" w:rsidR="00A53D2B" w:rsidRDefault="00A53D2B" w:rsidP="00A53D2B">
      <w:pPr>
        <w:jc w:val="center"/>
        <w:rPr>
          <w:b/>
          <w:color w:val="000000"/>
          <w:sz w:val="20"/>
          <w:szCs w:val="20"/>
        </w:rPr>
      </w:pPr>
      <w:bookmarkStart w:id="131" w:name="_heading=h.3ygebqi" w:colFirst="0" w:colLast="0"/>
      <w:bookmarkEnd w:id="131"/>
    </w:p>
    <w:p w14:paraId="2F04688B" w14:textId="3E4A0E4D" w:rsidR="00A53D2B" w:rsidRDefault="00A53D2B" w:rsidP="00A53D2B">
      <w:pPr>
        <w:spacing w:after="0"/>
        <w:jc w:val="center"/>
        <w:rPr>
          <w:rFonts w:eastAsia="Times New Roman" w:cs="Times New Roman"/>
        </w:rPr>
      </w:pPr>
      <w:r>
        <w:rPr>
          <w:rFonts w:eastAsia="Times New Roman" w:cs="Times New Roman"/>
          <w:b/>
          <w:color w:val="000000"/>
        </w:rPr>
        <w:t xml:space="preserve">Tabel </w:t>
      </w:r>
      <w:r w:rsidR="008B1BFC">
        <w:rPr>
          <w:rFonts w:eastAsia="Times New Roman" w:cs="Times New Roman"/>
          <w:b/>
          <w:color w:val="000000"/>
        </w:rPr>
        <w:t>2.</w:t>
      </w:r>
      <w:r>
        <w:rPr>
          <w:rFonts w:eastAsia="Times New Roman" w:cs="Times New Roman"/>
          <w:b/>
          <w:color w:val="000000"/>
        </w:rPr>
        <w:t xml:space="preserve">5.2.10 Emisii de compuși cu N și P (tone/an) din stația de epurare </w:t>
      </w:r>
      <w:sdt>
        <w:sdtPr>
          <w:tag w:val="goog_rdk_48"/>
          <w:id w:val="1090433904"/>
        </w:sdtPr>
        <w:sdtContent>
          <w:r>
            <w:rPr>
              <w:rFonts w:eastAsia="Times New Roman" w:cs="Times New Roman"/>
              <w:b/>
              <w:color w:val="000000"/>
            </w:rPr>
            <w:t>Constanța</w:t>
          </w:r>
        </w:sdtContent>
      </w:sdt>
      <w:r>
        <w:rPr>
          <w:rFonts w:eastAsia="Times New Roman" w:cs="Times New Roman"/>
          <w:b/>
          <w:color w:val="000000"/>
        </w:rPr>
        <w:t xml:space="preserve"> Nord (sursa: Administrația Națională Apele Române, 2023)</w:t>
      </w:r>
    </w:p>
    <w:tbl>
      <w:tblPr>
        <w:tblW w:w="5897" w:type="dxa"/>
        <w:jc w:val="center"/>
        <w:tblLayout w:type="fixed"/>
        <w:tblLook w:val="0400" w:firstRow="0" w:lastRow="0" w:firstColumn="0" w:lastColumn="0" w:noHBand="0" w:noVBand="1"/>
      </w:tblPr>
      <w:tblGrid>
        <w:gridCol w:w="744"/>
        <w:gridCol w:w="1672"/>
        <w:gridCol w:w="1753"/>
        <w:gridCol w:w="1492"/>
        <w:gridCol w:w="236"/>
      </w:tblGrid>
      <w:tr w:rsidR="00A53D2B" w14:paraId="5EFF0706" w14:textId="77777777" w:rsidTr="008B1BFC">
        <w:trPr>
          <w:gridAfter w:val="1"/>
          <w:wAfter w:w="36" w:type="dxa"/>
          <w:trHeight w:val="557"/>
          <w:jc w:val="center"/>
        </w:trPr>
        <w:tc>
          <w:tcPr>
            <w:tcW w:w="766"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2B77FC"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An</w:t>
            </w:r>
          </w:p>
        </w:tc>
        <w:tc>
          <w:tcPr>
            <w:tcW w:w="173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A6D012"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Azot total, tone/an </w:t>
            </w:r>
          </w:p>
        </w:tc>
        <w:tc>
          <w:tcPr>
            <w:tcW w:w="181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890DFE"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Fosfor total, tone/an</w:t>
            </w:r>
          </w:p>
        </w:tc>
        <w:tc>
          <w:tcPr>
            <w:tcW w:w="1545"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EA9FBD"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Amoniu, tone/an</w:t>
            </w:r>
          </w:p>
        </w:tc>
      </w:tr>
      <w:tr w:rsidR="00A53D2B" w14:paraId="7D906C72" w14:textId="77777777" w:rsidTr="008B1BFC">
        <w:trPr>
          <w:trHeight w:val="25"/>
          <w:jc w:val="center"/>
        </w:trPr>
        <w:tc>
          <w:tcPr>
            <w:tcW w:w="766"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BD6A8F" w14:textId="77777777" w:rsidR="00A53D2B" w:rsidRDefault="00A53D2B" w:rsidP="008B1BFC">
            <w:pPr>
              <w:widowControl w:val="0"/>
              <w:pBdr>
                <w:top w:val="nil"/>
                <w:left w:val="nil"/>
                <w:bottom w:val="nil"/>
                <w:right w:val="nil"/>
                <w:between w:val="nil"/>
              </w:pBdr>
              <w:spacing w:before="0" w:after="0"/>
              <w:rPr>
                <w:rFonts w:eastAsia="Times New Roman" w:cs="Times New Roman"/>
                <w:sz w:val="20"/>
                <w:szCs w:val="20"/>
              </w:rPr>
            </w:pPr>
          </w:p>
        </w:tc>
        <w:tc>
          <w:tcPr>
            <w:tcW w:w="173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ADFA0C" w14:textId="77777777" w:rsidR="00A53D2B" w:rsidRDefault="00A53D2B" w:rsidP="008B1BFC">
            <w:pPr>
              <w:widowControl w:val="0"/>
              <w:pBdr>
                <w:top w:val="nil"/>
                <w:left w:val="nil"/>
                <w:bottom w:val="nil"/>
                <w:right w:val="nil"/>
                <w:between w:val="nil"/>
              </w:pBdr>
              <w:spacing w:before="0" w:after="0"/>
              <w:rPr>
                <w:rFonts w:eastAsia="Times New Roman" w:cs="Times New Roman"/>
                <w:sz w:val="20"/>
                <w:szCs w:val="20"/>
              </w:rPr>
            </w:pPr>
          </w:p>
        </w:tc>
        <w:tc>
          <w:tcPr>
            <w:tcW w:w="181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5E48D8" w14:textId="77777777" w:rsidR="00A53D2B" w:rsidRDefault="00A53D2B" w:rsidP="008B1BFC">
            <w:pPr>
              <w:widowControl w:val="0"/>
              <w:pBdr>
                <w:top w:val="nil"/>
                <w:left w:val="nil"/>
                <w:bottom w:val="nil"/>
                <w:right w:val="nil"/>
                <w:between w:val="nil"/>
              </w:pBdr>
              <w:spacing w:before="0" w:after="0"/>
              <w:rPr>
                <w:rFonts w:eastAsia="Times New Roman" w:cs="Times New Roman"/>
                <w:sz w:val="20"/>
                <w:szCs w:val="20"/>
              </w:rPr>
            </w:pPr>
          </w:p>
        </w:tc>
        <w:tc>
          <w:tcPr>
            <w:tcW w:w="154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1D5FF0" w14:textId="77777777" w:rsidR="00A53D2B" w:rsidRDefault="00A53D2B" w:rsidP="008B1BFC">
            <w:pPr>
              <w:widowControl w:val="0"/>
              <w:pBdr>
                <w:top w:val="nil"/>
                <w:left w:val="nil"/>
                <w:bottom w:val="nil"/>
                <w:right w:val="nil"/>
                <w:between w:val="nil"/>
              </w:pBdr>
              <w:spacing w:before="0" w:after="0"/>
              <w:rPr>
                <w:rFonts w:eastAsia="Times New Roman" w:cs="Times New Roman"/>
                <w:sz w:val="20"/>
                <w:szCs w:val="20"/>
              </w:rPr>
            </w:pPr>
          </w:p>
        </w:tc>
        <w:tc>
          <w:tcPr>
            <w:tcW w:w="36" w:type="dxa"/>
            <w:vAlign w:val="center"/>
          </w:tcPr>
          <w:p w14:paraId="0BF62905" w14:textId="77777777" w:rsidR="00A53D2B" w:rsidRDefault="00A53D2B" w:rsidP="008B1BFC">
            <w:pPr>
              <w:spacing w:before="0" w:after="0" w:line="240" w:lineRule="auto"/>
              <w:rPr>
                <w:rFonts w:eastAsia="Times New Roman" w:cs="Times New Roman"/>
                <w:sz w:val="20"/>
                <w:szCs w:val="20"/>
              </w:rPr>
            </w:pPr>
          </w:p>
        </w:tc>
      </w:tr>
      <w:tr w:rsidR="00A53D2B" w14:paraId="350E587D" w14:textId="77777777" w:rsidTr="008B1BFC">
        <w:trPr>
          <w:jc w:val="center"/>
        </w:trPr>
        <w:tc>
          <w:tcPr>
            <w:tcW w:w="7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9D4422"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2015</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4B836D"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0,08</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FDB37B"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0,0075</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DB4914"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0,0023</w:t>
            </w:r>
          </w:p>
        </w:tc>
        <w:tc>
          <w:tcPr>
            <w:tcW w:w="36" w:type="dxa"/>
            <w:vAlign w:val="center"/>
          </w:tcPr>
          <w:p w14:paraId="418F6479" w14:textId="77777777" w:rsidR="00A53D2B" w:rsidRDefault="00A53D2B" w:rsidP="008B1BFC">
            <w:pPr>
              <w:spacing w:before="0" w:after="0" w:line="240" w:lineRule="auto"/>
              <w:rPr>
                <w:rFonts w:eastAsia="Times New Roman" w:cs="Times New Roman"/>
                <w:sz w:val="20"/>
                <w:szCs w:val="20"/>
              </w:rPr>
            </w:pPr>
          </w:p>
        </w:tc>
      </w:tr>
      <w:tr w:rsidR="00A53D2B" w14:paraId="7618C054" w14:textId="77777777" w:rsidTr="008B1BFC">
        <w:trPr>
          <w:jc w:val="center"/>
        </w:trPr>
        <w:tc>
          <w:tcPr>
            <w:tcW w:w="7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6587C9"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2016</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16CB5E"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0,066</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84821B"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0,0094</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80360B"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0,0040</w:t>
            </w:r>
          </w:p>
        </w:tc>
        <w:tc>
          <w:tcPr>
            <w:tcW w:w="36" w:type="dxa"/>
            <w:vAlign w:val="center"/>
          </w:tcPr>
          <w:p w14:paraId="58A6124C" w14:textId="77777777" w:rsidR="00A53D2B" w:rsidRDefault="00A53D2B" w:rsidP="008B1BFC">
            <w:pPr>
              <w:spacing w:before="0" w:after="0" w:line="240" w:lineRule="auto"/>
              <w:rPr>
                <w:rFonts w:eastAsia="Times New Roman" w:cs="Times New Roman"/>
                <w:sz w:val="20"/>
                <w:szCs w:val="20"/>
              </w:rPr>
            </w:pPr>
          </w:p>
        </w:tc>
      </w:tr>
      <w:tr w:rsidR="00A53D2B" w14:paraId="4F854F1A" w14:textId="77777777" w:rsidTr="008B1BFC">
        <w:trPr>
          <w:jc w:val="center"/>
        </w:trPr>
        <w:tc>
          <w:tcPr>
            <w:tcW w:w="7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9744BD"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2017</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34C1A0"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0,081</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F51575"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0,0124</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44E691"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0,0012</w:t>
            </w:r>
          </w:p>
        </w:tc>
        <w:tc>
          <w:tcPr>
            <w:tcW w:w="36" w:type="dxa"/>
            <w:vAlign w:val="center"/>
          </w:tcPr>
          <w:p w14:paraId="4D4E4A4D" w14:textId="77777777" w:rsidR="00A53D2B" w:rsidRDefault="00A53D2B" w:rsidP="008B1BFC">
            <w:pPr>
              <w:spacing w:before="0" w:after="0" w:line="240" w:lineRule="auto"/>
              <w:rPr>
                <w:rFonts w:eastAsia="Times New Roman" w:cs="Times New Roman"/>
                <w:sz w:val="20"/>
                <w:szCs w:val="20"/>
              </w:rPr>
            </w:pPr>
          </w:p>
        </w:tc>
      </w:tr>
      <w:tr w:rsidR="00A53D2B" w14:paraId="5BACECB6" w14:textId="77777777" w:rsidTr="008B1BFC">
        <w:trPr>
          <w:jc w:val="center"/>
        </w:trPr>
        <w:tc>
          <w:tcPr>
            <w:tcW w:w="7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387E33"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2018</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4E37A1"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0,091</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B8F1CE"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0,0133</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214F45"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0,0060</w:t>
            </w:r>
          </w:p>
        </w:tc>
        <w:tc>
          <w:tcPr>
            <w:tcW w:w="36" w:type="dxa"/>
            <w:vAlign w:val="center"/>
          </w:tcPr>
          <w:p w14:paraId="2FEABEF8" w14:textId="77777777" w:rsidR="00A53D2B" w:rsidRDefault="00A53D2B" w:rsidP="008B1BFC">
            <w:pPr>
              <w:spacing w:before="0" w:after="0" w:line="240" w:lineRule="auto"/>
              <w:rPr>
                <w:rFonts w:eastAsia="Times New Roman" w:cs="Times New Roman"/>
                <w:sz w:val="20"/>
                <w:szCs w:val="20"/>
              </w:rPr>
            </w:pPr>
          </w:p>
        </w:tc>
      </w:tr>
      <w:tr w:rsidR="00A53D2B" w14:paraId="25FBB0A0" w14:textId="77777777" w:rsidTr="008B1BFC">
        <w:trPr>
          <w:jc w:val="center"/>
        </w:trPr>
        <w:tc>
          <w:tcPr>
            <w:tcW w:w="7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01F0F0"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2019</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84F377"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0,087</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7CF29F"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0,0130</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74A82A"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0,0020</w:t>
            </w:r>
          </w:p>
        </w:tc>
        <w:tc>
          <w:tcPr>
            <w:tcW w:w="36" w:type="dxa"/>
            <w:vAlign w:val="center"/>
          </w:tcPr>
          <w:p w14:paraId="66640409" w14:textId="77777777" w:rsidR="00A53D2B" w:rsidRDefault="00A53D2B" w:rsidP="008B1BFC">
            <w:pPr>
              <w:spacing w:before="0" w:after="0" w:line="240" w:lineRule="auto"/>
              <w:rPr>
                <w:rFonts w:eastAsia="Times New Roman" w:cs="Times New Roman"/>
                <w:sz w:val="20"/>
                <w:szCs w:val="20"/>
              </w:rPr>
            </w:pPr>
          </w:p>
        </w:tc>
      </w:tr>
      <w:tr w:rsidR="00A53D2B" w14:paraId="0A046D99" w14:textId="77777777" w:rsidTr="008B1BFC">
        <w:trPr>
          <w:jc w:val="center"/>
        </w:trPr>
        <w:tc>
          <w:tcPr>
            <w:tcW w:w="7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B3BE6B"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2020</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9CF5F8"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0,067</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9528E6"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0,0127</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4ED86C"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0,0016</w:t>
            </w:r>
          </w:p>
        </w:tc>
        <w:tc>
          <w:tcPr>
            <w:tcW w:w="36" w:type="dxa"/>
            <w:vAlign w:val="center"/>
          </w:tcPr>
          <w:p w14:paraId="71D16B0B" w14:textId="77777777" w:rsidR="00A53D2B" w:rsidRDefault="00A53D2B" w:rsidP="008B1BFC">
            <w:pPr>
              <w:spacing w:before="0" w:after="0" w:line="240" w:lineRule="auto"/>
              <w:rPr>
                <w:rFonts w:eastAsia="Times New Roman" w:cs="Times New Roman"/>
                <w:sz w:val="20"/>
                <w:szCs w:val="20"/>
              </w:rPr>
            </w:pPr>
          </w:p>
        </w:tc>
      </w:tr>
      <w:tr w:rsidR="00A53D2B" w14:paraId="377409A6" w14:textId="77777777" w:rsidTr="008B1BFC">
        <w:trPr>
          <w:jc w:val="center"/>
        </w:trPr>
        <w:tc>
          <w:tcPr>
            <w:tcW w:w="7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ED4FEF"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2021</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207D5C"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0,080</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75FDBA"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0,0152</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939119"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0,0019</w:t>
            </w:r>
          </w:p>
        </w:tc>
        <w:tc>
          <w:tcPr>
            <w:tcW w:w="36" w:type="dxa"/>
            <w:vAlign w:val="center"/>
          </w:tcPr>
          <w:p w14:paraId="5B3265B0" w14:textId="77777777" w:rsidR="00A53D2B" w:rsidRDefault="00A53D2B" w:rsidP="008B1BFC">
            <w:pPr>
              <w:spacing w:before="0" w:after="0" w:line="240" w:lineRule="auto"/>
              <w:rPr>
                <w:rFonts w:eastAsia="Times New Roman" w:cs="Times New Roman"/>
                <w:sz w:val="20"/>
                <w:szCs w:val="20"/>
              </w:rPr>
            </w:pPr>
          </w:p>
        </w:tc>
      </w:tr>
    </w:tbl>
    <w:p w14:paraId="79A2F0AE" w14:textId="77777777" w:rsidR="00A53D2B" w:rsidRDefault="00A53D2B" w:rsidP="00A53D2B">
      <w:pPr>
        <w:rPr>
          <w:b/>
          <w:color w:val="000000"/>
        </w:rPr>
      </w:pPr>
    </w:p>
    <w:p w14:paraId="7AF83912" w14:textId="3D036D07" w:rsidR="00A53D2B" w:rsidRDefault="00A53D2B" w:rsidP="00A53D2B">
      <w:pPr>
        <w:spacing w:after="0"/>
        <w:jc w:val="center"/>
        <w:rPr>
          <w:rFonts w:eastAsia="Times New Roman" w:cs="Times New Roman"/>
        </w:rPr>
      </w:pPr>
      <w:bookmarkStart w:id="132" w:name="_heading=h.2dlolyb" w:colFirst="0" w:colLast="0"/>
      <w:bookmarkEnd w:id="132"/>
      <w:r>
        <w:rPr>
          <w:rFonts w:eastAsia="Times New Roman" w:cs="Times New Roman"/>
          <w:b/>
          <w:color w:val="000000"/>
        </w:rPr>
        <w:t xml:space="preserve">Tabel </w:t>
      </w:r>
      <w:r w:rsidR="008B1BFC">
        <w:rPr>
          <w:rFonts w:eastAsia="Times New Roman" w:cs="Times New Roman"/>
          <w:b/>
          <w:color w:val="000000"/>
        </w:rPr>
        <w:t>2.</w:t>
      </w:r>
      <w:r>
        <w:rPr>
          <w:rFonts w:eastAsia="Times New Roman" w:cs="Times New Roman"/>
          <w:b/>
          <w:color w:val="000000"/>
        </w:rPr>
        <w:t>5.2.11 Emisii de compuși cu N și P (tone/an) din stația de epurare Eforie Sud (</w:t>
      </w:r>
      <w:r>
        <w:rPr>
          <w:rFonts w:eastAsia="Times New Roman" w:cs="Times New Roman"/>
          <w:b/>
          <w:i/>
          <w:color w:val="000000"/>
        </w:rPr>
        <w:t>sursa: Administrația Națională Apele Române, 2023</w:t>
      </w:r>
      <w:r>
        <w:rPr>
          <w:rFonts w:eastAsia="Times New Roman" w:cs="Times New Roman"/>
          <w:b/>
          <w:color w:val="000000"/>
        </w:rPr>
        <w:t>)</w:t>
      </w:r>
    </w:p>
    <w:tbl>
      <w:tblPr>
        <w:tblW w:w="6039" w:type="dxa"/>
        <w:jc w:val="center"/>
        <w:tblLayout w:type="fixed"/>
        <w:tblLook w:val="0400" w:firstRow="0" w:lastRow="0" w:firstColumn="0" w:lastColumn="0" w:noHBand="0" w:noVBand="1"/>
      </w:tblPr>
      <w:tblGrid>
        <w:gridCol w:w="881"/>
        <w:gridCol w:w="1674"/>
        <w:gridCol w:w="1755"/>
        <w:gridCol w:w="1493"/>
        <w:gridCol w:w="236"/>
      </w:tblGrid>
      <w:tr w:rsidR="00A53D2B" w14:paraId="458D4C9F" w14:textId="77777777" w:rsidTr="008B1BFC">
        <w:trPr>
          <w:gridAfter w:val="1"/>
          <w:wAfter w:w="36" w:type="dxa"/>
          <w:trHeight w:val="557"/>
          <w:jc w:val="center"/>
        </w:trPr>
        <w:tc>
          <w:tcPr>
            <w:tcW w:w="908"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B25D1B"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An</w:t>
            </w:r>
          </w:p>
        </w:tc>
        <w:tc>
          <w:tcPr>
            <w:tcW w:w="173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AA8823"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Azot total, tone/an </w:t>
            </w:r>
          </w:p>
        </w:tc>
        <w:tc>
          <w:tcPr>
            <w:tcW w:w="181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356A73"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Fosfor total, tone/an</w:t>
            </w:r>
          </w:p>
        </w:tc>
        <w:tc>
          <w:tcPr>
            <w:tcW w:w="1545"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419F68"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Amoniu, tone/an</w:t>
            </w:r>
          </w:p>
        </w:tc>
      </w:tr>
      <w:tr w:rsidR="00A53D2B" w14:paraId="05799F60" w14:textId="77777777" w:rsidTr="008B1BFC">
        <w:trPr>
          <w:trHeight w:val="25"/>
          <w:jc w:val="center"/>
        </w:trPr>
        <w:tc>
          <w:tcPr>
            <w:tcW w:w="908"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C1428E" w14:textId="77777777" w:rsidR="00A53D2B" w:rsidRDefault="00A53D2B" w:rsidP="008B1BFC">
            <w:pPr>
              <w:widowControl w:val="0"/>
              <w:pBdr>
                <w:top w:val="nil"/>
                <w:left w:val="nil"/>
                <w:bottom w:val="nil"/>
                <w:right w:val="nil"/>
                <w:between w:val="nil"/>
              </w:pBdr>
              <w:spacing w:before="0" w:after="0"/>
              <w:rPr>
                <w:rFonts w:eastAsia="Times New Roman" w:cs="Times New Roman"/>
                <w:sz w:val="20"/>
                <w:szCs w:val="20"/>
              </w:rPr>
            </w:pPr>
          </w:p>
        </w:tc>
        <w:tc>
          <w:tcPr>
            <w:tcW w:w="173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2336C7" w14:textId="77777777" w:rsidR="00A53D2B" w:rsidRDefault="00A53D2B" w:rsidP="008B1BFC">
            <w:pPr>
              <w:widowControl w:val="0"/>
              <w:pBdr>
                <w:top w:val="nil"/>
                <w:left w:val="nil"/>
                <w:bottom w:val="nil"/>
                <w:right w:val="nil"/>
                <w:between w:val="nil"/>
              </w:pBdr>
              <w:spacing w:before="0" w:after="0"/>
              <w:rPr>
                <w:rFonts w:eastAsia="Times New Roman" w:cs="Times New Roman"/>
                <w:sz w:val="20"/>
                <w:szCs w:val="20"/>
              </w:rPr>
            </w:pPr>
          </w:p>
        </w:tc>
        <w:tc>
          <w:tcPr>
            <w:tcW w:w="181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F92711" w14:textId="77777777" w:rsidR="00A53D2B" w:rsidRDefault="00A53D2B" w:rsidP="008B1BFC">
            <w:pPr>
              <w:widowControl w:val="0"/>
              <w:pBdr>
                <w:top w:val="nil"/>
                <w:left w:val="nil"/>
                <w:bottom w:val="nil"/>
                <w:right w:val="nil"/>
                <w:between w:val="nil"/>
              </w:pBdr>
              <w:spacing w:before="0" w:after="0"/>
              <w:rPr>
                <w:rFonts w:eastAsia="Times New Roman" w:cs="Times New Roman"/>
                <w:sz w:val="20"/>
                <w:szCs w:val="20"/>
              </w:rPr>
            </w:pPr>
          </w:p>
        </w:tc>
        <w:tc>
          <w:tcPr>
            <w:tcW w:w="154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5C888C" w14:textId="77777777" w:rsidR="00A53D2B" w:rsidRDefault="00A53D2B" w:rsidP="008B1BFC">
            <w:pPr>
              <w:widowControl w:val="0"/>
              <w:pBdr>
                <w:top w:val="nil"/>
                <w:left w:val="nil"/>
                <w:bottom w:val="nil"/>
                <w:right w:val="nil"/>
                <w:between w:val="nil"/>
              </w:pBdr>
              <w:spacing w:before="0" w:after="0"/>
              <w:rPr>
                <w:rFonts w:eastAsia="Times New Roman" w:cs="Times New Roman"/>
                <w:sz w:val="20"/>
                <w:szCs w:val="20"/>
              </w:rPr>
            </w:pPr>
          </w:p>
        </w:tc>
        <w:tc>
          <w:tcPr>
            <w:tcW w:w="36" w:type="dxa"/>
            <w:vAlign w:val="center"/>
          </w:tcPr>
          <w:p w14:paraId="5BEF46BD" w14:textId="77777777" w:rsidR="00A53D2B" w:rsidRDefault="00A53D2B" w:rsidP="008B1BFC">
            <w:pPr>
              <w:spacing w:before="0" w:after="0" w:line="240" w:lineRule="auto"/>
              <w:rPr>
                <w:rFonts w:eastAsia="Times New Roman" w:cs="Times New Roman"/>
                <w:sz w:val="20"/>
                <w:szCs w:val="20"/>
              </w:rPr>
            </w:pPr>
          </w:p>
        </w:tc>
      </w:tr>
      <w:tr w:rsidR="00A53D2B" w14:paraId="06FFE8CA" w14:textId="77777777" w:rsidTr="008B1BFC">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E3C9C4"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2015</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C03E45"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0,015</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219D48"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0,0026</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9BA02F"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0,0031</w:t>
            </w:r>
          </w:p>
        </w:tc>
        <w:tc>
          <w:tcPr>
            <w:tcW w:w="36" w:type="dxa"/>
            <w:vAlign w:val="center"/>
          </w:tcPr>
          <w:p w14:paraId="215CFA6D" w14:textId="77777777" w:rsidR="00A53D2B" w:rsidRDefault="00A53D2B" w:rsidP="008B1BFC">
            <w:pPr>
              <w:spacing w:before="0" w:after="0" w:line="240" w:lineRule="auto"/>
              <w:rPr>
                <w:rFonts w:eastAsia="Times New Roman" w:cs="Times New Roman"/>
                <w:sz w:val="20"/>
                <w:szCs w:val="20"/>
              </w:rPr>
            </w:pPr>
          </w:p>
        </w:tc>
      </w:tr>
      <w:tr w:rsidR="00A53D2B" w14:paraId="2D83395E" w14:textId="77777777" w:rsidTr="008B1BFC">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9241E9"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2016</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F747C8"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0,014</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89B014"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0,0032</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34C2BD"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0,0041</w:t>
            </w:r>
          </w:p>
        </w:tc>
        <w:tc>
          <w:tcPr>
            <w:tcW w:w="36" w:type="dxa"/>
            <w:vAlign w:val="center"/>
          </w:tcPr>
          <w:p w14:paraId="381F8D79" w14:textId="77777777" w:rsidR="00A53D2B" w:rsidRDefault="00A53D2B" w:rsidP="008B1BFC">
            <w:pPr>
              <w:spacing w:before="0" w:after="0" w:line="240" w:lineRule="auto"/>
              <w:rPr>
                <w:rFonts w:eastAsia="Times New Roman" w:cs="Times New Roman"/>
                <w:sz w:val="20"/>
                <w:szCs w:val="20"/>
              </w:rPr>
            </w:pPr>
          </w:p>
        </w:tc>
      </w:tr>
      <w:tr w:rsidR="00A53D2B" w14:paraId="0A76B998" w14:textId="77777777" w:rsidTr="008B1BFC">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3C9FE5"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2017</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CED861"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0,013</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4FBFF5"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0,0028</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83CEC1"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0,0007</w:t>
            </w:r>
          </w:p>
        </w:tc>
        <w:tc>
          <w:tcPr>
            <w:tcW w:w="36" w:type="dxa"/>
            <w:vAlign w:val="center"/>
          </w:tcPr>
          <w:p w14:paraId="499F9728" w14:textId="77777777" w:rsidR="00A53D2B" w:rsidRDefault="00A53D2B" w:rsidP="008B1BFC">
            <w:pPr>
              <w:spacing w:before="0" w:after="0" w:line="240" w:lineRule="auto"/>
              <w:rPr>
                <w:rFonts w:eastAsia="Times New Roman" w:cs="Times New Roman"/>
                <w:sz w:val="20"/>
                <w:szCs w:val="20"/>
              </w:rPr>
            </w:pPr>
          </w:p>
        </w:tc>
      </w:tr>
      <w:tr w:rsidR="00A53D2B" w14:paraId="6F3D0957" w14:textId="77777777" w:rsidTr="008B1BFC">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BAAA74"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2018</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29DA64"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0,035</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ABF54A"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0,0032</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EDCBE3"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0,0018</w:t>
            </w:r>
          </w:p>
        </w:tc>
        <w:tc>
          <w:tcPr>
            <w:tcW w:w="36" w:type="dxa"/>
            <w:vAlign w:val="center"/>
          </w:tcPr>
          <w:p w14:paraId="3BB37930" w14:textId="77777777" w:rsidR="00A53D2B" w:rsidRDefault="00A53D2B" w:rsidP="008B1BFC">
            <w:pPr>
              <w:spacing w:before="0" w:after="0" w:line="240" w:lineRule="auto"/>
              <w:rPr>
                <w:rFonts w:eastAsia="Times New Roman" w:cs="Times New Roman"/>
                <w:sz w:val="20"/>
                <w:szCs w:val="20"/>
              </w:rPr>
            </w:pPr>
          </w:p>
        </w:tc>
      </w:tr>
      <w:tr w:rsidR="00A53D2B" w14:paraId="61E13D04" w14:textId="77777777" w:rsidTr="008B1BFC">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9C45D2"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2019</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2F3C76"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0,015</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2F7D64"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0,0088</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EA4F5A"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0,0017</w:t>
            </w:r>
          </w:p>
        </w:tc>
        <w:tc>
          <w:tcPr>
            <w:tcW w:w="36" w:type="dxa"/>
            <w:vAlign w:val="center"/>
          </w:tcPr>
          <w:p w14:paraId="17F30A5C" w14:textId="77777777" w:rsidR="00A53D2B" w:rsidRDefault="00A53D2B" w:rsidP="008B1BFC">
            <w:pPr>
              <w:spacing w:before="0" w:after="0" w:line="240" w:lineRule="auto"/>
              <w:rPr>
                <w:rFonts w:eastAsia="Times New Roman" w:cs="Times New Roman"/>
                <w:sz w:val="20"/>
                <w:szCs w:val="20"/>
              </w:rPr>
            </w:pPr>
          </w:p>
        </w:tc>
      </w:tr>
      <w:tr w:rsidR="00A53D2B" w14:paraId="3FFDAACC" w14:textId="77777777" w:rsidTr="008B1BFC">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EEBB3E"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2020</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91E582"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0,014</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1E779C"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0,0034</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DF44CE"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0,0025</w:t>
            </w:r>
          </w:p>
        </w:tc>
        <w:tc>
          <w:tcPr>
            <w:tcW w:w="36" w:type="dxa"/>
            <w:vAlign w:val="center"/>
          </w:tcPr>
          <w:p w14:paraId="645F8852" w14:textId="77777777" w:rsidR="00A53D2B" w:rsidRDefault="00A53D2B" w:rsidP="008B1BFC">
            <w:pPr>
              <w:spacing w:before="0" w:after="0" w:line="240" w:lineRule="auto"/>
              <w:rPr>
                <w:rFonts w:eastAsia="Times New Roman" w:cs="Times New Roman"/>
                <w:sz w:val="20"/>
                <w:szCs w:val="20"/>
              </w:rPr>
            </w:pPr>
          </w:p>
        </w:tc>
      </w:tr>
      <w:tr w:rsidR="00A53D2B" w14:paraId="2D7B047F" w14:textId="77777777" w:rsidTr="008B1BFC">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8E3B5D"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2021</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881DCD"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0,019</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EC1219"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0,0036</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7F191C"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0,0069</w:t>
            </w:r>
          </w:p>
        </w:tc>
        <w:tc>
          <w:tcPr>
            <w:tcW w:w="36" w:type="dxa"/>
            <w:vAlign w:val="center"/>
          </w:tcPr>
          <w:p w14:paraId="3DF2FA59" w14:textId="77777777" w:rsidR="00A53D2B" w:rsidRDefault="00A53D2B" w:rsidP="008B1BFC">
            <w:pPr>
              <w:spacing w:before="0" w:after="0" w:line="240" w:lineRule="auto"/>
              <w:rPr>
                <w:rFonts w:eastAsia="Times New Roman" w:cs="Times New Roman"/>
                <w:sz w:val="20"/>
                <w:szCs w:val="20"/>
              </w:rPr>
            </w:pPr>
          </w:p>
        </w:tc>
      </w:tr>
    </w:tbl>
    <w:p w14:paraId="63683FA5" w14:textId="77777777" w:rsidR="00A53D2B" w:rsidRDefault="00A53D2B" w:rsidP="00A53D2B"/>
    <w:p w14:paraId="315E9008" w14:textId="38F3D5BC" w:rsidR="00A53D2B" w:rsidRDefault="00A53D2B" w:rsidP="00A53D2B">
      <w:pPr>
        <w:spacing w:after="0"/>
        <w:jc w:val="center"/>
        <w:rPr>
          <w:rFonts w:eastAsia="Times New Roman" w:cs="Times New Roman"/>
        </w:rPr>
      </w:pPr>
      <w:bookmarkStart w:id="133" w:name="_heading=h.sqyw64" w:colFirst="0" w:colLast="0"/>
      <w:bookmarkEnd w:id="133"/>
      <w:r>
        <w:rPr>
          <w:rFonts w:eastAsia="Times New Roman" w:cs="Times New Roman"/>
          <w:b/>
          <w:color w:val="000000"/>
        </w:rPr>
        <w:t xml:space="preserve">Tabel </w:t>
      </w:r>
      <w:r w:rsidR="008B1BFC">
        <w:rPr>
          <w:rFonts w:eastAsia="Times New Roman" w:cs="Times New Roman"/>
          <w:b/>
          <w:color w:val="000000"/>
        </w:rPr>
        <w:t>2.</w:t>
      </w:r>
      <w:r>
        <w:rPr>
          <w:rFonts w:eastAsia="Times New Roman" w:cs="Times New Roman"/>
          <w:b/>
          <w:color w:val="000000"/>
        </w:rPr>
        <w:t>5.2.12 Emisii de compuși cu N și P (tone/an) din stația de epurare Mangalia (</w:t>
      </w:r>
      <w:r>
        <w:rPr>
          <w:rFonts w:eastAsia="Times New Roman" w:cs="Times New Roman"/>
          <w:b/>
          <w:i/>
          <w:color w:val="000000"/>
        </w:rPr>
        <w:t>sursa: Administrația Națională Apele Române, 2023)</w:t>
      </w:r>
    </w:p>
    <w:tbl>
      <w:tblPr>
        <w:tblW w:w="6039" w:type="dxa"/>
        <w:jc w:val="center"/>
        <w:tblLayout w:type="fixed"/>
        <w:tblLook w:val="0400" w:firstRow="0" w:lastRow="0" w:firstColumn="0" w:lastColumn="0" w:noHBand="0" w:noVBand="1"/>
      </w:tblPr>
      <w:tblGrid>
        <w:gridCol w:w="881"/>
        <w:gridCol w:w="1674"/>
        <w:gridCol w:w="1755"/>
        <w:gridCol w:w="1493"/>
        <w:gridCol w:w="236"/>
      </w:tblGrid>
      <w:tr w:rsidR="00A53D2B" w14:paraId="4398DFA2" w14:textId="77777777" w:rsidTr="008B1BFC">
        <w:trPr>
          <w:gridAfter w:val="1"/>
          <w:wAfter w:w="36" w:type="dxa"/>
          <w:trHeight w:val="557"/>
          <w:jc w:val="center"/>
        </w:trPr>
        <w:tc>
          <w:tcPr>
            <w:tcW w:w="908"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C85CC0"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lastRenderedPageBreak/>
              <w:t>An</w:t>
            </w:r>
          </w:p>
        </w:tc>
        <w:tc>
          <w:tcPr>
            <w:tcW w:w="173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9ADD10"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Azot total, tone/an </w:t>
            </w:r>
          </w:p>
        </w:tc>
        <w:tc>
          <w:tcPr>
            <w:tcW w:w="181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1F61D7"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Fosfor total, tone/an</w:t>
            </w:r>
          </w:p>
        </w:tc>
        <w:tc>
          <w:tcPr>
            <w:tcW w:w="1545"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F94355"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Amoniu, tone/an</w:t>
            </w:r>
          </w:p>
        </w:tc>
      </w:tr>
      <w:tr w:rsidR="00A53D2B" w14:paraId="4442A22D" w14:textId="77777777" w:rsidTr="008B1BFC">
        <w:trPr>
          <w:trHeight w:val="25"/>
          <w:jc w:val="center"/>
        </w:trPr>
        <w:tc>
          <w:tcPr>
            <w:tcW w:w="908"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C815D4" w14:textId="77777777" w:rsidR="00A53D2B" w:rsidRDefault="00A53D2B" w:rsidP="008B1BFC">
            <w:pPr>
              <w:widowControl w:val="0"/>
              <w:pBdr>
                <w:top w:val="nil"/>
                <w:left w:val="nil"/>
                <w:bottom w:val="nil"/>
                <w:right w:val="nil"/>
                <w:between w:val="nil"/>
              </w:pBdr>
              <w:spacing w:before="0" w:after="0"/>
              <w:rPr>
                <w:rFonts w:eastAsia="Times New Roman" w:cs="Times New Roman"/>
                <w:sz w:val="20"/>
                <w:szCs w:val="20"/>
              </w:rPr>
            </w:pPr>
          </w:p>
        </w:tc>
        <w:tc>
          <w:tcPr>
            <w:tcW w:w="1733"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FA46E6" w14:textId="77777777" w:rsidR="00A53D2B" w:rsidRDefault="00A53D2B" w:rsidP="008B1BFC">
            <w:pPr>
              <w:widowControl w:val="0"/>
              <w:pBdr>
                <w:top w:val="nil"/>
                <w:left w:val="nil"/>
                <w:bottom w:val="nil"/>
                <w:right w:val="nil"/>
                <w:between w:val="nil"/>
              </w:pBdr>
              <w:spacing w:before="0" w:after="0"/>
              <w:rPr>
                <w:rFonts w:eastAsia="Times New Roman" w:cs="Times New Roman"/>
                <w:sz w:val="20"/>
                <w:szCs w:val="20"/>
              </w:rPr>
            </w:pPr>
          </w:p>
        </w:tc>
        <w:tc>
          <w:tcPr>
            <w:tcW w:w="181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7EBA13" w14:textId="77777777" w:rsidR="00A53D2B" w:rsidRDefault="00A53D2B" w:rsidP="008B1BFC">
            <w:pPr>
              <w:widowControl w:val="0"/>
              <w:pBdr>
                <w:top w:val="nil"/>
                <w:left w:val="nil"/>
                <w:bottom w:val="nil"/>
                <w:right w:val="nil"/>
                <w:between w:val="nil"/>
              </w:pBdr>
              <w:spacing w:before="0" w:after="0"/>
              <w:rPr>
                <w:rFonts w:eastAsia="Times New Roman" w:cs="Times New Roman"/>
                <w:sz w:val="20"/>
                <w:szCs w:val="20"/>
              </w:rPr>
            </w:pPr>
          </w:p>
        </w:tc>
        <w:tc>
          <w:tcPr>
            <w:tcW w:w="154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B5408C" w14:textId="77777777" w:rsidR="00A53D2B" w:rsidRDefault="00A53D2B" w:rsidP="008B1BFC">
            <w:pPr>
              <w:widowControl w:val="0"/>
              <w:pBdr>
                <w:top w:val="nil"/>
                <w:left w:val="nil"/>
                <w:bottom w:val="nil"/>
                <w:right w:val="nil"/>
                <w:between w:val="nil"/>
              </w:pBdr>
              <w:spacing w:before="0" w:after="0"/>
              <w:rPr>
                <w:rFonts w:eastAsia="Times New Roman" w:cs="Times New Roman"/>
                <w:sz w:val="20"/>
                <w:szCs w:val="20"/>
              </w:rPr>
            </w:pPr>
          </w:p>
        </w:tc>
        <w:tc>
          <w:tcPr>
            <w:tcW w:w="36" w:type="dxa"/>
            <w:vAlign w:val="center"/>
          </w:tcPr>
          <w:p w14:paraId="607A05F0" w14:textId="77777777" w:rsidR="00A53D2B" w:rsidRDefault="00A53D2B" w:rsidP="008B1BFC">
            <w:pPr>
              <w:spacing w:before="0" w:after="0" w:line="240" w:lineRule="auto"/>
              <w:rPr>
                <w:rFonts w:eastAsia="Times New Roman" w:cs="Times New Roman"/>
                <w:sz w:val="20"/>
                <w:szCs w:val="20"/>
              </w:rPr>
            </w:pPr>
          </w:p>
        </w:tc>
      </w:tr>
      <w:tr w:rsidR="00A53D2B" w14:paraId="35398389" w14:textId="77777777" w:rsidTr="008B1BFC">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5477F5"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2015</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8AC328"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0,089</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6D7E25"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0,0067</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8D1628"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0,046</w:t>
            </w:r>
          </w:p>
        </w:tc>
        <w:tc>
          <w:tcPr>
            <w:tcW w:w="36" w:type="dxa"/>
            <w:vAlign w:val="center"/>
          </w:tcPr>
          <w:p w14:paraId="7697B64C" w14:textId="77777777" w:rsidR="00A53D2B" w:rsidRDefault="00A53D2B" w:rsidP="008B1BFC">
            <w:pPr>
              <w:spacing w:before="0" w:after="0" w:line="240" w:lineRule="auto"/>
              <w:rPr>
                <w:rFonts w:eastAsia="Times New Roman" w:cs="Times New Roman"/>
                <w:sz w:val="20"/>
                <w:szCs w:val="20"/>
              </w:rPr>
            </w:pPr>
          </w:p>
        </w:tc>
      </w:tr>
      <w:tr w:rsidR="00A53D2B" w14:paraId="6F3C1F67" w14:textId="77777777" w:rsidTr="008B1BFC">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77F768"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2016</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5B4C69"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0,072</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8F4D42"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0,0061</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93B324"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0,035</w:t>
            </w:r>
          </w:p>
        </w:tc>
        <w:tc>
          <w:tcPr>
            <w:tcW w:w="36" w:type="dxa"/>
            <w:vAlign w:val="center"/>
          </w:tcPr>
          <w:p w14:paraId="554C67EF" w14:textId="77777777" w:rsidR="00A53D2B" w:rsidRDefault="00A53D2B" w:rsidP="008B1BFC">
            <w:pPr>
              <w:spacing w:before="0" w:after="0" w:line="240" w:lineRule="auto"/>
              <w:rPr>
                <w:rFonts w:eastAsia="Times New Roman" w:cs="Times New Roman"/>
                <w:sz w:val="20"/>
                <w:szCs w:val="20"/>
              </w:rPr>
            </w:pPr>
          </w:p>
        </w:tc>
      </w:tr>
      <w:tr w:rsidR="00A53D2B" w14:paraId="1778E9F3" w14:textId="77777777" w:rsidTr="008B1BFC">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8D9B9D"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2017</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97D724"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0,058</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25325A"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0,0078</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09A253"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0,043</w:t>
            </w:r>
          </w:p>
        </w:tc>
        <w:tc>
          <w:tcPr>
            <w:tcW w:w="36" w:type="dxa"/>
            <w:vAlign w:val="center"/>
          </w:tcPr>
          <w:p w14:paraId="0DA53F45" w14:textId="77777777" w:rsidR="00A53D2B" w:rsidRDefault="00A53D2B" w:rsidP="008B1BFC">
            <w:pPr>
              <w:spacing w:before="0" w:after="0" w:line="240" w:lineRule="auto"/>
              <w:rPr>
                <w:rFonts w:eastAsia="Times New Roman" w:cs="Times New Roman"/>
                <w:sz w:val="20"/>
                <w:szCs w:val="20"/>
              </w:rPr>
            </w:pPr>
          </w:p>
        </w:tc>
      </w:tr>
      <w:tr w:rsidR="00A53D2B" w14:paraId="50F90347" w14:textId="77777777" w:rsidTr="008B1BFC">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B3C561"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2018</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A7D342"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0,104</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606D94"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0,0086</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58C878"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0,089</w:t>
            </w:r>
          </w:p>
        </w:tc>
        <w:tc>
          <w:tcPr>
            <w:tcW w:w="36" w:type="dxa"/>
            <w:vAlign w:val="center"/>
          </w:tcPr>
          <w:p w14:paraId="130F6742" w14:textId="77777777" w:rsidR="00A53D2B" w:rsidRDefault="00A53D2B" w:rsidP="008B1BFC">
            <w:pPr>
              <w:spacing w:before="0" w:after="0" w:line="240" w:lineRule="auto"/>
              <w:rPr>
                <w:rFonts w:eastAsia="Times New Roman" w:cs="Times New Roman"/>
                <w:sz w:val="20"/>
                <w:szCs w:val="20"/>
              </w:rPr>
            </w:pPr>
          </w:p>
        </w:tc>
      </w:tr>
      <w:tr w:rsidR="00A53D2B" w14:paraId="664AC745" w14:textId="77777777" w:rsidTr="008B1BFC">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FF8C63"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2019</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B9AAC1"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0,0091</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D85A19"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0,0077</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053C76"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0,069</w:t>
            </w:r>
          </w:p>
        </w:tc>
        <w:tc>
          <w:tcPr>
            <w:tcW w:w="36" w:type="dxa"/>
            <w:vAlign w:val="center"/>
          </w:tcPr>
          <w:p w14:paraId="6CED4A5D" w14:textId="77777777" w:rsidR="00A53D2B" w:rsidRDefault="00A53D2B" w:rsidP="008B1BFC">
            <w:pPr>
              <w:spacing w:before="0" w:after="0" w:line="240" w:lineRule="auto"/>
              <w:rPr>
                <w:rFonts w:eastAsia="Times New Roman" w:cs="Times New Roman"/>
                <w:sz w:val="20"/>
                <w:szCs w:val="20"/>
              </w:rPr>
            </w:pPr>
          </w:p>
        </w:tc>
      </w:tr>
      <w:tr w:rsidR="00A53D2B" w14:paraId="6798C3DD" w14:textId="77777777" w:rsidTr="008B1BFC">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CB9B13"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2020</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090F27"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0,0059</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97308B"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0,0072</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2E3B7D"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0,015</w:t>
            </w:r>
          </w:p>
        </w:tc>
        <w:tc>
          <w:tcPr>
            <w:tcW w:w="36" w:type="dxa"/>
            <w:vAlign w:val="center"/>
          </w:tcPr>
          <w:p w14:paraId="08ACC89C" w14:textId="77777777" w:rsidR="00A53D2B" w:rsidRDefault="00A53D2B" w:rsidP="008B1BFC">
            <w:pPr>
              <w:spacing w:before="0" w:after="0" w:line="240" w:lineRule="auto"/>
              <w:rPr>
                <w:rFonts w:eastAsia="Times New Roman" w:cs="Times New Roman"/>
                <w:sz w:val="20"/>
                <w:szCs w:val="20"/>
              </w:rPr>
            </w:pPr>
          </w:p>
        </w:tc>
      </w:tr>
      <w:tr w:rsidR="00A53D2B" w14:paraId="5F2316D1" w14:textId="77777777" w:rsidTr="008B1BFC">
        <w:trPr>
          <w:jc w:val="center"/>
        </w:trPr>
        <w:tc>
          <w:tcPr>
            <w:tcW w:w="9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9EF088"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2021</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7E7A9A"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0,0065</w:t>
            </w:r>
          </w:p>
        </w:tc>
        <w:tc>
          <w:tcPr>
            <w:tcW w:w="1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32670D"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0,0066</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A80FFF" w14:textId="77777777" w:rsidR="00A53D2B" w:rsidRDefault="00A53D2B" w:rsidP="008B1BFC">
            <w:pPr>
              <w:spacing w:before="0" w:after="0" w:line="240" w:lineRule="auto"/>
              <w:rPr>
                <w:rFonts w:eastAsia="Times New Roman" w:cs="Times New Roman"/>
                <w:sz w:val="20"/>
                <w:szCs w:val="20"/>
              </w:rPr>
            </w:pPr>
            <w:r>
              <w:rPr>
                <w:rFonts w:eastAsia="Times New Roman" w:cs="Times New Roman"/>
                <w:color w:val="000000"/>
                <w:sz w:val="20"/>
                <w:szCs w:val="20"/>
              </w:rPr>
              <w:t>0,013</w:t>
            </w:r>
          </w:p>
        </w:tc>
        <w:tc>
          <w:tcPr>
            <w:tcW w:w="36" w:type="dxa"/>
            <w:vAlign w:val="center"/>
          </w:tcPr>
          <w:p w14:paraId="3F7AA545" w14:textId="77777777" w:rsidR="00A53D2B" w:rsidRDefault="00A53D2B" w:rsidP="008B1BFC">
            <w:pPr>
              <w:spacing w:before="0" w:after="0" w:line="240" w:lineRule="auto"/>
              <w:rPr>
                <w:rFonts w:eastAsia="Times New Roman" w:cs="Times New Roman"/>
                <w:sz w:val="20"/>
                <w:szCs w:val="20"/>
              </w:rPr>
            </w:pPr>
          </w:p>
        </w:tc>
      </w:tr>
    </w:tbl>
    <w:p w14:paraId="602F2617" w14:textId="77777777" w:rsidR="00A53D2B" w:rsidRDefault="00A53D2B" w:rsidP="008B1BFC">
      <w:pPr>
        <w:spacing w:before="0"/>
      </w:pPr>
    </w:p>
    <w:p w14:paraId="0BD53C37" w14:textId="77777777" w:rsidR="00A53D2B" w:rsidRDefault="00A53D2B" w:rsidP="008B1BFC">
      <w:pPr>
        <w:spacing w:before="0"/>
        <w:ind w:firstLine="567"/>
        <w:rPr>
          <w:rFonts w:eastAsia="Times New Roman" w:cs="Times New Roman"/>
        </w:rPr>
      </w:pPr>
      <w:r>
        <w:rPr>
          <w:rFonts w:eastAsia="Times New Roman" w:cs="Times New Roman"/>
          <w:color w:val="000000"/>
        </w:rPr>
        <w:t>Efectele directe ale introducerii de nutrienți șii materie organică în mediul marin includ dezvoltarea accelerată/intensă a fitoplanctonului în partea superioară a coloanei de apă determinând înfloriri algale, uneori toxice, reducerea clarității apei și a penetrării luminii; modificări ale structurii calitative a comunității fitoplanctonice cu consecințe asupra relațiilor trofice; dezvoltarea excesivă a macroalgelor perene în apele costiere puțin adânci. Efectele indirecte sunt distribuția redusă în adâncime a vegetației acvatice scufundate, modificări în structura și funcționarea comunităților de nevertebrate bentonice și epuizarea oxigenului. </w:t>
      </w:r>
    </w:p>
    <w:p w14:paraId="0E73C720" w14:textId="77777777" w:rsidR="00A53D2B" w:rsidRDefault="00A53D2B" w:rsidP="008B1BFC">
      <w:pPr>
        <w:spacing w:before="0"/>
        <w:rPr>
          <w:rFonts w:eastAsia="Times New Roman" w:cs="Times New Roman"/>
          <w:u w:val="single"/>
        </w:rPr>
      </w:pPr>
      <w:r>
        <w:rPr>
          <w:rFonts w:eastAsia="Times New Roman" w:cs="Times New Roman"/>
          <w:color w:val="000000"/>
          <w:u w:val="single"/>
        </w:rPr>
        <w:t>Ape de suprafață (Dunăre, lacuri)</w:t>
      </w:r>
    </w:p>
    <w:p w14:paraId="0AAAD27F" w14:textId="77777777" w:rsidR="00A53D2B" w:rsidRDefault="00A53D2B" w:rsidP="008B1BFC">
      <w:pPr>
        <w:spacing w:before="0"/>
        <w:ind w:firstLine="567"/>
        <w:rPr>
          <w:rFonts w:eastAsia="Times New Roman" w:cs="Times New Roman"/>
        </w:rPr>
      </w:pPr>
      <w:r>
        <w:rPr>
          <w:rFonts w:eastAsia="Times New Roman" w:cs="Times New Roman"/>
          <w:color w:val="000000"/>
        </w:rPr>
        <w:t xml:space="preserve">Cea mai importantă sursă de introducere a materiei organice și compușilor cu N și P în partea de nord a zonei costiere, aferentă Deltei Dunării, o constituie însuși fluviul Dunărea. Dintre sursele locale, este de menționat agricultura, creșterea animalelor și, într-o oarecare măsură, acvacultura. </w:t>
      </w:r>
    </w:p>
    <w:p w14:paraId="565A0AA2" w14:textId="1F038F94" w:rsidR="00A53D2B" w:rsidRDefault="00A53D2B" w:rsidP="008B1BFC">
      <w:pPr>
        <w:spacing w:before="0"/>
        <w:ind w:firstLine="567"/>
        <w:rPr>
          <w:rFonts w:eastAsia="Times New Roman" w:cs="Times New Roman"/>
        </w:rPr>
      </w:pPr>
      <w:r>
        <w:rPr>
          <w:rFonts w:eastAsia="Times New Roman" w:cs="Times New Roman"/>
          <w:color w:val="000000"/>
        </w:rPr>
        <w:t xml:space="preserve">Alte surse de poluare sunt reprezentate de stațiile de epurare care tratează doar parțial apele uzate (tratament primar și secundar), precum și lipsa colectării și epurării apelor menajere în unele localități rurale. Emisiile de poluanți din stațiile de epurare urbane Sulina și Jurilovca sunt redate în Tabelul </w:t>
      </w:r>
      <w:r w:rsidR="008B1BFC">
        <w:rPr>
          <w:rFonts w:eastAsia="Times New Roman" w:cs="Times New Roman"/>
          <w:color w:val="000000"/>
        </w:rPr>
        <w:t>2.</w:t>
      </w:r>
      <w:r>
        <w:rPr>
          <w:rFonts w:eastAsia="Times New Roman" w:cs="Times New Roman"/>
          <w:color w:val="000000"/>
        </w:rPr>
        <w:t>5.2.13.</w:t>
      </w:r>
    </w:p>
    <w:p w14:paraId="5756C10B" w14:textId="77777777" w:rsidR="00A53D2B" w:rsidRDefault="00A53D2B" w:rsidP="00A53D2B">
      <w:pPr>
        <w:ind w:firstLine="567"/>
        <w:rPr>
          <w:rFonts w:eastAsia="Times New Roman" w:cs="Times New Roman"/>
        </w:rPr>
      </w:pPr>
    </w:p>
    <w:p w14:paraId="363894D2" w14:textId="66A7D30A" w:rsidR="00A53D2B" w:rsidRDefault="00A53D2B" w:rsidP="00A53D2B">
      <w:pPr>
        <w:spacing w:after="0"/>
        <w:jc w:val="center"/>
        <w:rPr>
          <w:rFonts w:eastAsia="Times New Roman" w:cs="Times New Roman"/>
        </w:rPr>
      </w:pPr>
      <w:bookmarkStart w:id="134" w:name="_heading=h.3cqmetx" w:colFirst="0" w:colLast="0"/>
      <w:bookmarkEnd w:id="134"/>
      <w:r>
        <w:rPr>
          <w:rFonts w:eastAsia="Times New Roman" w:cs="Times New Roman"/>
          <w:b/>
          <w:color w:val="000000"/>
        </w:rPr>
        <w:t xml:space="preserve">Tabel </w:t>
      </w:r>
      <w:r w:rsidR="008B1BFC">
        <w:rPr>
          <w:rFonts w:eastAsia="Times New Roman" w:cs="Times New Roman"/>
          <w:b/>
          <w:color w:val="000000"/>
        </w:rPr>
        <w:t>2.</w:t>
      </w:r>
      <w:r>
        <w:rPr>
          <w:rFonts w:eastAsia="Times New Roman" w:cs="Times New Roman"/>
          <w:b/>
          <w:color w:val="000000"/>
        </w:rPr>
        <w:t>5.2.13 Emisii de compuși cu N și P (tone/an) din stația de epurare Sulina și Jurilovca (</w:t>
      </w:r>
      <w:r>
        <w:rPr>
          <w:rFonts w:eastAsia="Times New Roman" w:cs="Times New Roman"/>
          <w:b/>
          <w:i/>
          <w:color w:val="000000"/>
        </w:rPr>
        <w:t>sursa: Administrația Națională Apele Române</w:t>
      </w:r>
      <w:r>
        <w:rPr>
          <w:rFonts w:eastAsia="Times New Roman" w:cs="Times New Roman"/>
          <w:b/>
          <w:color w:val="000000"/>
        </w:rPr>
        <w:t xml:space="preserve">) </w:t>
      </w:r>
    </w:p>
    <w:tbl>
      <w:tblPr>
        <w:tblW w:w="6722" w:type="dxa"/>
        <w:jc w:val="center"/>
        <w:tblLayout w:type="fixed"/>
        <w:tblLook w:val="0400" w:firstRow="0" w:lastRow="0" w:firstColumn="0" w:lastColumn="0" w:noHBand="0" w:noVBand="1"/>
      </w:tblPr>
      <w:tblGrid>
        <w:gridCol w:w="683"/>
        <w:gridCol w:w="1241"/>
        <w:gridCol w:w="1514"/>
        <w:gridCol w:w="1565"/>
        <w:gridCol w:w="1483"/>
        <w:gridCol w:w="236"/>
      </w:tblGrid>
      <w:tr w:rsidR="00A53D2B" w14:paraId="0849E8B2" w14:textId="77777777" w:rsidTr="008B1BFC">
        <w:trPr>
          <w:gridAfter w:val="1"/>
          <w:wAfter w:w="50" w:type="dxa"/>
          <w:trHeight w:val="557"/>
          <w:jc w:val="center"/>
        </w:trPr>
        <w:tc>
          <w:tcPr>
            <w:tcW w:w="699"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B1FD41" w14:textId="77777777" w:rsidR="00A53D2B" w:rsidRDefault="00A53D2B" w:rsidP="008B1BFC">
            <w:pPr>
              <w:spacing w:before="0" w:after="0" w:line="240" w:lineRule="auto"/>
              <w:ind w:firstLine="35"/>
              <w:rPr>
                <w:rFonts w:eastAsia="Times New Roman" w:cs="Times New Roman"/>
                <w:sz w:val="20"/>
                <w:szCs w:val="20"/>
              </w:rPr>
            </w:pPr>
            <w:r>
              <w:rPr>
                <w:rFonts w:eastAsia="Times New Roman" w:cs="Times New Roman"/>
                <w:color w:val="000000"/>
                <w:sz w:val="20"/>
                <w:szCs w:val="20"/>
              </w:rPr>
              <w:t>An</w:t>
            </w:r>
          </w:p>
        </w:tc>
        <w:tc>
          <w:tcPr>
            <w:tcW w:w="1276"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4D6C99" w14:textId="77777777" w:rsidR="00A53D2B" w:rsidRDefault="00A53D2B" w:rsidP="008B1BFC">
            <w:pPr>
              <w:spacing w:before="0" w:after="0" w:line="240" w:lineRule="auto"/>
              <w:ind w:firstLine="35"/>
              <w:jc w:val="center"/>
              <w:rPr>
                <w:rFonts w:eastAsia="Times New Roman" w:cs="Times New Roman"/>
                <w:sz w:val="20"/>
                <w:szCs w:val="20"/>
              </w:rPr>
            </w:pPr>
            <w:r>
              <w:rPr>
                <w:rFonts w:eastAsia="Times New Roman" w:cs="Times New Roman"/>
                <w:color w:val="000000"/>
                <w:sz w:val="20"/>
                <w:szCs w:val="20"/>
              </w:rPr>
              <w:t>Stația</w:t>
            </w:r>
          </w:p>
        </w:tc>
        <w:tc>
          <w:tcPr>
            <w:tcW w:w="1559"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4BF616" w14:textId="77777777" w:rsidR="00A53D2B" w:rsidRDefault="00A53D2B" w:rsidP="008B1BFC">
            <w:pPr>
              <w:spacing w:before="0" w:after="0" w:line="240" w:lineRule="auto"/>
              <w:ind w:firstLine="35"/>
              <w:jc w:val="center"/>
              <w:rPr>
                <w:rFonts w:eastAsia="Times New Roman" w:cs="Times New Roman"/>
                <w:sz w:val="20"/>
                <w:szCs w:val="20"/>
              </w:rPr>
            </w:pPr>
            <w:r>
              <w:rPr>
                <w:rFonts w:eastAsia="Times New Roman" w:cs="Times New Roman"/>
                <w:color w:val="000000"/>
                <w:sz w:val="20"/>
                <w:szCs w:val="20"/>
              </w:rPr>
              <w:t>Azot total tone/an</w:t>
            </w:r>
          </w:p>
        </w:tc>
        <w:tc>
          <w:tcPr>
            <w:tcW w:w="1611"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2C6EEC" w14:textId="77777777" w:rsidR="00A53D2B" w:rsidRDefault="00A53D2B" w:rsidP="008B1BFC">
            <w:pPr>
              <w:spacing w:before="0" w:after="0" w:line="240" w:lineRule="auto"/>
              <w:ind w:firstLine="35"/>
              <w:jc w:val="center"/>
              <w:rPr>
                <w:rFonts w:eastAsia="Times New Roman" w:cs="Times New Roman"/>
                <w:sz w:val="20"/>
                <w:szCs w:val="20"/>
              </w:rPr>
            </w:pPr>
            <w:r>
              <w:rPr>
                <w:rFonts w:eastAsia="Times New Roman" w:cs="Times New Roman"/>
                <w:color w:val="000000"/>
                <w:sz w:val="20"/>
                <w:szCs w:val="20"/>
              </w:rPr>
              <w:t>Fosfor total tone/an</w:t>
            </w:r>
          </w:p>
        </w:tc>
        <w:tc>
          <w:tcPr>
            <w:tcW w:w="152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A85822" w14:textId="77777777" w:rsidR="00A53D2B" w:rsidRDefault="00A53D2B" w:rsidP="008B1BFC">
            <w:pPr>
              <w:spacing w:before="0" w:after="0" w:line="240" w:lineRule="auto"/>
              <w:ind w:firstLine="35"/>
              <w:jc w:val="center"/>
              <w:rPr>
                <w:rFonts w:eastAsia="Times New Roman" w:cs="Times New Roman"/>
                <w:sz w:val="20"/>
                <w:szCs w:val="20"/>
              </w:rPr>
            </w:pPr>
            <w:r>
              <w:rPr>
                <w:rFonts w:eastAsia="Times New Roman" w:cs="Times New Roman"/>
                <w:color w:val="000000"/>
                <w:sz w:val="20"/>
                <w:szCs w:val="20"/>
              </w:rPr>
              <w:t>Amoniu tone/an</w:t>
            </w:r>
          </w:p>
        </w:tc>
      </w:tr>
      <w:tr w:rsidR="00A53D2B" w14:paraId="6B8BFFF6" w14:textId="77777777" w:rsidTr="008B1BFC">
        <w:trPr>
          <w:trHeight w:val="20"/>
          <w:jc w:val="center"/>
        </w:trPr>
        <w:tc>
          <w:tcPr>
            <w:tcW w:w="699"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70AE10" w14:textId="77777777" w:rsidR="00A53D2B" w:rsidRDefault="00A53D2B" w:rsidP="008B1BFC">
            <w:pPr>
              <w:widowControl w:val="0"/>
              <w:pBdr>
                <w:top w:val="nil"/>
                <w:left w:val="nil"/>
                <w:bottom w:val="nil"/>
                <w:right w:val="nil"/>
                <w:between w:val="nil"/>
              </w:pBdr>
              <w:spacing w:before="0" w:after="0"/>
              <w:rPr>
                <w:rFonts w:eastAsia="Times New Roman" w:cs="Times New Roman"/>
                <w:sz w:val="20"/>
                <w:szCs w:val="20"/>
              </w:rPr>
            </w:pPr>
          </w:p>
        </w:tc>
        <w:tc>
          <w:tcPr>
            <w:tcW w:w="1276"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D25488" w14:textId="77777777" w:rsidR="00A53D2B" w:rsidRDefault="00A53D2B" w:rsidP="008B1BFC">
            <w:pPr>
              <w:widowControl w:val="0"/>
              <w:pBdr>
                <w:top w:val="nil"/>
                <w:left w:val="nil"/>
                <w:bottom w:val="nil"/>
                <w:right w:val="nil"/>
                <w:between w:val="nil"/>
              </w:pBdr>
              <w:spacing w:before="0" w:after="0"/>
              <w:ind w:firstLine="35"/>
              <w:rPr>
                <w:rFonts w:eastAsia="Times New Roman" w:cs="Times New Roman"/>
                <w:sz w:val="20"/>
                <w:szCs w:val="20"/>
              </w:rPr>
            </w:pPr>
          </w:p>
        </w:tc>
        <w:tc>
          <w:tcPr>
            <w:tcW w:w="1559"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01D280" w14:textId="77777777" w:rsidR="00A53D2B" w:rsidRDefault="00A53D2B" w:rsidP="008B1BFC">
            <w:pPr>
              <w:widowControl w:val="0"/>
              <w:pBdr>
                <w:top w:val="nil"/>
                <w:left w:val="nil"/>
                <w:bottom w:val="nil"/>
                <w:right w:val="nil"/>
                <w:between w:val="nil"/>
              </w:pBdr>
              <w:spacing w:before="0" w:after="0"/>
              <w:ind w:firstLine="35"/>
              <w:rPr>
                <w:rFonts w:eastAsia="Times New Roman" w:cs="Times New Roman"/>
                <w:sz w:val="20"/>
                <w:szCs w:val="20"/>
              </w:rPr>
            </w:pPr>
          </w:p>
        </w:tc>
        <w:tc>
          <w:tcPr>
            <w:tcW w:w="1611"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F56453" w14:textId="77777777" w:rsidR="00A53D2B" w:rsidRDefault="00A53D2B" w:rsidP="008B1BFC">
            <w:pPr>
              <w:widowControl w:val="0"/>
              <w:pBdr>
                <w:top w:val="nil"/>
                <w:left w:val="nil"/>
                <w:bottom w:val="nil"/>
                <w:right w:val="nil"/>
                <w:between w:val="nil"/>
              </w:pBdr>
              <w:spacing w:before="0" w:after="0"/>
              <w:ind w:firstLine="35"/>
              <w:rPr>
                <w:rFonts w:eastAsia="Times New Roman" w:cs="Times New Roman"/>
                <w:sz w:val="20"/>
                <w:szCs w:val="20"/>
              </w:rPr>
            </w:pPr>
          </w:p>
        </w:tc>
        <w:tc>
          <w:tcPr>
            <w:tcW w:w="152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16863D" w14:textId="77777777" w:rsidR="00A53D2B" w:rsidRDefault="00A53D2B" w:rsidP="008B1BFC">
            <w:pPr>
              <w:widowControl w:val="0"/>
              <w:pBdr>
                <w:top w:val="nil"/>
                <w:left w:val="nil"/>
                <w:bottom w:val="nil"/>
                <w:right w:val="nil"/>
                <w:between w:val="nil"/>
              </w:pBdr>
              <w:spacing w:before="0" w:after="0"/>
              <w:ind w:firstLine="35"/>
              <w:rPr>
                <w:rFonts w:eastAsia="Times New Roman" w:cs="Times New Roman"/>
                <w:sz w:val="20"/>
                <w:szCs w:val="20"/>
              </w:rPr>
            </w:pPr>
          </w:p>
        </w:tc>
        <w:tc>
          <w:tcPr>
            <w:tcW w:w="50" w:type="dxa"/>
            <w:vAlign w:val="center"/>
          </w:tcPr>
          <w:p w14:paraId="2328B3F2" w14:textId="77777777" w:rsidR="00A53D2B" w:rsidRDefault="00A53D2B" w:rsidP="008B1BFC">
            <w:pPr>
              <w:spacing w:before="0" w:after="0" w:line="240" w:lineRule="auto"/>
              <w:rPr>
                <w:rFonts w:eastAsia="Times New Roman" w:cs="Times New Roman"/>
                <w:sz w:val="20"/>
                <w:szCs w:val="20"/>
              </w:rPr>
            </w:pPr>
          </w:p>
        </w:tc>
      </w:tr>
      <w:tr w:rsidR="00A53D2B" w14:paraId="7ECFEB5C" w14:textId="77777777" w:rsidTr="008B1BFC">
        <w:trPr>
          <w:trHeight w:val="300"/>
          <w:jc w:val="center"/>
        </w:trPr>
        <w:tc>
          <w:tcPr>
            <w:tcW w:w="699"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E77148"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2018</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F1CD2A" w14:textId="77777777" w:rsidR="00A53D2B" w:rsidRDefault="00A53D2B" w:rsidP="008B1BFC">
            <w:pPr>
              <w:spacing w:before="0" w:after="0" w:line="240" w:lineRule="auto"/>
              <w:ind w:firstLine="35"/>
              <w:rPr>
                <w:rFonts w:eastAsia="Times New Roman" w:cs="Times New Roman"/>
                <w:sz w:val="20"/>
                <w:szCs w:val="20"/>
              </w:rPr>
            </w:pPr>
            <w:r>
              <w:rPr>
                <w:rFonts w:eastAsia="Times New Roman" w:cs="Times New Roman"/>
                <w:color w:val="000000"/>
                <w:sz w:val="20"/>
                <w:szCs w:val="20"/>
              </w:rPr>
              <w:t>Sulina</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58C7C1" w14:textId="77777777" w:rsidR="00A53D2B" w:rsidRDefault="00A53D2B" w:rsidP="008B1BFC">
            <w:pPr>
              <w:spacing w:before="0" w:after="0" w:line="240" w:lineRule="auto"/>
              <w:ind w:firstLine="35"/>
              <w:rPr>
                <w:rFonts w:eastAsia="Times New Roman" w:cs="Times New Roman"/>
                <w:sz w:val="20"/>
                <w:szCs w:val="20"/>
              </w:rPr>
            </w:pPr>
          </w:p>
        </w:tc>
        <w:tc>
          <w:tcPr>
            <w:tcW w:w="16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F42EED" w14:textId="77777777" w:rsidR="00A53D2B" w:rsidRDefault="00A53D2B" w:rsidP="008B1BFC">
            <w:pPr>
              <w:spacing w:before="0" w:after="0" w:line="240" w:lineRule="auto"/>
              <w:ind w:firstLine="35"/>
              <w:rPr>
                <w:rFonts w:eastAsia="Times New Roman" w:cs="Times New Roman"/>
                <w:sz w:val="20"/>
                <w:szCs w:val="20"/>
              </w:rPr>
            </w:pPr>
          </w:p>
        </w:tc>
        <w:tc>
          <w:tcPr>
            <w:tcW w:w="15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B8FEA8" w14:textId="77777777" w:rsidR="00A53D2B" w:rsidRDefault="00A53D2B" w:rsidP="008B1BFC">
            <w:pPr>
              <w:spacing w:before="0" w:after="0" w:line="240" w:lineRule="auto"/>
              <w:ind w:firstLine="35"/>
              <w:rPr>
                <w:rFonts w:eastAsia="Times New Roman" w:cs="Times New Roman"/>
                <w:sz w:val="20"/>
                <w:szCs w:val="20"/>
              </w:rPr>
            </w:pPr>
            <w:r>
              <w:rPr>
                <w:rFonts w:eastAsia="Times New Roman" w:cs="Times New Roman"/>
                <w:color w:val="000000"/>
                <w:sz w:val="20"/>
                <w:szCs w:val="20"/>
              </w:rPr>
              <w:t>0,0004</w:t>
            </w:r>
          </w:p>
        </w:tc>
        <w:tc>
          <w:tcPr>
            <w:tcW w:w="50" w:type="dxa"/>
            <w:vAlign w:val="center"/>
          </w:tcPr>
          <w:p w14:paraId="560E5496" w14:textId="77777777" w:rsidR="00A53D2B" w:rsidRDefault="00A53D2B" w:rsidP="008B1BFC">
            <w:pPr>
              <w:spacing w:before="0" w:after="0" w:line="240" w:lineRule="auto"/>
              <w:rPr>
                <w:rFonts w:eastAsia="Times New Roman" w:cs="Times New Roman"/>
                <w:sz w:val="20"/>
                <w:szCs w:val="20"/>
              </w:rPr>
            </w:pPr>
          </w:p>
        </w:tc>
      </w:tr>
      <w:tr w:rsidR="00A53D2B" w14:paraId="25CCB9D9" w14:textId="77777777" w:rsidTr="008B1BFC">
        <w:trPr>
          <w:trHeight w:val="255"/>
          <w:jc w:val="center"/>
        </w:trPr>
        <w:tc>
          <w:tcPr>
            <w:tcW w:w="699"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8525B5" w14:textId="77777777" w:rsidR="00A53D2B" w:rsidRDefault="00A53D2B" w:rsidP="008B1BFC">
            <w:pPr>
              <w:widowControl w:val="0"/>
              <w:pBdr>
                <w:top w:val="nil"/>
                <w:left w:val="nil"/>
                <w:bottom w:val="nil"/>
                <w:right w:val="nil"/>
                <w:between w:val="nil"/>
              </w:pBdr>
              <w:spacing w:before="0" w:after="0"/>
              <w:rPr>
                <w:rFonts w:eastAsia="Times New Roman" w:cs="Times New Roman"/>
                <w:sz w:val="20"/>
                <w:szCs w:val="20"/>
              </w:rPr>
            </w:pP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0438D7" w14:textId="77777777" w:rsidR="00A53D2B" w:rsidRDefault="00A53D2B" w:rsidP="008B1BFC">
            <w:pPr>
              <w:spacing w:before="0" w:after="0" w:line="240" w:lineRule="auto"/>
              <w:ind w:firstLine="35"/>
              <w:rPr>
                <w:rFonts w:eastAsia="Times New Roman" w:cs="Times New Roman"/>
                <w:sz w:val="20"/>
                <w:szCs w:val="20"/>
              </w:rPr>
            </w:pPr>
            <w:r>
              <w:rPr>
                <w:rFonts w:eastAsia="Times New Roman" w:cs="Times New Roman"/>
                <w:color w:val="000000"/>
                <w:sz w:val="20"/>
                <w:szCs w:val="20"/>
              </w:rPr>
              <w:t>Jurilovca</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0570C3" w14:textId="77777777" w:rsidR="00A53D2B" w:rsidRDefault="00A53D2B" w:rsidP="008B1BFC">
            <w:pPr>
              <w:spacing w:before="0" w:after="0" w:line="240" w:lineRule="auto"/>
              <w:ind w:firstLine="35"/>
              <w:rPr>
                <w:rFonts w:eastAsia="Times New Roman" w:cs="Times New Roman"/>
                <w:sz w:val="20"/>
                <w:szCs w:val="20"/>
              </w:rPr>
            </w:pPr>
          </w:p>
        </w:tc>
        <w:tc>
          <w:tcPr>
            <w:tcW w:w="16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C3CED2" w14:textId="77777777" w:rsidR="00A53D2B" w:rsidRDefault="00A53D2B" w:rsidP="008B1BFC">
            <w:pPr>
              <w:spacing w:before="0" w:after="0" w:line="240" w:lineRule="auto"/>
              <w:ind w:firstLine="35"/>
              <w:rPr>
                <w:rFonts w:eastAsia="Times New Roman" w:cs="Times New Roman"/>
                <w:sz w:val="20"/>
                <w:szCs w:val="20"/>
              </w:rPr>
            </w:pPr>
          </w:p>
        </w:tc>
        <w:tc>
          <w:tcPr>
            <w:tcW w:w="15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E209EE" w14:textId="77777777" w:rsidR="00A53D2B" w:rsidRDefault="00A53D2B" w:rsidP="008B1BFC">
            <w:pPr>
              <w:spacing w:before="0" w:after="0" w:line="240" w:lineRule="auto"/>
              <w:ind w:firstLine="35"/>
              <w:rPr>
                <w:rFonts w:eastAsia="Times New Roman" w:cs="Times New Roman"/>
                <w:sz w:val="20"/>
                <w:szCs w:val="20"/>
              </w:rPr>
            </w:pPr>
          </w:p>
        </w:tc>
        <w:tc>
          <w:tcPr>
            <w:tcW w:w="50" w:type="dxa"/>
            <w:vAlign w:val="center"/>
          </w:tcPr>
          <w:p w14:paraId="2CA3DFC8" w14:textId="77777777" w:rsidR="00A53D2B" w:rsidRDefault="00A53D2B" w:rsidP="008B1BFC">
            <w:pPr>
              <w:spacing w:before="0" w:after="0" w:line="240" w:lineRule="auto"/>
              <w:rPr>
                <w:rFonts w:eastAsia="Times New Roman" w:cs="Times New Roman"/>
                <w:sz w:val="20"/>
                <w:szCs w:val="20"/>
              </w:rPr>
            </w:pPr>
          </w:p>
        </w:tc>
      </w:tr>
      <w:tr w:rsidR="00A53D2B" w14:paraId="0E87A134" w14:textId="77777777" w:rsidTr="008B1BFC">
        <w:trPr>
          <w:trHeight w:val="300"/>
          <w:jc w:val="center"/>
        </w:trPr>
        <w:tc>
          <w:tcPr>
            <w:tcW w:w="699"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028A88"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lastRenderedPageBreak/>
              <w:t>2019</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894EF0" w14:textId="77777777" w:rsidR="00A53D2B" w:rsidRDefault="00A53D2B" w:rsidP="008B1BFC">
            <w:pPr>
              <w:spacing w:before="0" w:after="0" w:line="240" w:lineRule="auto"/>
              <w:ind w:firstLine="35"/>
              <w:rPr>
                <w:rFonts w:eastAsia="Times New Roman" w:cs="Times New Roman"/>
                <w:sz w:val="20"/>
                <w:szCs w:val="20"/>
              </w:rPr>
            </w:pPr>
            <w:r>
              <w:rPr>
                <w:rFonts w:eastAsia="Times New Roman" w:cs="Times New Roman"/>
                <w:color w:val="000000"/>
                <w:sz w:val="20"/>
                <w:szCs w:val="20"/>
              </w:rPr>
              <w:t>Sulina</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A60443" w14:textId="77777777" w:rsidR="00A53D2B" w:rsidRDefault="00A53D2B" w:rsidP="008B1BFC">
            <w:pPr>
              <w:spacing w:before="0" w:after="0" w:line="240" w:lineRule="auto"/>
              <w:ind w:firstLine="35"/>
              <w:rPr>
                <w:rFonts w:eastAsia="Times New Roman" w:cs="Times New Roman"/>
                <w:sz w:val="20"/>
                <w:szCs w:val="20"/>
              </w:rPr>
            </w:pPr>
          </w:p>
        </w:tc>
        <w:tc>
          <w:tcPr>
            <w:tcW w:w="16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FE4539" w14:textId="77777777" w:rsidR="00A53D2B" w:rsidRDefault="00A53D2B" w:rsidP="008B1BFC">
            <w:pPr>
              <w:spacing w:before="0" w:after="0" w:line="240" w:lineRule="auto"/>
              <w:ind w:firstLine="35"/>
              <w:rPr>
                <w:rFonts w:eastAsia="Times New Roman" w:cs="Times New Roman"/>
                <w:sz w:val="20"/>
                <w:szCs w:val="20"/>
              </w:rPr>
            </w:pPr>
          </w:p>
        </w:tc>
        <w:tc>
          <w:tcPr>
            <w:tcW w:w="15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B26F1A" w14:textId="77777777" w:rsidR="00A53D2B" w:rsidRDefault="00A53D2B" w:rsidP="008B1BFC">
            <w:pPr>
              <w:spacing w:before="0" w:after="0" w:line="240" w:lineRule="auto"/>
              <w:ind w:firstLine="35"/>
              <w:rPr>
                <w:rFonts w:eastAsia="Times New Roman" w:cs="Times New Roman"/>
                <w:sz w:val="20"/>
                <w:szCs w:val="20"/>
              </w:rPr>
            </w:pPr>
            <w:r>
              <w:rPr>
                <w:rFonts w:eastAsia="Times New Roman" w:cs="Times New Roman"/>
                <w:color w:val="000000"/>
                <w:sz w:val="20"/>
                <w:szCs w:val="20"/>
              </w:rPr>
              <w:t>0,0012</w:t>
            </w:r>
          </w:p>
        </w:tc>
        <w:tc>
          <w:tcPr>
            <w:tcW w:w="50" w:type="dxa"/>
            <w:vAlign w:val="center"/>
          </w:tcPr>
          <w:p w14:paraId="005D18A8" w14:textId="77777777" w:rsidR="00A53D2B" w:rsidRDefault="00A53D2B" w:rsidP="008B1BFC">
            <w:pPr>
              <w:spacing w:before="0" w:after="0" w:line="240" w:lineRule="auto"/>
              <w:rPr>
                <w:rFonts w:eastAsia="Times New Roman" w:cs="Times New Roman"/>
                <w:sz w:val="20"/>
                <w:szCs w:val="20"/>
              </w:rPr>
            </w:pPr>
          </w:p>
        </w:tc>
      </w:tr>
      <w:tr w:rsidR="00A53D2B" w14:paraId="14A5DA83" w14:textId="77777777" w:rsidTr="008B1BFC">
        <w:trPr>
          <w:trHeight w:val="420"/>
          <w:jc w:val="center"/>
        </w:trPr>
        <w:tc>
          <w:tcPr>
            <w:tcW w:w="699"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3FF5E7" w14:textId="77777777" w:rsidR="00A53D2B" w:rsidRDefault="00A53D2B" w:rsidP="008B1BFC">
            <w:pPr>
              <w:widowControl w:val="0"/>
              <w:pBdr>
                <w:top w:val="nil"/>
                <w:left w:val="nil"/>
                <w:bottom w:val="nil"/>
                <w:right w:val="nil"/>
                <w:between w:val="nil"/>
              </w:pBdr>
              <w:spacing w:before="0" w:after="0"/>
              <w:rPr>
                <w:rFonts w:eastAsia="Times New Roman" w:cs="Times New Roman"/>
                <w:sz w:val="20"/>
                <w:szCs w:val="20"/>
              </w:rPr>
            </w:pP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C94EA1" w14:textId="77777777" w:rsidR="00A53D2B" w:rsidRDefault="00A53D2B" w:rsidP="008B1BFC">
            <w:pPr>
              <w:spacing w:before="0" w:after="0" w:line="240" w:lineRule="auto"/>
              <w:ind w:firstLine="35"/>
              <w:rPr>
                <w:rFonts w:eastAsia="Times New Roman" w:cs="Times New Roman"/>
                <w:sz w:val="20"/>
                <w:szCs w:val="20"/>
              </w:rPr>
            </w:pPr>
            <w:r>
              <w:rPr>
                <w:rFonts w:eastAsia="Times New Roman" w:cs="Times New Roman"/>
                <w:color w:val="000000"/>
                <w:sz w:val="20"/>
                <w:szCs w:val="20"/>
              </w:rPr>
              <w:t>Jurilovca</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DA4CDC" w14:textId="77777777" w:rsidR="00A53D2B" w:rsidRDefault="00A53D2B" w:rsidP="008B1BFC">
            <w:pPr>
              <w:spacing w:before="0" w:after="0" w:line="240" w:lineRule="auto"/>
              <w:ind w:firstLine="35"/>
              <w:rPr>
                <w:rFonts w:eastAsia="Times New Roman" w:cs="Times New Roman"/>
                <w:sz w:val="20"/>
                <w:szCs w:val="20"/>
              </w:rPr>
            </w:pPr>
            <w:r>
              <w:rPr>
                <w:rFonts w:eastAsia="Times New Roman" w:cs="Times New Roman"/>
                <w:color w:val="000000"/>
                <w:sz w:val="20"/>
                <w:szCs w:val="20"/>
              </w:rPr>
              <w:t>0,0026</w:t>
            </w:r>
          </w:p>
        </w:tc>
        <w:tc>
          <w:tcPr>
            <w:tcW w:w="16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C38630" w14:textId="77777777" w:rsidR="00A53D2B" w:rsidRDefault="00A53D2B" w:rsidP="008B1BFC">
            <w:pPr>
              <w:spacing w:before="0" w:after="0" w:line="240" w:lineRule="auto"/>
              <w:ind w:firstLine="35"/>
              <w:rPr>
                <w:rFonts w:eastAsia="Times New Roman" w:cs="Times New Roman"/>
                <w:sz w:val="20"/>
                <w:szCs w:val="20"/>
              </w:rPr>
            </w:pPr>
            <w:r>
              <w:rPr>
                <w:rFonts w:eastAsia="Times New Roman" w:cs="Times New Roman"/>
                <w:color w:val="000000"/>
                <w:sz w:val="20"/>
                <w:szCs w:val="20"/>
              </w:rPr>
              <w:t>0,0002</w:t>
            </w:r>
          </w:p>
        </w:tc>
        <w:tc>
          <w:tcPr>
            <w:tcW w:w="15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FFB95A" w14:textId="77777777" w:rsidR="00A53D2B" w:rsidRDefault="00A53D2B" w:rsidP="008B1BFC">
            <w:pPr>
              <w:spacing w:before="0" w:after="0" w:line="240" w:lineRule="auto"/>
              <w:ind w:firstLine="35"/>
              <w:rPr>
                <w:rFonts w:eastAsia="Times New Roman" w:cs="Times New Roman"/>
                <w:sz w:val="20"/>
                <w:szCs w:val="20"/>
              </w:rPr>
            </w:pPr>
            <w:r>
              <w:rPr>
                <w:rFonts w:eastAsia="Times New Roman" w:cs="Times New Roman"/>
                <w:color w:val="000000"/>
                <w:sz w:val="20"/>
                <w:szCs w:val="20"/>
              </w:rPr>
              <w:t>0,0018</w:t>
            </w:r>
          </w:p>
        </w:tc>
        <w:tc>
          <w:tcPr>
            <w:tcW w:w="50" w:type="dxa"/>
            <w:vAlign w:val="center"/>
          </w:tcPr>
          <w:p w14:paraId="2E768A56" w14:textId="77777777" w:rsidR="00A53D2B" w:rsidRDefault="00A53D2B" w:rsidP="008B1BFC">
            <w:pPr>
              <w:spacing w:before="0" w:after="0" w:line="240" w:lineRule="auto"/>
              <w:rPr>
                <w:rFonts w:eastAsia="Times New Roman" w:cs="Times New Roman"/>
                <w:sz w:val="20"/>
                <w:szCs w:val="20"/>
              </w:rPr>
            </w:pPr>
          </w:p>
        </w:tc>
      </w:tr>
      <w:tr w:rsidR="00A53D2B" w14:paraId="4026C0D2" w14:textId="77777777" w:rsidTr="008B1BFC">
        <w:trPr>
          <w:trHeight w:val="306"/>
          <w:jc w:val="center"/>
        </w:trPr>
        <w:tc>
          <w:tcPr>
            <w:tcW w:w="699"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BCA231"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2020</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A6FA09" w14:textId="77777777" w:rsidR="00A53D2B" w:rsidRDefault="00A53D2B" w:rsidP="008B1BFC">
            <w:pPr>
              <w:spacing w:before="0" w:after="0" w:line="240" w:lineRule="auto"/>
              <w:ind w:firstLine="35"/>
              <w:rPr>
                <w:rFonts w:eastAsia="Times New Roman" w:cs="Times New Roman"/>
                <w:sz w:val="20"/>
                <w:szCs w:val="20"/>
              </w:rPr>
            </w:pPr>
            <w:r>
              <w:rPr>
                <w:rFonts w:eastAsia="Times New Roman" w:cs="Times New Roman"/>
                <w:color w:val="000000"/>
                <w:sz w:val="20"/>
                <w:szCs w:val="20"/>
              </w:rPr>
              <w:t>Sulina</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D2E2A4" w14:textId="77777777" w:rsidR="00A53D2B" w:rsidRDefault="00A53D2B" w:rsidP="008B1BFC">
            <w:pPr>
              <w:spacing w:before="0" w:after="0" w:line="240" w:lineRule="auto"/>
              <w:ind w:firstLine="35"/>
              <w:rPr>
                <w:rFonts w:eastAsia="Times New Roman" w:cs="Times New Roman"/>
                <w:sz w:val="20"/>
                <w:szCs w:val="20"/>
              </w:rPr>
            </w:pPr>
          </w:p>
        </w:tc>
        <w:tc>
          <w:tcPr>
            <w:tcW w:w="16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4D9056" w14:textId="77777777" w:rsidR="00A53D2B" w:rsidRDefault="00A53D2B" w:rsidP="008B1BFC">
            <w:pPr>
              <w:spacing w:before="0" w:after="0" w:line="240" w:lineRule="auto"/>
              <w:ind w:firstLine="35"/>
              <w:rPr>
                <w:rFonts w:eastAsia="Times New Roman" w:cs="Times New Roman"/>
                <w:sz w:val="20"/>
                <w:szCs w:val="20"/>
              </w:rPr>
            </w:pPr>
          </w:p>
        </w:tc>
        <w:tc>
          <w:tcPr>
            <w:tcW w:w="15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A6F626" w14:textId="77777777" w:rsidR="00A53D2B" w:rsidRDefault="00A53D2B" w:rsidP="008B1BFC">
            <w:pPr>
              <w:spacing w:before="0" w:after="0" w:line="240" w:lineRule="auto"/>
              <w:ind w:firstLine="35"/>
              <w:rPr>
                <w:rFonts w:eastAsia="Times New Roman" w:cs="Times New Roman"/>
                <w:sz w:val="20"/>
                <w:szCs w:val="20"/>
              </w:rPr>
            </w:pPr>
            <w:r>
              <w:rPr>
                <w:rFonts w:eastAsia="Times New Roman" w:cs="Times New Roman"/>
                <w:color w:val="000000"/>
                <w:sz w:val="20"/>
                <w:szCs w:val="20"/>
              </w:rPr>
              <w:t>0,0036</w:t>
            </w:r>
          </w:p>
        </w:tc>
        <w:tc>
          <w:tcPr>
            <w:tcW w:w="50" w:type="dxa"/>
            <w:vAlign w:val="center"/>
          </w:tcPr>
          <w:p w14:paraId="433E17E0" w14:textId="77777777" w:rsidR="00A53D2B" w:rsidRDefault="00A53D2B" w:rsidP="008B1BFC">
            <w:pPr>
              <w:spacing w:before="0" w:after="0" w:line="240" w:lineRule="auto"/>
              <w:rPr>
                <w:rFonts w:eastAsia="Times New Roman" w:cs="Times New Roman"/>
                <w:sz w:val="20"/>
                <w:szCs w:val="20"/>
              </w:rPr>
            </w:pPr>
          </w:p>
        </w:tc>
      </w:tr>
      <w:tr w:rsidR="00A53D2B" w14:paraId="6260C674" w14:textId="77777777" w:rsidTr="008B1BFC">
        <w:trPr>
          <w:trHeight w:val="342"/>
          <w:jc w:val="center"/>
        </w:trPr>
        <w:tc>
          <w:tcPr>
            <w:tcW w:w="699"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C006F7" w14:textId="77777777" w:rsidR="00A53D2B" w:rsidRDefault="00A53D2B" w:rsidP="008B1BFC">
            <w:pPr>
              <w:widowControl w:val="0"/>
              <w:pBdr>
                <w:top w:val="nil"/>
                <w:left w:val="nil"/>
                <w:bottom w:val="nil"/>
                <w:right w:val="nil"/>
                <w:between w:val="nil"/>
              </w:pBdr>
              <w:spacing w:before="0" w:after="0"/>
              <w:rPr>
                <w:rFonts w:eastAsia="Times New Roman" w:cs="Times New Roman"/>
                <w:sz w:val="20"/>
                <w:szCs w:val="20"/>
              </w:rPr>
            </w:pP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D800EE" w14:textId="77777777" w:rsidR="00A53D2B" w:rsidRDefault="00A53D2B" w:rsidP="008B1BFC">
            <w:pPr>
              <w:spacing w:before="0" w:after="0" w:line="240" w:lineRule="auto"/>
              <w:ind w:firstLine="35"/>
              <w:rPr>
                <w:rFonts w:eastAsia="Times New Roman" w:cs="Times New Roman"/>
                <w:sz w:val="20"/>
                <w:szCs w:val="20"/>
              </w:rPr>
            </w:pPr>
            <w:r>
              <w:rPr>
                <w:rFonts w:eastAsia="Times New Roman" w:cs="Times New Roman"/>
                <w:color w:val="000000"/>
                <w:sz w:val="20"/>
                <w:szCs w:val="20"/>
              </w:rPr>
              <w:t>Jurilovca</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A88413" w14:textId="77777777" w:rsidR="00A53D2B" w:rsidRDefault="00A53D2B" w:rsidP="008B1BFC">
            <w:pPr>
              <w:spacing w:before="0" w:after="0" w:line="240" w:lineRule="auto"/>
              <w:ind w:firstLine="35"/>
              <w:rPr>
                <w:rFonts w:eastAsia="Times New Roman" w:cs="Times New Roman"/>
                <w:sz w:val="20"/>
                <w:szCs w:val="20"/>
              </w:rPr>
            </w:pPr>
            <w:r>
              <w:rPr>
                <w:rFonts w:eastAsia="Times New Roman" w:cs="Times New Roman"/>
                <w:color w:val="000000"/>
                <w:sz w:val="20"/>
                <w:szCs w:val="20"/>
              </w:rPr>
              <w:t>0,0024</w:t>
            </w:r>
          </w:p>
        </w:tc>
        <w:tc>
          <w:tcPr>
            <w:tcW w:w="16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DFB008" w14:textId="77777777" w:rsidR="00A53D2B" w:rsidRDefault="00A53D2B" w:rsidP="008B1BFC">
            <w:pPr>
              <w:spacing w:before="0" w:after="0" w:line="240" w:lineRule="auto"/>
              <w:ind w:firstLine="35"/>
              <w:rPr>
                <w:rFonts w:eastAsia="Times New Roman" w:cs="Times New Roman"/>
                <w:sz w:val="20"/>
                <w:szCs w:val="20"/>
              </w:rPr>
            </w:pPr>
            <w:r>
              <w:rPr>
                <w:rFonts w:eastAsia="Times New Roman" w:cs="Times New Roman"/>
                <w:color w:val="000000"/>
                <w:sz w:val="20"/>
                <w:szCs w:val="20"/>
              </w:rPr>
              <w:t>0,0004</w:t>
            </w:r>
          </w:p>
        </w:tc>
        <w:tc>
          <w:tcPr>
            <w:tcW w:w="15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7108AA" w14:textId="77777777" w:rsidR="00A53D2B" w:rsidRDefault="00A53D2B" w:rsidP="008B1BFC">
            <w:pPr>
              <w:spacing w:before="0" w:after="0" w:line="240" w:lineRule="auto"/>
              <w:ind w:firstLine="35"/>
              <w:rPr>
                <w:rFonts w:eastAsia="Times New Roman" w:cs="Times New Roman"/>
                <w:sz w:val="20"/>
                <w:szCs w:val="20"/>
              </w:rPr>
            </w:pPr>
            <w:r>
              <w:rPr>
                <w:rFonts w:eastAsia="Times New Roman" w:cs="Times New Roman"/>
                <w:color w:val="000000"/>
                <w:sz w:val="20"/>
                <w:szCs w:val="20"/>
              </w:rPr>
              <w:t>0,0028</w:t>
            </w:r>
          </w:p>
        </w:tc>
        <w:tc>
          <w:tcPr>
            <w:tcW w:w="50" w:type="dxa"/>
            <w:vAlign w:val="center"/>
          </w:tcPr>
          <w:p w14:paraId="2166087F" w14:textId="77777777" w:rsidR="00A53D2B" w:rsidRDefault="00A53D2B" w:rsidP="008B1BFC">
            <w:pPr>
              <w:spacing w:before="0" w:after="0" w:line="240" w:lineRule="auto"/>
              <w:rPr>
                <w:rFonts w:eastAsia="Times New Roman" w:cs="Times New Roman"/>
                <w:sz w:val="20"/>
                <w:szCs w:val="20"/>
              </w:rPr>
            </w:pPr>
          </w:p>
        </w:tc>
      </w:tr>
      <w:tr w:rsidR="00A53D2B" w14:paraId="095425AE" w14:textId="77777777" w:rsidTr="008B1BFC">
        <w:trPr>
          <w:trHeight w:val="208"/>
          <w:jc w:val="center"/>
        </w:trPr>
        <w:tc>
          <w:tcPr>
            <w:tcW w:w="699"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AA3392"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2021</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89434D" w14:textId="77777777" w:rsidR="00A53D2B" w:rsidRDefault="00A53D2B" w:rsidP="008B1BFC">
            <w:pPr>
              <w:spacing w:before="0" w:after="0" w:line="240" w:lineRule="auto"/>
              <w:ind w:firstLine="35"/>
              <w:rPr>
                <w:rFonts w:eastAsia="Times New Roman" w:cs="Times New Roman"/>
                <w:sz w:val="20"/>
                <w:szCs w:val="20"/>
              </w:rPr>
            </w:pPr>
            <w:r>
              <w:rPr>
                <w:rFonts w:eastAsia="Times New Roman" w:cs="Times New Roman"/>
                <w:color w:val="000000"/>
                <w:sz w:val="20"/>
                <w:szCs w:val="20"/>
              </w:rPr>
              <w:t>Sulina</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E7C3F3" w14:textId="77777777" w:rsidR="00A53D2B" w:rsidRDefault="00A53D2B" w:rsidP="008B1BFC">
            <w:pPr>
              <w:spacing w:before="0" w:after="0" w:line="240" w:lineRule="auto"/>
              <w:ind w:firstLine="35"/>
              <w:rPr>
                <w:rFonts w:eastAsia="Times New Roman" w:cs="Times New Roman"/>
                <w:sz w:val="20"/>
                <w:szCs w:val="20"/>
              </w:rPr>
            </w:pPr>
          </w:p>
        </w:tc>
        <w:tc>
          <w:tcPr>
            <w:tcW w:w="16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553F75" w14:textId="77777777" w:rsidR="00A53D2B" w:rsidRDefault="00A53D2B" w:rsidP="008B1BFC">
            <w:pPr>
              <w:spacing w:before="0" w:after="0" w:line="240" w:lineRule="auto"/>
              <w:ind w:firstLine="35"/>
              <w:rPr>
                <w:rFonts w:eastAsia="Times New Roman" w:cs="Times New Roman"/>
                <w:sz w:val="20"/>
                <w:szCs w:val="20"/>
              </w:rPr>
            </w:pPr>
          </w:p>
        </w:tc>
        <w:tc>
          <w:tcPr>
            <w:tcW w:w="15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7040D8" w14:textId="77777777" w:rsidR="00A53D2B" w:rsidRDefault="00A53D2B" w:rsidP="008B1BFC">
            <w:pPr>
              <w:spacing w:before="0" w:after="0" w:line="240" w:lineRule="auto"/>
              <w:ind w:firstLine="35"/>
              <w:rPr>
                <w:rFonts w:eastAsia="Times New Roman" w:cs="Times New Roman"/>
                <w:sz w:val="20"/>
                <w:szCs w:val="20"/>
              </w:rPr>
            </w:pPr>
            <w:r>
              <w:rPr>
                <w:rFonts w:eastAsia="Times New Roman" w:cs="Times New Roman"/>
                <w:color w:val="000000"/>
                <w:sz w:val="20"/>
                <w:szCs w:val="20"/>
              </w:rPr>
              <w:t>0,0093</w:t>
            </w:r>
          </w:p>
        </w:tc>
        <w:tc>
          <w:tcPr>
            <w:tcW w:w="50" w:type="dxa"/>
            <w:vAlign w:val="center"/>
          </w:tcPr>
          <w:p w14:paraId="79749A66" w14:textId="77777777" w:rsidR="00A53D2B" w:rsidRDefault="00A53D2B" w:rsidP="008B1BFC">
            <w:pPr>
              <w:spacing w:before="0" w:after="0" w:line="240" w:lineRule="auto"/>
              <w:rPr>
                <w:rFonts w:eastAsia="Times New Roman" w:cs="Times New Roman"/>
                <w:sz w:val="20"/>
                <w:szCs w:val="20"/>
              </w:rPr>
            </w:pPr>
          </w:p>
        </w:tc>
      </w:tr>
      <w:tr w:rsidR="00A53D2B" w14:paraId="426320A4" w14:textId="77777777" w:rsidTr="008B1BFC">
        <w:trPr>
          <w:trHeight w:val="327"/>
          <w:jc w:val="center"/>
        </w:trPr>
        <w:tc>
          <w:tcPr>
            <w:tcW w:w="699"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3649F7" w14:textId="77777777" w:rsidR="00A53D2B" w:rsidRDefault="00A53D2B" w:rsidP="008B1BFC">
            <w:pPr>
              <w:widowControl w:val="0"/>
              <w:pBdr>
                <w:top w:val="nil"/>
                <w:left w:val="nil"/>
                <w:bottom w:val="nil"/>
                <w:right w:val="nil"/>
                <w:between w:val="nil"/>
              </w:pBdr>
              <w:spacing w:before="0" w:after="0"/>
              <w:rPr>
                <w:rFonts w:eastAsia="Times New Roman" w:cs="Times New Roman"/>
                <w:sz w:val="20"/>
                <w:szCs w:val="20"/>
              </w:rPr>
            </w:pP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C08D0E" w14:textId="77777777" w:rsidR="00A53D2B" w:rsidRDefault="00A53D2B" w:rsidP="008B1BFC">
            <w:pPr>
              <w:spacing w:before="0" w:after="0" w:line="240" w:lineRule="auto"/>
              <w:ind w:firstLine="35"/>
              <w:rPr>
                <w:rFonts w:eastAsia="Times New Roman" w:cs="Times New Roman"/>
                <w:sz w:val="20"/>
                <w:szCs w:val="20"/>
              </w:rPr>
            </w:pPr>
            <w:r>
              <w:rPr>
                <w:rFonts w:eastAsia="Times New Roman" w:cs="Times New Roman"/>
                <w:color w:val="000000"/>
                <w:sz w:val="20"/>
                <w:szCs w:val="20"/>
              </w:rPr>
              <w:t>Jurilovca</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F02388" w14:textId="77777777" w:rsidR="00A53D2B" w:rsidRDefault="00A53D2B" w:rsidP="008B1BFC">
            <w:pPr>
              <w:spacing w:before="0" w:after="0" w:line="240" w:lineRule="auto"/>
              <w:ind w:firstLine="35"/>
              <w:rPr>
                <w:rFonts w:eastAsia="Times New Roman" w:cs="Times New Roman"/>
                <w:sz w:val="20"/>
                <w:szCs w:val="20"/>
              </w:rPr>
            </w:pPr>
            <w:r>
              <w:rPr>
                <w:rFonts w:eastAsia="Times New Roman" w:cs="Times New Roman"/>
                <w:color w:val="000000"/>
                <w:sz w:val="20"/>
                <w:szCs w:val="20"/>
              </w:rPr>
              <w:t>0,0023</w:t>
            </w:r>
          </w:p>
        </w:tc>
        <w:tc>
          <w:tcPr>
            <w:tcW w:w="16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900340" w14:textId="77777777" w:rsidR="00A53D2B" w:rsidRDefault="00A53D2B" w:rsidP="008B1BFC">
            <w:pPr>
              <w:spacing w:before="0" w:after="0" w:line="240" w:lineRule="auto"/>
              <w:ind w:firstLine="35"/>
              <w:rPr>
                <w:rFonts w:eastAsia="Times New Roman" w:cs="Times New Roman"/>
                <w:sz w:val="20"/>
                <w:szCs w:val="20"/>
              </w:rPr>
            </w:pPr>
            <w:r>
              <w:rPr>
                <w:rFonts w:eastAsia="Times New Roman" w:cs="Times New Roman"/>
                <w:color w:val="000000"/>
                <w:sz w:val="20"/>
                <w:szCs w:val="20"/>
              </w:rPr>
              <w:t>0,0002</w:t>
            </w:r>
          </w:p>
        </w:tc>
        <w:tc>
          <w:tcPr>
            <w:tcW w:w="15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D9AF5A" w14:textId="77777777" w:rsidR="00A53D2B" w:rsidRDefault="00A53D2B" w:rsidP="008B1BFC">
            <w:pPr>
              <w:spacing w:before="0" w:after="0" w:line="240" w:lineRule="auto"/>
              <w:ind w:firstLine="35"/>
              <w:rPr>
                <w:rFonts w:eastAsia="Times New Roman" w:cs="Times New Roman"/>
                <w:sz w:val="20"/>
                <w:szCs w:val="20"/>
              </w:rPr>
            </w:pPr>
            <w:r>
              <w:rPr>
                <w:rFonts w:eastAsia="Times New Roman" w:cs="Times New Roman"/>
                <w:color w:val="000000"/>
                <w:sz w:val="20"/>
                <w:szCs w:val="20"/>
              </w:rPr>
              <w:t>0,0017</w:t>
            </w:r>
          </w:p>
        </w:tc>
        <w:tc>
          <w:tcPr>
            <w:tcW w:w="50" w:type="dxa"/>
            <w:vAlign w:val="center"/>
          </w:tcPr>
          <w:p w14:paraId="3E28E843" w14:textId="77777777" w:rsidR="00A53D2B" w:rsidRDefault="00A53D2B" w:rsidP="008B1BFC">
            <w:pPr>
              <w:spacing w:before="0" w:after="0" w:line="240" w:lineRule="auto"/>
              <w:rPr>
                <w:rFonts w:eastAsia="Times New Roman" w:cs="Times New Roman"/>
                <w:sz w:val="20"/>
                <w:szCs w:val="20"/>
              </w:rPr>
            </w:pPr>
          </w:p>
        </w:tc>
      </w:tr>
    </w:tbl>
    <w:p w14:paraId="6FE8064C" w14:textId="77777777" w:rsidR="00A53D2B" w:rsidRDefault="00A53D2B" w:rsidP="008B1BFC">
      <w:pPr>
        <w:spacing w:before="0"/>
      </w:pPr>
    </w:p>
    <w:p w14:paraId="33467FD4" w14:textId="77777777" w:rsidR="00A53D2B" w:rsidRDefault="00A53D2B" w:rsidP="008B1BFC">
      <w:pPr>
        <w:shd w:val="clear" w:color="auto" w:fill="FFFFFF"/>
        <w:spacing w:before="0"/>
        <w:ind w:firstLine="567"/>
        <w:rPr>
          <w:rFonts w:eastAsia="Times New Roman" w:cs="Times New Roman"/>
          <w:color w:val="000000"/>
        </w:rPr>
      </w:pPr>
      <w:r>
        <w:rPr>
          <w:rFonts w:eastAsia="Times New Roman" w:cs="Times New Roman"/>
          <w:color w:val="000000"/>
        </w:rPr>
        <w:t xml:space="preserve">Lacurile din nordul zonei costiere au fost afectate semnificativ de procesul de eutrofizare în ultimii 15-20 ani, fapt ce a dus la modificarea radicală a structurilor biotice. Astfel, cea mai importantă modificare o constituie restrângerea până la dispariţie (în unele cazuri) a macrofitelor submerse şi, uneori, şi emerse, care constituiau habitatul unui număr important de organisme începând cu bacteriile epifite, alge epifite (perifitonul), numeroase nevertebrate şi terminând cu ihtiofauna. Accelerarea procesului de eutrofizare se datorează aportului de nutrienţi (azot şi fosfor) din apele Dunării, a cantităţilor provenite din chimizarea agriculturii autohtone, din heleștee. </w:t>
      </w:r>
    </w:p>
    <w:p w14:paraId="32A2C959" w14:textId="77777777" w:rsidR="00A53D2B" w:rsidRDefault="00A53D2B" w:rsidP="008B1BFC">
      <w:pPr>
        <w:shd w:val="clear" w:color="auto" w:fill="FFFFFF"/>
        <w:spacing w:before="0"/>
        <w:ind w:firstLine="567"/>
        <w:rPr>
          <w:rFonts w:eastAsia="Times New Roman" w:cs="Times New Roman"/>
        </w:rPr>
      </w:pPr>
      <w:r>
        <w:rPr>
          <w:rFonts w:eastAsia="Times New Roman" w:cs="Times New Roman"/>
          <w:color w:val="000000"/>
        </w:rPr>
        <w:t xml:space="preserve">De asemenea, dezvoltarea excesivă a fitoplanctonului a condus la intensificarea procesului de dezoxigenare (favorizat și de colmatarea lacurilor, canalelor), oxigenul dizolvat în apă fiind consumat rapid în procesul de descompunere oxidativă a materiei organice (celule de fitoplancton, etc.), cu implicații negative pentru pescuit, acvacultură și turism. </w:t>
      </w:r>
    </w:p>
    <w:p w14:paraId="2A13334D" w14:textId="77777777" w:rsidR="00A53D2B" w:rsidRDefault="00A53D2B" w:rsidP="008B1BFC">
      <w:pPr>
        <w:spacing w:before="0"/>
        <w:ind w:firstLine="567"/>
        <w:rPr>
          <w:rFonts w:eastAsia="Times New Roman" w:cs="Times New Roman"/>
        </w:rPr>
      </w:pPr>
      <w:r>
        <w:rPr>
          <w:rFonts w:eastAsia="Times New Roman" w:cs="Times New Roman"/>
          <w:color w:val="000000"/>
        </w:rPr>
        <w:t>În partea de sud a zonei costiere, poluarea lacurilor litorale cu substanțe cu azot și fosfor este generată de activitățile agricole (în proximitatea lacurilor Techirghiol, Tașaul, Corbu, Siutghiol, Mangalia, etc.), de apele uzate neepurate (sau epurate insuficient) provenite de la gospodării din jurul lacurilor și deversate în lacuri constituie, precum și depozitarea deșeurilor în zone neamenajate din proximitatea lacurilor constituie surse de contaminare a acestora.</w:t>
      </w:r>
    </w:p>
    <w:p w14:paraId="3DA3CDE4" w14:textId="77777777" w:rsidR="00A53D2B" w:rsidRDefault="00A53D2B" w:rsidP="00A53D2B">
      <w:pPr>
        <w:shd w:val="clear" w:color="auto" w:fill="FFFFFF"/>
        <w:rPr>
          <w:rFonts w:eastAsia="Times New Roman" w:cs="Times New Roman"/>
          <w:u w:val="single"/>
        </w:rPr>
      </w:pPr>
      <w:r>
        <w:rPr>
          <w:rFonts w:eastAsia="Times New Roman" w:cs="Times New Roman"/>
          <w:i/>
          <w:color w:val="000000"/>
          <w:u w:val="single"/>
        </w:rPr>
        <w:t>Ape subterane</w:t>
      </w:r>
    </w:p>
    <w:p w14:paraId="501E7127" w14:textId="3F6DF1CA" w:rsidR="00A53D2B" w:rsidRDefault="00A53D2B" w:rsidP="00A53D2B">
      <w:pPr>
        <w:ind w:firstLine="567"/>
        <w:rPr>
          <w:rFonts w:eastAsia="Times New Roman" w:cs="Times New Roman"/>
        </w:rPr>
      </w:pPr>
      <w:r>
        <w:rPr>
          <w:rFonts w:eastAsia="Times New Roman" w:cs="Times New Roman"/>
          <w:color w:val="000000"/>
          <w:highlight w:val="white"/>
        </w:rPr>
        <w:t xml:space="preserve">Introducere de compuși cu azot și fosfor în corpurile de apă subterană este determinată, în principal, de activitățile agricole, prin utilizarea necorespunzătoare a fertilizatorilor sintetici, a îngrășămintelor naturale, lipsa sistemelor de colectare a dejecțiilor, depozite neconforme de fertilizatori, etc, precum și de aglomerări umane fără sisteme de colectare şi staţii de epurare a apelor uzate. În Tabelul </w:t>
      </w:r>
      <w:r w:rsidR="008B1BFC">
        <w:rPr>
          <w:rFonts w:eastAsia="Times New Roman" w:cs="Times New Roman"/>
          <w:color w:val="000000"/>
          <w:highlight w:val="white"/>
        </w:rPr>
        <w:t>2.</w:t>
      </w:r>
      <w:r>
        <w:rPr>
          <w:rFonts w:eastAsia="Times New Roman" w:cs="Times New Roman"/>
          <w:color w:val="000000"/>
          <w:highlight w:val="white"/>
        </w:rPr>
        <w:t>4.2.2.1 sunt evidențiate activitățile economice ce au impact asupra calității fiecărui corp de apă subterană din zona de studiu, precum și gradul de protecție globală al acestora. Se remarcă un grad de protecție nesatisfăcătoare în cazul corpului RODL08 - Casimcea, acesta fiind expus poluării determinate de activitățile agricole.</w:t>
      </w:r>
    </w:p>
    <w:p w14:paraId="3AE7D064" w14:textId="77777777" w:rsidR="00A53D2B" w:rsidRDefault="00A53D2B" w:rsidP="008B1BFC">
      <w:pPr>
        <w:pStyle w:val="Heading5"/>
        <w:spacing w:before="0" w:after="120"/>
        <w:rPr>
          <w:b w:val="0"/>
          <w:i w:val="0"/>
        </w:rPr>
      </w:pPr>
      <w:r>
        <w:rPr>
          <w:b w:val="0"/>
          <w:i w:val="0"/>
        </w:rPr>
        <w:t>Soluri </w:t>
      </w:r>
    </w:p>
    <w:p w14:paraId="6A326364" w14:textId="77777777" w:rsidR="00A53D2B" w:rsidRDefault="00A53D2B" w:rsidP="008B1BFC">
      <w:pPr>
        <w:spacing w:before="0"/>
        <w:ind w:firstLine="567"/>
        <w:rPr>
          <w:rFonts w:eastAsia="Times New Roman" w:cs="Times New Roman"/>
        </w:rPr>
      </w:pPr>
      <w:r>
        <w:rPr>
          <w:rFonts w:eastAsia="Times New Roman" w:cs="Times New Roman"/>
          <w:color w:val="000000"/>
        </w:rPr>
        <w:t xml:space="preserve">Pentru solurile din zona costieră introducerea de materie organică și substanțe cu P și N, ca și presiune antropică, se realizează tot prin intermediul agriculturii, aportul cel mai important </w:t>
      </w:r>
      <w:r>
        <w:rPr>
          <w:rFonts w:eastAsia="Times New Roman" w:cs="Times New Roman"/>
          <w:color w:val="000000"/>
        </w:rPr>
        <w:lastRenderedPageBreak/>
        <w:t>avându-l în acest caz substanțele fertilizante utilizate pentru susținerea și creșterea producției agricole.</w:t>
      </w:r>
    </w:p>
    <w:p w14:paraId="2A1BF614" w14:textId="4A4839FD" w:rsidR="00A53D2B" w:rsidRDefault="00A53D2B" w:rsidP="008B1BFC">
      <w:pPr>
        <w:spacing w:before="0"/>
        <w:ind w:firstLine="567"/>
        <w:rPr>
          <w:rFonts w:eastAsia="Times New Roman" w:cs="Times New Roman"/>
        </w:rPr>
      </w:pPr>
      <w:r>
        <w:rPr>
          <w:rFonts w:eastAsia="Times New Roman" w:cs="Times New Roman"/>
          <w:color w:val="000000"/>
        </w:rPr>
        <w:t xml:space="preserve">Datele disponibile pentru ultimii 5 ani referitoare la cantitatea de îngrășăminte chimice și naturale utilizate pentru județele Constanța și Tulcea, arată, în cazul îngrășămintelor cu azot o tendință ușor descrescătoare pentru județul Constanța și una ușor crescătoare pentru județul Tulcea (Tabel </w:t>
      </w:r>
      <w:r w:rsidR="008B1BFC">
        <w:rPr>
          <w:rFonts w:eastAsia="Times New Roman" w:cs="Times New Roman"/>
          <w:color w:val="000000"/>
        </w:rPr>
        <w:t>2.</w:t>
      </w:r>
      <w:r>
        <w:rPr>
          <w:rFonts w:eastAsia="Times New Roman" w:cs="Times New Roman"/>
          <w:color w:val="000000"/>
        </w:rPr>
        <w:t xml:space="preserve">5.2.14). Utilizarea îngrășămintelor pe bază de fosfor arată tendințe descrescătoare în ambele județe (Tabel </w:t>
      </w:r>
      <w:r w:rsidR="008B1BFC">
        <w:rPr>
          <w:rFonts w:eastAsia="Times New Roman" w:cs="Times New Roman"/>
          <w:color w:val="000000"/>
        </w:rPr>
        <w:t>2.</w:t>
      </w:r>
      <w:r>
        <w:rPr>
          <w:rFonts w:eastAsia="Times New Roman" w:cs="Times New Roman"/>
          <w:color w:val="000000"/>
        </w:rPr>
        <w:t xml:space="preserve">5.2.14). </w:t>
      </w:r>
    </w:p>
    <w:p w14:paraId="0DBC35AF" w14:textId="77777777" w:rsidR="00A53D2B" w:rsidRDefault="00A53D2B" w:rsidP="00A53D2B">
      <w:pPr>
        <w:rPr>
          <w:rFonts w:eastAsia="Times New Roman" w:cs="Times New Roman"/>
          <w:b/>
          <w:color w:val="000000"/>
        </w:rPr>
      </w:pPr>
    </w:p>
    <w:p w14:paraId="08643AF1" w14:textId="4FE57DFE" w:rsidR="00A53D2B" w:rsidRDefault="00A53D2B" w:rsidP="00A53D2B">
      <w:pPr>
        <w:spacing w:after="0"/>
        <w:ind w:firstLine="567"/>
        <w:jc w:val="center"/>
        <w:rPr>
          <w:rFonts w:eastAsia="Times New Roman" w:cs="Times New Roman"/>
        </w:rPr>
      </w:pPr>
      <w:bookmarkStart w:id="135" w:name="_heading=h.1rvwp1q" w:colFirst="0" w:colLast="0"/>
      <w:bookmarkEnd w:id="135"/>
      <w:r>
        <w:rPr>
          <w:rFonts w:eastAsia="Times New Roman" w:cs="Times New Roman"/>
          <w:b/>
          <w:color w:val="000000"/>
        </w:rPr>
        <w:t xml:space="preserve">Tabel </w:t>
      </w:r>
      <w:r w:rsidR="008B1BFC">
        <w:rPr>
          <w:rFonts w:eastAsia="Times New Roman" w:cs="Times New Roman"/>
          <w:b/>
          <w:color w:val="000000"/>
        </w:rPr>
        <w:t>2.</w:t>
      </w:r>
      <w:r>
        <w:rPr>
          <w:rFonts w:eastAsia="Times New Roman" w:cs="Times New Roman"/>
          <w:b/>
          <w:color w:val="000000"/>
        </w:rPr>
        <w:t>5.2.14 Cantitatea de îngrășăminte pe bază de azot și fosfor folosite în agricultură la nivelul județelor Constanța și Tulcea, în tone substanță activă (sursa INSSE)</w:t>
      </w:r>
    </w:p>
    <w:tbl>
      <w:tblPr>
        <w:tblW w:w="8753" w:type="dxa"/>
        <w:tblLayout w:type="fixed"/>
        <w:tblLook w:val="0400" w:firstRow="0" w:lastRow="0" w:firstColumn="0" w:lastColumn="0" w:noHBand="0" w:noVBand="1"/>
      </w:tblPr>
      <w:tblGrid>
        <w:gridCol w:w="1568"/>
        <w:gridCol w:w="1156"/>
        <w:gridCol w:w="1217"/>
        <w:gridCol w:w="1209"/>
        <w:gridCol w:w="1207"/>
        <w:gridCol w:w="1208"/>
        <w:gridCol w:w="1188"/>
      </w:tblGrid>
      <w:tr w:rsidR="00A53D2B" w14:paraId="2FD8F7B3" w14:textId="77777777" w:rsidTr="008B1BFC">
        <w:trPr>
          <w:trHeight w:val="618"/>
        </w:trPr>
        <w:tc>
          <w:tcPr>
            <w:tcW w:w="15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35E427"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b/>
                <w:color w:val="000000"/>
                <w:sz w:val="20"/>
                <w:szCs w:val="20"/>
              </w:rPr>
              <w:t xml:space="preserve">Categorii de îngrășăminte </w:t>
            </w:r>
          </w:p>
        </w:tc>
        <w:tc>
          <w:tcPr>
            <w:tcW w:w="11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7E7347" w14:textId="77777777" w:rsidR="00A53D2B" w:rsidRDefault="00A53D2B" w:rsidP="008B1BFC">
            <w:pPr>
              <w:spacing w:before="0" w:after="0" w:line="240" w:lineRule="auto"/>
              <w:ind w:firstLine="0"/>
              <w:jc w:val="center"/>
              <w:rPr>
                <w:rFonts w:eastAsia="Times New Roman" w:cs="Times New Roman"/>
                <w:sz w:val="20"/>
                <w:szCs w:val="20"/>
              </w:rPr>
            </w:pPr>
            <w:r>
              <w:rPr>
                <w:rFonts w:eastAsia="Times New Roman" w:cs="Times New Roman"/>
                <w:b/>
                <w:color w:val="000000"/>
                <w:sz w:val="20"/>
                <w:szCs w:val="20"/>
              </w:rPr>
              <w:t>Zona de referință</w:t>
            </w:r>
          </w:p>
        </w:tc>
        <w:tc>
          <w:tcPr>
            <w:tcW w:w="12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192CBC" w14:textId="77777777" w:rsidR="00A53D2B" w:rsidRDefault="00A53D2B" w:rsidP="008B1BFC">
            <w:pPr>
              <w:spacing w:before="0" w:after="0" w:line="240" w:lineRule="auto"/>
              <w:ind w:firstLine="143"/>
              <w:rPr>
                <w:rFonts w:eastAsia="Times New Roman" w:cs="Times New Roman"/>
                <w:sz w:val="20"/>
                <w:szCs w:val="20"/>
              </w:rPr>
            </w:pPr>
            <w:r>
              <w:rPr>
                <w:rFonts w:eastAsia="Times New Roman" w:cs="Times New Roman"/>
                <w:b/>
                <w:color w:val="000000"/>
                <w:sz w:val="20"/>
                <w:szCs w:val="20"/>
              </w:rPr>
              <w:t>Anul 2018 Tone s.a.</w:t>
            </w:r>
          </w:p>
        </w:tc>
        <w:tc>
          <w:tcPr>
            <w:tcW w:w="12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D5D5C7"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b/>
                <w:color w:val="000000"/>
                <w:sz w:val="20"/>
                <w:szCs w:val="20"/>
              </w:rPr>
              <w:t>Anul 2019 Tone s.a.</w:t>
            </w:r>
          </w:p>
        </w:tc>
        <w:tc>
          <w:tcPr>
            <w:tcW w:w="12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7716F2"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b/>
                <w:color w:val="000000"/>
                <w:sz w:val="20"/>
                <w:szCs w:val="20"/>
              </w:rPr>
              <w:t>Anul 2020 Tone s.a.</w:t>
            </w:r>
          </w:p>
        </w:tc>
        <w:tc>
          <w:tcPr>
            <w:tcW w:w="12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B83215" w14:textId="77777777" w:rsidR="00A53D2B" w:rsidRDefault="00A53D2B" w:rsidP="008B1BFC">
            <w:pPr>
              <w:spacing w:before="0" w:after="0" w:line="240" w:lineRule="auto"/>
              <w:ind w:firstLine="54"/>
              <w:rPr>
                <w:rFonts w:eastAsia="Times New Roman" w:cs="Times New Roman"/>
                <w:sz w:val="20"/>
                <w:szCs w:val="20"/>
              </w:rPr>
            </w:pPr>
            <w:r>
              <w:rPr>
                <w:rFonts w:eastAsia="Times New Roman" w:cs="Times New Roman"/>
                <w:b/>
                <w:color w:val="000000"/>
                <w:sz w:val="20"/>
                <w:szCs w:val="20"/>
              </w:rPr>
              <w:t>Anul 2021 Tone s.a.</w:t>
            </w:r>
          </w:p>
        </w:tc>
        <w:tc>
          <w:tcPr>
            <w:tcW w:w="11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662651" w14:textId="77777777" w:rsidR="00A53D2B" w:rsidRDefault="00A53D2B" w:rsidP="008B1BFC">
            <w:pPr>
              <w:spacing w:before="0" w:after="0" w:line="240" w:lineRule="auto"/>
              <w:ind w:firstLine="122"/>
              <w:rPr>
                <w:rFonts w:eastAsia="Times New Roman" w:cs="Times New Roman"/>
                <w:sz w:val="20"/>
                <w:szCs w:val="20"/>
              </w:rPr>
            </w:pPr>
            <w:r>
              <w:rPr>
                <w:rFonts w:eastAsia="Times New Roman" w:cs="Times New Roman"/>
                <w:b/>
                <w:color w:val="000000"/>
                <w:sz w:val="20"/>
                <w:szCs w:val="20"/>
              </w:rPr>
              <w:t>Anul 2022 Tone s.a.</w:t>
            </w:r>
          </w:p>
        </w:tc>
      </w:tr>
      <w:tr w:rsidR="00A53D2B" w14:paraId="65F23674" w14:textId="77777777" w:rsidTr="008B1BFC">
        <w:trPr>
          <w:trHeight w:val="333"/>
        </w:trPr>
        <w:tc>
          <w:tcPr>
            <w:tcW w:w="1568" w:type="dxa"/>
            <w:vMerge w:val="restart"/>
            <w:tcBorders>
              <w:top w:val="single" w:sz="8" w:space="0" w:color="000000"/>
              <w:left w:val="single" w:sz="8" w:space="0" w:color="000000"/>
              <w:right w:val="single" w:sz="8" w:space="0" w:color="000000"/>
            </w:tcBorders>
            <w:tcMar>
              <w:top w:w="100" w:type="dxa"/>
              <w:left w:w="100" w:type="dxa"/>
              <w:bottom w:w="100" w:type="dxa"/>
              <w:right w:w="100" w:type="dxa"/>
            </w:tcMar>
          </w:tcPr>
          <w:p w14:paraId="31A354B0"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b/>
                <w:color w:val="000000"/>
                <w:sz w:val="20"/>
                <w:szCs w:val="20"/>
              </w:rPr>
              <w:t>Azotoase</w:t>
            </w:r>
          </w:p>
        </w:tc>
        <w:tc>
          <w:tcPr>
            <w:tcW w:w="11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F4A26D"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Constanța</w:t>
            </w:r>
          </w:p>
        </w:tc>
        <w:tc>
          <w:tcPr>
            <w:tcW w:w="12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081C2C" w14:textId="77777777" w:rsidR="00A53D2B" w:rsidRDefault="00A53D2B" w:rsidP="008B1BFC">
            <w:pPr>
              <w:spacing w:before="0" w:after="0" w:line="240" w:lineRule="auto"/>
              <w:ind w:firstLine="143"/>
              <w:jc w:val="center"/>
              <w:rPr>
                <w:rFonts w:eastAsia="Times New Roman" w:cs="Times New Roman"/>
                <w:sz w:val="20"/>
                <w:szCs w:val="20"/>
              </w:rPr>
            </w:pPr>
            <w:r>
              <w:rPr>
                <w:rFonts w:eastAsia="Times New Roman" w:cs="Times New Roman"/>
                <w:color w:val="000000"/>
                <w:sz w:val="20"/>
                <w:szCs w:val="20"/>
              </w:rPr>
              <w:t>10120</w:t>
            </w:r>
          </w:p>
        </w:tc>
        <w:tc>
          <w:tcPr>
            <w:tcW w:w="12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2D7F07" w14:textId="77777777" w:rsidR="00A53D2B" w:rsidRDefault="00A53D2B" w:rsidP="008B1BFC">
            <w:pPr>
              <w:spacing w:before="0" w:after="0" w:line="240" w:lineRule="auto"/>
              <w:ind w:firstLine="0"/>
              <w:jc w:val="center"/>
              <w:rPr>
                <w:rFonts w:eastAsia="Times New Roman" w:cs="Times New Roman"/>
                <w:sz w:val="20"/>
                <w:szCs w:val="20"/>
              </w:rPr>
            </w:pPr>
            <w:r>
              <w:rPr>
                <w:rFonts w:eastAsia="Times New Roman" w:cs="Times New Roman"/>
                <w:color w:val="000000"/>
                <w:sz w:val="20"/>
                <w:szCs w:val="20"/>
              </w:rPr>
              <w:t>8200</w:t>
            </w:r>
          </w:p>
        </w:tc>
        <w:tc>
          <w:tcPr>
            <w:tcW w:w="12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6F0E7A" w14:textId="77777777" w:rsidR="00A53D2B" w:rsidRDefault="00A53D2B" w:rsidP="008B1BFC">
            <w:pPr>
              <w:spacing w:before="0" w:after="0" w:line="240" w:lineRule="auto"/>
              <w:ind w:firstLine="0"/>
              <w:jc w:val="center"/>
              <w:rPr>
                <w:rFonts w:eastAsia="Times New Roman" w:cs="Times New Roman"/>
                <w:sz w:val="20"/>
                <w:szCs w:val="20"/>
              </w:rPr>
            </w:pPr>
            <w:r>
              <w:rPr>
                <w:rFonts w:eastAsia="Times New Roman" w:cs="Times New Roman"/>
                <w:color w:val="000000"/>
                <w:sz w:val="20"/>
                <w:szCs w:val="20"/>
              </w:rPr>
              <w:t>14000</w:t>
            </w:r>
          </w:p>
        </w:tc>
        <w:tc>
          <w:tcPr>
            <w:tcW w:w="12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8B48FB" w14:textId="77777777" w:rsidR="00A53D2B" w:rsidRDefault="00A53D2B" w:rsidP="008B1BFC">
            <w:pPr>
              <w:spacing w:before="0" w:after="0" w:line="240" w:lineRule="auto"/>
              <w:ind w:firstLine="54"/>
              <w:jc w:val="center"/>
              <w:rPr>
                <w:rFonts w:eastAsia="Times New Roman" w:cs="Times New Roman"/>
                <w:sz w:val="20"/>
                <w:szCs w:val="20"/>
              </w:rPr>
            </w:pPr>
            <w:r>
              <w:rPr>
                <w:rFonts w:eastAsia="Times New Roman" w:cs="Times New Roman"/>
                <w:color w:val="000000"/>
                <w:sz w:val="20"/>
                <w:szCs w:val="20"/>
              </w:rPr>
              <w:t>14040</w:t>
            </w:r>
          </w:p>
        </w:tc>
        <w:tc>
          <w:tcPr>
            <w:tcW w:w="11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7BA193" w14:textId="77777777" w:rsidR="00A53D2B" w:rsidRDefault="00A53D2B" w:rsidP="008B1BFC">
            <w:pPr>
              <w:spacing w:before="0" w:after="0" w:line="240" w:lineRule="auto"/>
              <w:ind w:firstLine="122"/>
              <w:jc w:val="center"/>
              <w:rPr>
                <w:rFonts w:eastAsia="Times New Roman" w:cs="Times New Roman"/>
                <w:sz w:val="20"/>
                <w:szCs w:val="20"/>
              </w:rPr>
            </w:pPr>
            <w:r>
              <w:rPr>
                <w:rFonts w:eastAsia="Times New Roman" w:cs="Times New Roman"/>
                <w:color w:val="000000"/>
                <w:sz w:val="20"/>
                <w:szCs w:val="20"/>
              </w:rPr>
              <w:t>8200</w:t>
            </w:r>
          </w:p>
        </w:tc>
      </w:tr>
      <w:tr w:rsidR="00A53D2B" w14:paraId="47D9B2C5" w14:textId="77777777" w:rsidTr="008B1BFC">
        <w:trPr>
          <w:trHeight w:val="213"/>
        </w:trPr>
        <w:tc>
          <w:tcPr>
            <w:tcW w:w="1568" w:type="dxa"/>
            <w:vMerge/>
            <w:tcBorders>
              <w:left w:val="single" w:sz="8" w:space="0" w:color="000000"/>
              <w:bottom w:val="single" w:sz="8" w:space="0" w:color="000000"/>
              <w:right w:val="single" w:sz="8" w:space="0" w:color="000000"/>
            </w:tcBorders>
            <w:tcMar>
              <w:top w:w="100" w:type="dxa"/>
              <w:left w:w="100" w:type="dxa"/>
              <w:bottom w:w="100" w:type="dxa"/>
              <w:right w:w="100" w:type="dxa"/>
            </w:tcMar>
          </w:tcPr>
          <w:p w14:paraId="181FE6DF" w14:textId="77777777" w:rsidR="00A53D2B" w:rsidRDefault="00A53D2B" w:rsidP="008B1BFC">
            <w:pPr>
              <w:spacing w:before="0" w:after="0" w:line="240" w:lineRule="auto"/>
              <w:ind w:firstLine="0"/>
              <w:rPr>
                <w:rFonts w:eastAsia="Times New Roman" w:cs="Times New Roman"/>
                <w:sz w:val="20"/>
                <w:szCs w:val="20"/>
              </w:rPr>
            </w:pPr>
          </w:p>
        </w:tc>
        <w:tc>
          <w:tcPr>
            <w:tcW w:w="11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E8AD9D"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Tulcea</w:t>
            </w:r>
          </w:p>
        </w:tc>
        <w:tc>
          <w:tcPr>
            <w:tcW w:w="12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592724" w14:textId="77777777" w:rsidR="00A53D2B" w:rsidRDefault="00A53D2B" w:rsidP="008B1BFC">
            <w:pPr>
              <w:spacing w:before="0" w:after="0" w:line="240" w:lineRule="auto"/>
              <w:ind w:firstLine="143"/>
              <w:jc w:val="center"/>
              <w:rPr>
                <w:rFonts w:eastAsia="Times New Roman" w:cs="Times New Roman"/>
                <w:sz w:val="20"/>
                <w:szCs w:val="20"/>
              </w:rPr>
            </w:pPr>
            <w:r>
              <w:rPr>
                <w:rFonts w:eastAsia="Times New Roman" w:cs="Times New Roman"/>
                <w:color w:val="000000"/>
                <w:sz w:val="20"/>
                <w:szCs w:val="20"/>
              </w:rPr>
              <w:t>2188</w:t>
            </w:r>
          </w:p>
        </w:tc>
        <w:tc>
          <w:tcPr>
            <w:tcW w:w="12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3F7861" w14:textId="77777777" w:rsidR="00A53D2B" w:rsidRDefault="00A53D2B" w:rsidP="008B1BFC">
            <w:pPr>
              <w:spacing w:before="0" w:after="0" w:line="240" w:lineRule="auto"/>
              <w:ind w:firstLine="0"/>
              <w:jc w:val="center"/>
              <w:rPr>
                <w:rFonts w:eastAsia="Times New Roman" w:cs="Times New Roman"/>
                <w:sz w:val="20"/>
                <w:szCs w:val="20"/>
              </w:rPr>
            </w:pPr>
            <w:r>
              <w:rPr>
                <w:rFonts w:eastAsia="Times New Roman" w:cs="Times New Roman"/>
                <w:color w:val="000000"/>
                <w:sz w:val="20"/>
                <w:szCs w:val="20"/>
              </w:rPr>
              <w:t>2092</w:t>
            </w:r>
          </w:p>
        </w:tc>
        <w:tc>
          <w:tcPr>
            <w:tcW w:w="12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F9F515" w14:textId="77777777" w:rsidR="00A53D2B" w:rsidRDefault="00A53D2B" w:rsidP="008B1BFC">
            <w:pPr>
              <w:spacing w:before="0" w:after="0" w:line="240" w:lineRule="auto"/>
              <w:ind w:firstLine="0"/>
              <w:jc w:val="center"/>
              <w:rPr>
                <w:rFonts w:eastAsia="Times New Roman" w:cs="Times New Roman"/>
                <w:sz w:val="20"/>
                <w:szCs w:val="20"/>
              </w:rPr>
            </w:pPr>
            <w:r>
              <w:rPr>
                <w:rFonts w:eastAsia="Times New Roman" w:cs="Times New Roman"/>
                <w:color w:val="000000"/>
                <w:sz w:val="20"/>
                <w:szCs w:val="20"/>
              </w:rPr>
              <w:t>1255</w:t>
            </w:r>
          </w:p>
        </w:tc>
        <w:tc>
          <w:tcPr>
            <w:tcW w:w="12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3C0A49" w14:textId="77777777" w:rsidR="00A53D2B" w:rsidRDefault="00A53D2B" w:rsidP="008B1BFC">
            <w:pPr>
              <w:spacing w:before="0" w:after="0" w:line="240" w:lineRule="auto"/>
              <w:ind w:firstLine="54"/>
              <w:jc w:val="center"/>
              <w:rPr>
                <w:rFonts w:eastAsia="Times New Roman" w:cs="Times New Roman"/>
                <w:sz w:val="20"/>
                <w:szCs w:val="20"/>
              </w:rPr>
            </w:pPr>
            <w:r>
              <w:rPr>
                <w:rFonts w:eastAsia="Times New Roman" w:cs="Times New Roman"/>
                <w:color w:val="000000"/>
                <w:sz w:val="20"/>
                <w:szCs w:val="20"/>
              </w:rPr>
              <w:t>3528</w:t>
            </w:r>
          </w:p>
        </w:tc>
        <w:tc>
          <w:tcPr>
            <w:tcW w:w="11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635C53" w14:textId="77777777" w:rsidR="00A53D2B" w:rsidRDefault="00A53D2B" w:rsidP="008B1BFC">
            <w:pPr>
              <w:spacing w:before="0" w:after="0" w:line="240" w:lineRule="auto"/>
              <w:ind w:firstLine="122"/>
              <w:jc w:val="center"/>
              <w:rPr>
                <w:rFonts w:eastAsia="Times New Roman" w:cs="Times New Roman"/>
                <w:sz w:val="20"/>
                <w:szCs w:val="20"/>
              </w:rPr>
            </w:pPr>
            <w:r>
              <w:rPr>
                <w:rFonts w:eastAsia="Times New Roman" w:cs="Times New Roman"/>
                <w:color w:val="000000"/>
                <w:sz w:val="20"/>
                <w:szCs w:val="20"/>
              </w:rPr>
              <w:t>3218</w:t>
            </w:r>
          </w:p>
        </w:tc>
      </w:tr>
      <w:tr w:rsidR="00A53D2B" w14:paraId="3F37EFDC" w14:textId="77777777" w:rsidTr="008B1BFC">
        <w:trPr>
          <w:trHeight w:val="350"/>
        </w:trPr>
        <w:tc>
          <w:tcPr>
            <w:tcW w:w="1568" w:type="dxa"/>
            <w:vMerge w:val="restart"/>
            <w:tcBorders>
              <w:top w:val="single" w:sz="8" w:space="0" w:color="000000"/>
              <w:left w:val="single" w:sz="8" w:space="0" w:color="000000"/>
              <w:right w:val="single" w:sz="8" w:space="0" w:color="000000"/>
            </w:tcBorders>
            <w:tcMar>
              <w:top w:w="100" w:type="dxa"/>
              <w:left w:w="100" w:type="dxa"/>
              <w:bottom w:w="100" w:type="dxa"/>
              <w:right w:w="100" w:type="dxa"/>
            </w:tcMar>
          </w:tcPr>
          <w:p w14:paraId="05AC0883"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b/>
                <w:color w:val="000000"/>
                <w:sz w:val="20"/>
                <w:szCs w:val="20"/>
              </w:rPr>
              <w:t>Fosfatice</w:t>
            </w:r>
          </w:p>
        </w:tc>
        <w:tc>
          <w:tcPr>
            <w:tcW w:w="11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CF2E02"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Constanța</w:t>
            </w:r>
          </w:p>
        </w:tc>
        <w:tc>
          <w:tcPr>
            <w:tcW w:w="12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24C0D8" w14:textId="77777777" w:rsidR="00A53D2B" w:rsidRDefault="00A53D2B" w:rsidP="008B1BFC">
            <w:pPr>
              <w:spacing w:before="0" w:after="0" w:line="240" w:lineRule="auto"/>
              <w:ind w:firstLine="143"/>
              <w:jc w:val="center"/>
              <w:rPr>
                <w:rFonts w:eastAsia="Times New Roman" w:cs="Times New Roman"/>
                <w:sz w:val="20"/>
                <w:szCs w:val="20"/>
              </w:rPr>
            </w:pPr>
            <w:r>
              <w:rPr>
                <w:rFonts w:eastAsia="Times New Roman" w:cs="Times New Roman"/>
                <w:color w:val="000000"/>
                <w:sz w:val="20"/>
                <w:szCs w:val="20"/>
              </w:rPr>
              <w:t>4600</w:t>
            </w:r>
          </w:p>
        </w:tc>
        <w:tc>
          <w:tcPr>
            <w:tcW w:w="12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06E833" w14:textId="77777777" w:rsidR="00A53D2B" w:rsidRDefault="00A53D2B" w:rsidP="008B1BFC">
            <w:pPr>
              <w:spacing w:before="0" w:after="0" w:line="240" w:lineRule="auto"/>
              <w:ind w:firstLine="0"/>
              <w:jc w:val="center"/>
              <w:rPr>
                <w:rFonts w:eastAsia="Times New Roman" w:cs="Times New Roman"/>
                <w:sz w:val="20"/>
                <w:szCs w:val="20"/>
              </w:rPr>
            </w:pPr>
            <w:r>
              <w:rPr>
                <w:rFonts w:eastAsia="Times New Roman" w:cs="Times New Roman"/>
                <w:color w:val="000000"/>
                <w:sz w:val="20"/>
                <w:szCs w:val="20"/>
              </w:rPr>
              <w:t>3400</w:t>
            </w:r>
          </w:p>
        </w:tc>
        <w:tc>
          <w:tcPr>
            <w:tcW w:w="12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06BC2D" w14:textId="77777777" w:rsidR="00A53D2B" w:rsidRDefault="00A53D2B" w:rsidP="008B1BFC">
            <w:pPr>
              <w:spacing w:before="0" w:after="0" w:line="240" w:lineRule="auto"/>
              <w:ind w:firstLine="0"/>
              <w:jc w:val="center"/>
              <w:rPr>
                <w:rFonts w:eastAsia="Times New Roman" w:cs="Times New Roman"/>
                <w:sz w:val="20"/>
                <w:szCs w:val="20"/>
              </w:rPr>
            </w:pPr>
            <w:r>
              <w:rPr>
                <w:rFonts w:eastAsia="Times New Roman" w:cs="Times New Roman"/>
                <w:color w:val="000000"/>
                <w:sz w:val="20"/>
                <w:szCs w:val="20"/>
              </w:rPr>
              <w:t>0</w:t>
            </w:r>
          </w:p>
        </w:tc>
        <w:tc>
          <w:tcPr>
            <w:tcW w:w="12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6DE768" w14:textId="77777777" w:rsidR="00A53D2B" w:rsidRDefault="00A53D2B" w:rsidP="008B1BFC">
            <w:pPr>
              <w:spacing w:before="0" w:after="0" w:line="240" w:lineRule="auto"/>
              <w:ind w:firstLine="54"/>
              <w:jc w:val="center"/>
              <w:rPr>
                <w:rFonts w:eastAsia="Times New Roman" w:cs="Times New Roman"/>
                <w:sz w:val="20"/>
                <w:szCs w:val="20"/>
              </w:rPr>
            </w:pPr>
            <w:r>
              <w:rPr>
                <w:rFonts w:eastAsia="Times New Roman" w:cs="Times New Roman"/>
                <w:color w:val="000000"/>
                <w:sz w:val="20"/>
                <w:szCs w:val="20"/>
              </w:rPr>
              <w:t>10800</w:t>
            </w:r>
          </w:p>
        </w:tc>
        <w:tc>
          <w:tcPr>
            <w:tcW w:w="11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53718B" w14:textId="77777777" w:rsidR="00A53D2B" w:rsidRDefault="00A53D2B" w:rsidP="008B1BFC">
            <w:pPr>
              <w:spacing w:before="0" w:after="0" w:line="240" w:lineRule="auto"/>
              <w:ind w:firstLine="122"/>
              <w:jc w:val="center"/>
              <w:rPr>
                <w:rFonts w:eastAsia="Times New Roman" w:cs="Times New Roman"/>
                <w:sz w:val="20"/>
                <w:szCs w:val="20"/>
              </w:rPr>
            </w:pPr>
            <w:r>
              <w:rPr>
                <w:rFonts w:eastAsia="Times New Roman" w:cs="Times New Roman"/>
                <w:color w:val="000000"/>
                <w:sz w:val="20"/>
                <w:szCs w:val="20"/>
              </w:rPr>
              <w:t>3400</w:t>
            </w:r>
          </w:p>
        </w:tc>
      </w:tr>
      <w:tr w:rsidR="00A53D2B" w14:paraId="65B5CFAD" w14:textId="77777777" w:rsidTr="008B1BFC">
        <w:trPr>
          <w:trHeight w:val="343"/>
        </w:trPr>
        <w:tc>
          <w:tcPr>
            <w:tcW w:w="1568" w:type="dxa"/>
            <w:vMerge/>
            <w:tcBorders>
              <w:left w:val="single" w:sz="8" w:space="0" w:color="000000"/>
              <w:bottom w:val="single" w:sz="8" w:space="0" w:color="000000"/>
              <w:right w:val="single" w:sz="8" w:space="0" w:color="000000"/>
            </w:tcBorders>
            <w:tcMar>
              <w:top w:w="100" w:type="dxa"/>
              <w:left w:w="100" w:type="dxa"/>
              <w:bottom w:w="100" w:type="dxa"/>
              <w:right w:w="100" w:type="dxa"/>
            </w:tcMar>
          </w:tcPr>
          <w:p w14:paraId="5FF9A941" w14:textId="77777777" w:rsidR="00A53D2B" w:rsidRDefault="00A53D2B" w:rsidP="008B1BFC">
            <w:pPr>
              <w:spacing w:before="0" w:after="0" w:line="240" w:lineRule="auto"/>
              <w:ind w:firstLine="177"/>
              <w:rPr>
                <w:rFonts w:eastAsia="Times New Roman" w:cs="Times New Roman"/>
                <w:sz w:val="20"/>
                <w:szCs w:val="20"/>
              </w:rPr>
            </w:pPr>
          </w:p>
        </w:tc>
        <w:tc>
          <w:tcPr>
            <w:tcW w:w="11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DF16C2" w14:textId="77777777" w:rsidR="00A53D2B" w:rsidRDefault="00A53D2B" w:rsidP="008B1BFC">
            <w:pPr>
              <w:spacing w:before="0" w:after="0" w:line="240" w:lineRule="auto"/>
              <w:ind w:firstLine="0"/>
              <w:rPr>
                <w:rFonts w:eastAsia="Times New Roman" w:cs="Times New Roman"/>
                <w:sz w:val="20"/>
                <w:szCs w:val="20"/>
              </w:rPr>
            </w:pPr>
            <w:r>
              <w:rPr>
                <w:rFonts w:eastAsia="Times New Roman" w:cs="Times New Roman"/>
                <w:color w:val="000000"/>
                <w:sz w:val="20"/>
                <w:szCs w:val="20"/>
              </w:rPr>
              <w:t>Tulcea</w:t>
            </w:r>
          </w:p>
        </w:tc>
        <w:tc>
          <w:tcPr>
            <w:tcW w:w="12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78B26C" w14:textId="77777777" w:rsidR="00A53D2B" w:rsidRDefault="00A53D2B" w:rsidP="008B1BFC">
            <w:pPr>
              <w:spacing w:before="0" w:after="0" w:line="240" w:lineRule="auto"/>
              <w:ind w:firstLine="143"/>
              <w:jc w:val="center"/>
              <w:rPr>
                <w:rFonts w:eastAsia="Times New Roman" w:cs="Times New Roman"/>
                <w:sz w:val="20"/>
                <w:szCs w:val="20"/>
              </w:rPr>
            </w:pPr>
            <w:r>
              <w:rPr>
                <w:rFonts w:eastAsia="Times New Roman" w:cs="Times New Roman"/>
                <w:color w:val="000000"/>
                <w:sz w:val="20"/>
                <w:szCs w:val="20"/>
              </w:rPr>
              <w:t>2173</w:t>
            </w:r>
          </w:p>
        </w:tc>
        <w:tc>
          <w:tcPr>
            <w:tcW w:w="12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619792" w14:textId="77777777" w:rsidR="00A53D2B" w:rsidRDefault="00A53D2B" w:rsidP="008B1BFC">
            <w:pPr>
              <w:spacing w:before="0" w:after="0" w:line="240" w:lineRule="auto"/>
              <w:ind w:firstLine="0"/>
              <w:jc w:val="center"/>
              <w:rPr>
                <w:rFonts w:eastAsia="Times New Roman" w:cs="Times New Roman"/>
                <w:sz w:val="20"/>
                <w:szCs w:val="20"/>
              </w:rPr>
            </w:pPr>
            <w:r>
              <w:rPr>
                <w:rFonts w:eastAsia="Times New Roman" w:cs="Times New Roman"/>
                <w:color w:val="000000"/>
                <w:sz w:val="20"/>
                <w:szCs w:val="20"/>
              </w:rPr>
              <w:t>2102</w:t>
            </w:r>
          </w:p>
        </w:tc>
        <w:tc>
          <w:tcPr>
            <w:tcW w:w="12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00C10A" w14:textId="77777777" w:rsidR="00A53D2B" w:rsidRDefault="00A53D2B" w:rsidP="008B1BFC">
            <w:pPr>
              <w:spacing w:before="0" w:after="0" w:line="240" w:lineRule="auto"/>
              <w:ind w:firstLine="0"/>
              <w:jc w:val="center"/>
              <w:rPr>
                <w:rFonts w:eastAsia="Times New Roman" w:cs="Times New Roman"/>
                <w:sz w:val="20"/>
                <w:szCs w:val="20"/>
              </w:rPr>
            </w:pPr>
            <w:r>
              <w:rPr>
                <w:rFonts w:eastAsia="Times New Roman" w:cs="Times New Roman"/>
                <w:color w:val="000000"/>
                <w:sz w:val="20"/>
                <w:szCs w:val="20"/>
              </w:rPr>
              <w:t>1261</w:t>
            </w:r>
          </w:p>
        </w:tc>
        <w:tc>
          <w:tcPr>
            <w:tcW w:w="12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FA5FFF" w14:textId="77777777" w:rsidR="00A53D2B" w:rsidRDefault="00A53D2B" w:rsidP="008B1BFC">
            <w:pPr>
              <w:spacing w:before="0" w:after="0" w:line="240" w:lineRule="auto"/>
              <w:ind w:firstLine="54"/>
              <w:jc w:val="center"/>
              <w:rPr>
                <w:rFonts w:eastAsia="Times New Roman" w:cs="Times New Roman"/>
                <w:sz w:val="20"/>
                <w:szCs w:val="20"/>
              </w:rPr>
            </w:pPr>
            <w:r>
              <w:rPr>
                <w:rFonts w:eastAsia="Times New Roman" w:cs="Times New Roman"/>
                <w:color w:val="000000"/>
                <w:sz w:val="20"/>
                <w:szCs w:val="20"/>
              </w:rPr>
              <w:t>1426</w:t>
            </w:r>
          </w:p>
        </w:tc>
        <w:tc>
          <w:tcPr>
            <w:tcW w:w="11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41786D" w14:textId="77777777" w:rsidR="00A53D2B" w:rsidRDefault="00A53D2B" w:rsidP="008B1BFC">
            <w:pPr>
              <w:spacing w:before="0" w:after="0" w:line="240" w:lineRule="auto"/>
              <w:ind w:firstLine="122"/>
              <w:jc w:val="center"/>
              <w:rPr>
                <w:rFonts w:eastAsia="Times New Roman" w:cs="Times New Roman"/>
                <w:sz w:val="20"/>
                <w:szCs w:val="20"/>
              </w:rPr>
            </w:pPr>
            <w:r>
              <w:rPr>
                <w:rFonts w:eastAsia="Times New Roman" w:cs="Times New Roman"/>
                <w:color w:val="000000"/>
                <w:sz w:val="20"/>
                <w:szCs w:val="20"/>
              </w:rPr>
              <w:t>1290</w:t>
            </w:r>
          </w:p>
        </w:tc>
      </w:tr>
    </w:tbl>
    <w:p w14:paraId="0AED1723" w14:textId="77777777" w:rsidR="00A53D2B" w:rsidRDefault="00A53D2B" w:rsidP="00A53D2B">
      <w:pPr>
        <w:rPr>
          <w:b/>
          <w:color w:val="000000"/>
        </w:rPr>
      </w:pPr>
    </w:p>
    <w:p w14:paraId="449D53C9" w14:textId="77777777" w:rsidR="00A53D2B" w:rsidRDefault="00A53D2B" w:rsidP="008B1BFC">
      <w:pPr>
        <w:spacing w:before="0"/>
        <w:rPr>
          <w:rFonts w:eastAsia="Times New Roman" w:cs="Times New Roman"/>
          <w:b/>
          <w:i/>
          <w:color w:val="000000"/>
        </w:rPr>
      </w:pPr>
      <w:r>
        <w:rPr>
          <w:rFonts w:eastAsia="Times New Roman" w:cs="Times New Roman"/>
          <w:b/>
          <w:i/>
          <w:color w:val="000000"/>
        </w:rPr>
        <w:t>Introducere de deșeuri (poluare cu deșeuri)</w:t>
      </w:r>
    </w:p>
    <w:p w14:paraId="62A41717" w14:textId="77777777" w:rsidR="00A53D2B" w:rsidRDefault="00A53D2B" w:rsidP="008B1BFC">
      <w:pPr>
        <w:spacing w:before="0"/>
        <w:ind w:firstLine="567"/>
        <w:rPr>
          <w:rFonts w:eastAsia="Times New Roman" w:cs="Times New Roman"/>
        </w:rPr>
      </w:pPr>
      <w:r>
        <w:rPr>
          <w:rFonts w:eastAsia="Times New Roman" w:cs="Times New Roman"/>
        </w:rPr>
        <w:t>În sectorul nordic al zonei costiere, principalele activități economice ce conduc la introducerea deșeurilor în mediu sunt turismul, transportul naval și dezvoltarea urbană. Referitor la transportul naval, în scopul limitării/evitarea poluării cu deșeuri, ARBDD a impus societăţilor deţinătoare de mijloace navale de transport, aplicarea recomandărilor POLDANUBE – 1986 la fluviu şi a Convenţiei MARPOL 73/78 de către navele maritime (Consiliul Județean Tulcea, 2021).</w:t>
      </w:r>
    </w:p>
    <w:p w14:paraId="4C16BBB9" w14:textId="77777777" w:rsidR="00A53D2B" w:rsidRDefault="00A53D2B" w:rsidP="008B1BFC">
      <w:pPr>
        <w:spacing w:before="0"/>
        <w:ind w:firstLine="567"/>
        <w:rPr>
          <w:rFonts w:eastAsia="Times New Roman" w:cs="Times New Roman"/>
        </w:rPr>
      </w:pPr>
      <w:r>
        <w:rPr>
          <w:rFonts w:eastAsia="Times New Roman" w:cs="Times New Roman"/>
        </w:rPr>
        <w:t>Analiza situaţiei salubrităţii localităţilor din mediul urban şi rural din RBDD a scos în evidenţă următoarele aspecte:</w:t>
      </w:r>
    </w:p>
    <w:p w14:paraId="1F2C9767" w14:textId="77777777" w:rsidR="00A53D2B" w:rsidRDefault="00A53D2B" w:rsidP="008B1BFC">
      <w:pPr>
        <w:spacing w:before="0"/>
        <w:ind w:firstLine="567"/>
        <w:rPr>
          <w:rFonts w:eastAsia="Times New Roman" w:cs="Times New Roman"/>
        </w:rPr>
      </w:pPr>
      <w:r>
        <w:rPr>
          <w:rFonts w:eastAsia="Times New Roman" w:cs="Times New Roman"/>
        </w:rPr>
        <w:t>- la nivelul gropilor de depozitare, deşeurile sunt depozitate direct pe sol, putând genera o poluare atât a solului, cât și a apelor subterane;</w:t>
      </w:r>
    </w:p>
    <w:p w14:paraId="0CB9132D" w14:textId="77777777" w:rsidR="00A53D2B" w:rsidRDefault="00A53D2B" w:rsidP="008B1BFC">
      <w:pPr>
        <w:spacing w:before="0"/>
        <w:ind w:firstLine="567"/>
        <w:rPr>
          <w:rFonts w:eastAsia="Times New Roman" w:cs="Times New Roman"/>
        </w:rPr>
      </w:pPr>
      <w:r>
        <w:rPr>
          <w:rFonts w:eastAsia="Times New Roman" w:cs="Times New Roman"/>
        </w:rPr>
        <w:t>- depozitele (gropile) de deşeuri sunt neîmprejmuite şi nu se efectuează la nivelul acestora acţiuni de combatere a insectelor şi a rozătoarelor, putând conduce la introducerea de patogeni în mediu, afectând starea de sănătate a faunei și, mai ales, a oamenilor;</w:t>
      </w:r>
    </w:p>
    <w:p w14:paraId="33216723" w14:textId="77777777" w:rsidR="00A53D2B" w:rsidRDefault="00A53D2B" w:rsidP="008B1BFC">
      <w:pPr>
        <w:spacing w:before="0"/>
        <w:ind w:firstLine="567"/>
        <w:rPr>
          <w:rFonts w:eastAsia="Times New Roman" w:cs="Times New Roman"/>
        </w:rPr>
      </w:pPr>
      <w:r>
        <w:rPr>
          <w:rFonts w:eastAsia="Times New Roman" w:cs="Times New Roman"/>
        </w:rPr>
        <w:t>- nu se efectuează spălarea şi dezinfectarea mijloacelor de transport şi a recipientelor de precolectare a reziduurilor la nivelul rampelor;</w:t>
      </w:r>
    </w:p>
    <w:p w14:paraId="237E6FA0" w14:textId="77777777" w:rsidR="00A53D2B" w:rsidRDefault="00A53D2B" w:rsidP="008B1BFC">
      <w:pPr>
        <w:spacing w:before="0"/>
        <w:ind w:firstLine="567"/>
        <w:rPr>
          <w:rFonts w:eastAsia="Times New Roman" w:cs="Times New Roman"/>
        </w:rPr>
      </w:pPr>
      <w:r>
        <w:rPr>
          <w:rFonts w:eastAsia="Times New Roman" w:cs="Times New Roman"/>
        </w:rPr>
        <w:t xml:space="preserve">- la nivelul localităţilor nu există platforme de gunoi betonate şi racordate la reţeaua de apă şi canalizare, pubelele fiind amplasate în locuri improvizate. Un alt aspect negativ este </w:t>
      </w:r>
      <w:r>
        <w:rPr>
          <w:rFonts w:eastAsia="Times New Roman" w:cs="Times New Roman"/>
        </w:rPr>
        <w:lastRenderedPageBreak/>
        <w:t>acela că multe materiale reciclabile sunt depozitate împreună cu cele nereciclabile fiind amestecate şi contaminate din punct de vedere chimic şi biologic, recuperarea lor fiind dificilă.</w:t>
      </w:r>
    </w:p>
    <w:p w14:paraId="448D12A9" w14:textId="77777777" w:rsidR="00A53D2B" w:rsidRDefault="00A53D2B" w:rsidP="008B1BFC">
      <w:pPr>
        <w:spacing w:before="0"/>
        <w:ind w:firstLine="567"/>
        <w:rPr>
          <w:rFonts w:eastAsia="Times New Roman" w:cs="Times New Roman"/>
        </w:rPr>
      </w:pPr>
      <w:r>
        <w:rPr>
          <w:rFonts w:eastAsia="Times New Roman" w:cs="Times New Roman"/>
        </w:rPr>
        <w:t>În partea sudică a zonei costiere, în mod firesc, cantitățile de deșeuri generate sunt semnificativ mai ridicate comparativ cu partea nordică, iar din punct de vedere sezonier, aceste cantități cresc semnificativ în perioada caldă (vârful sezonului turistic). Această presiune, respectiv introducerea de deșeuri, este generată în diferite proporții de toate activitățile economice ce se realizează în zona costieră. Cele mai importante activități ce contribuie la creșterea acestei presiuni sunt dezvoltarea urbană, turismul, industria, inclusiv activitățile portuare, pescuitul (prin abandonarea sau pierderea accidentală a uneltelor de pescuit) și transportul, în special naval. Referitor la acesta din urmă, mediile zilnice de reziduuri generate de navele care utilizează porturile maritime și pentru care trebuie asigurate capacității de preluare sunt: reziduuri petroliere - 24 tone/zi, ape uzate - 0,2 tone/zi, gunoi - 2 tone/zi și reziduuri de marfa - 4,4 tone/zi (CN APM, 2015). În ceea ce privește cea mai importantă unitate industrială din zona costieră, respectiv Rafinăria Petromidia și Uzina Chimică Năvodari, aceasta a implementat un sistem de colectare separată a deșeurilor menajere și a deșeurilor din procesul de producție. Sursele și fluxurile de deșeuri sunt identificate și monitorizate de la generare până la eliminarea finală/valorificarea acestora și în funcție de categoria de deșeuri, acestea sunt depozitate temporar în locații dedicate pentru eliminare/valorificare. Petromidia nu tratează deșeurile înainte de eliminare sau reciclare (doar colectează selectiv deșeurile în funcție de categorie și le depozitează temporar în locații dedicate, etichetate corespunzător înainte de a fi eliminate/reciclate). În 2021, 98,5 % din totalul deșeurilor care au părăsit platforma au fost trimise spre valorificare, restul, constituit în principal din deșeuri menajere, a fost trimise spre eliminare. În 2020, 93 % din totalul deșeurilor care au părăsit platforma au fost trimise spre valorificare, cele 7 % trimise la eliminare fiind în principal deșeuri menajere, sol contaminat, vată minerală contaminată, iar în 2019, 92 % din deșeuri au fost trimise spre valorificare, restul fiind eliminate.</w:t>
      </w:r>
    </w:p>
    <w:p w14:paraId="7311A672" w14:textId="77777777" w:rsidR="00A53D2B" w:rsidRDefault="00A53D2B" w:rsidP="008B1BFC">
      <w:pPr>
        <w:spacing w:before="0"/>
        <w:ind w:firstLine="567"/>
        <w:rPr>
          <w:rFonts w:eastAsia="Times New Roman" w:cs="Times New Roman"/>
        </w:rPr>
      </w:pPr>
      <w:r>
        <w:rPr>
          <w:rFonts w:eastAsia="Times New Roman" w:cs="Times New Roman"/>
        </w:rPr>
        <w:t xml:space="preserve">În anul 2021, cantitatea de deșeuri municipale colectată la nivelul județului Constanța, prin intermediul operatorilor de salubrizare a fost de 419.925 tone. Conform Raportului de stare a mediului 2021, elaborat de AJPM Constanța, 79,4 % din cantitatea totală de deșeuri municipale colectată de operatorii serviciului de salubrizare în 2021 este reprezentată de deșeurile menajere și asimilabile colectate de la populație și operatori economici, restul incluzând deșeurile din servicii municipale și deșeurile din construcții și desființări. Trebuie menţionat faptul că, în judeţul Constanța, colectarea deșeurilor municipale nu este generalizată; spre deosebire de zona urbană, unde gradul de colectare este de 100 %, zona rurală nu este acoperită în totalitate cu servicii de salubrizare (conform AJPM Constanța, circa 94 % din așezările rurale au fost acoperite de serviciile de salubrizare în 2021). Astfel, aceste deșeuri necolectate, împreună cu cele depozitate ilegal, constituie o presiune importantă asupra calității solurilor și apelor, peisajului, precum și biodiversității și habitatelor. </w:t>
      </w:r>
    </w:p>
    <w:p w14:paraId="072B6771" w14:textId="77777777" w:rsidR="00A53D2B" w:rsidRDefault="00A53D2B" w:rsidP="008B1BFC">
      <w:pPr>
        <w:spacing w:before="0"/>
        <w:ind w:firstLine="567"/>
        <w:rPr>
          <w:rFonts w:eastAsia="Times New Roman" w:cs="Times New Roman"/>
        </w:rPr>
      </w:pPr>
      <w:r>
        <w:rPr>
          <w:rFonts w:eastAsia="Times New Roman" w:cs="Times New Roman"/>
        </w:rPr>
        <w:t xml:space="preserve">În 2021, circa 69 % din cantitatea de deșeuri municipale colectată la nivelul județului Constanța a fost eliminată direct în depozite de deșeuri autorizate, restul de circa 30% reprezintă cantitatea de deșeuri supusă tratării în instalațiile de tratare deșeuri municipale (o </w:t>
      </w:r>
      <w:r>
        <w:rPr>
          <w:rFonts w:eastAsia="Times New Roman" w:cs="Times New Roman"/>
        </w:rPr>
        <w:lastRenderedPageBreak/>
        <w:t>parte din deșeurile rezultate din aceste activități sunt deșeuri reciclabile cu valorificare prin operatori autorizați).</w:t>
      </w:r>
    </w:p>
    <w:p w14:paraId="272C0FA0" w14:textId="2AED478C" w:rsidR="00A53D2B" w:rsidRDefault="00A53D2B" w:rsidP="00315099">
      <w:pPr>
        <w:spacing w:before="0"/>
        <w:ind w:firstLine="567"/>
        <w:rPr>
          <w:rFonts w:eastAsia="Times New Roman" w:cs="Times New Roman"/>
        </w:rPr>
      </w:pPr>
      <w:r>
        <w:rPr>
          <w:rFonts w:eastAsia="Times New Roman" w:cs="Times New Roman"/>
        </w:rPr>
        <w:t>În ciuda existenței a numeroase reglementări legislative (</w:t>
      </w:r>
      <w:r w:rsidR="00315099">
        <w:rPr>
          <w:rFonts w:eastAsia="Times New Roman" w:cs="Times New Roman"/>
        </w:rPr>
        <w:t>OUG 92/2021</w:t>
      </w:r>
      <w:r>
        <w:rPr>
          <w:rFonts w:eastAsia="Times New Roman" w:cs="Times New Roman"/>
        </w:rPr>
        <w:t xml:space="preserve"> privind regimul deșeurilor, Legea 181/2020 privind gestionarea deșeurilor nepericuloase compostabile, H.G. nr. 1061/2008 privind transportul deseurilor periculoase si nepericuloase pe teritoriul României, </w:t>
      </w:r>
      <w:r w:rsidR="00315099">
        <w:rPr>
          <w:rFonts w:eastAsia="Times New Roman" w:cs="Times New Roman"/>
        </w:rPr>
        <w:t xml:space="preserve">Ordonanța </w:t>
      </w:r>
      <w:r>
        <w:rPr>
          <w:rFonts w:eastAsia="Times New Roman" w:cs="Times New Roman"/>
        </w:rPr>
        <w:t xml:space="preserve">nr. </w:t>
      </w:r>
      <w:r w:rsidR="00315099">
        <w:rPr>
          <w:rFonts w:eastAsia="Times New Roman" w:cs="Times New Roman"/>
        </w:rPr>
        <w:t>2</w:t>
      </w:r>
      <w:r>
        <w:rPr>
          <w:rFonts w:eastAsia="Times New Roman" w:cs="Times New Roman"/>
        </w:rPr>
        <w:t>/20</w:t>
      </w:r>
      <w:r w:rsidR="00315099">
        <w:rPr>
          <w:rFonts w:eastAsia="Times New Roman" w:cs="Times New Roman"/>
        </w:rPr>
        <w:t>21</w:t>
      </w:r>
      <w:r>
        <w:rPr>
          <w:rFonts w:eastAsia="Times New Roman" w:cs="Times New Roman"/>
        </w:rPr>
        <w:t xml:space="preserve"> privind depozitarea deșeurilor, etc.), strategii și planuri de management a deșeurilor la nivel național (HG 870/2013 - Strategia Națională privind Gestionarea Deșeurilor, HG 942/2017 - Planul Național privind gestionarea deșeurilor) și local (Plan Județean de Gestionare a Deșeurilor Județul Constanța 2020-2025, Plan Județean de gestionare a Deșeurilor Județul Tulcea), problema introducerii deșeurilor în mediu încă persistă în zona costieră. În partea sudică a zonei costiere, gradul de conectare a populației la serviciile de salubrizare este peste 99 %, în timp ce în zona nordică, există 3 UAT-uri (Istria, Mihai Viteazu și Săcele) neconectate încă la serviciile de colectare și transport a deșeurilor municipale (conform Planului Județean de Gestionare a Deșeurilor Județul Constanța 2020-2025). În ciuda unui procent relativ ridicat de colectare și transfer a deșeurilor municipale la nivelul zonei costiere, există încă problema depozitării ilegale a deșeurilor, fapt “încurajat“ și de lipsa unui control strict și de aplicare a sancțiunilor din partea autorităților competente.</w:t>
      </w:r>
    </w:p>
    <w:p w14:paraId="60604218" w14:textId="77777777" w:rsidR="00A53D2B" w:rsidRDefault="00A53D2B" w:rsidP="008B1BFC">
      <w:pPr>
        <w:spacing w:before="0"/>
        <w:ind w:firstLine="567"/>
        <w:rPr>
          <w:rFonts w:eastAsia="Times New Roman" w:cs="Times New Roman"/>
        </w:rPr>
      </w:pPr>
      <w:r>
        <w:rPr>
          <w:rFonts w:eastAsia="Times New Roman" w:cs="Times New Roman"/>
        </w:rPr>
        <w:t xml:space="preserve">Tot legat de colectarea deșeurilor, este necesară și extinderea colectării separate a deșeurilor biodegradabile, precum și aplicarea de soluții ecologice pentru reducerea cantitatilor de deșeuri biodegradabile rezultate în mediul rural sau în zonele de case din mediul urban (așa numita compostare la domiciliu). </w:t>
      </w:r>
    </w:p>
    <w:p w14:paraId="67D46BCE" w14:textId="77777777" w:rsidR="00A53D2B" w:rsidRDefault="00A53D2B" w:rsidP="008B1BFC">
      <w:pPr>
        <w:spacing w:before="0"/>
        <w:ind w:firstLine="567"/>
        <w:rPr>
          <w:rFonts w:eastAsia="Times New Roman" w:cs="Times New Roman"/>
        </w:rPr>
      </w:pPr>
      <w:r>
        <w:rPr>
          <w:rFonts w:eastAsia="Times New Roman" w:cs="Times New Roman"/>
        </w:rPr>
        <w:t>O altă problemă legată de managementul deșeurilor se referă la procentul ridicat de deșeuri depozitate spre eliminare. Apare deci, necesitatea extinderii infrastructurii de tratare a deșeurilor (în special prin digestie anaerobă, tratarea termică generând emisii periculoase în atmosferă). În cazul deșeurilor provenite din construcții, este necesară întărirea controlului depozitării ilegale a acestora și, de asemenea, dezvoltarea infrastructurii de tratare pentru acest tip de deșeuri, care să asigure reutilizarea și reciclarea prin transformarea acestora în materiale sau materii secundare gata de utilizare.</w:t>
      </w:r>
    </w:p>
    <w:p w14:paraId="5B38BCEA" w14:textId="77777777" w:rsidR="00A53D2B" w:rsidRDefault="00A53D2B" w:rsidP="008B1BFC">
      <w:pPr>
        <w:spacing w:before="0"/>
        <w:ind w:firstLine="567"/>
        <w:rPr>
          <w:rFonts w:eastAsia="Times New Roman" w:cs="Times New Roman"/>
        </w:rPr>
      </w:pPr>
      <w:r>
        <w:rPr>
          <w:rFonts w:eastAsia="Times New Roman" w:cs="Times New Roman"/>
        </w:rPr>
        <w:t>În fine, principala cale de limitare a poluării cu deșeuri rămâne reducerea generării acestora, iar pentru realizarea acestui deziderat este nevoie de campanii de promovare a reducerii consumului, de promovare a soluțiilor ecologice de tratare a deșeurilor și/sau valorificare a unor tipuri de deșeuri, precum și de conștientizare a impactului deșeurilor de orice tip asupra mediului, sănătății și bunăstării populației, inclusiv în media.</w:t>
      </w:r>
    </w:p>
    <w:p w14:paraId="2AB4393F" w14:textId="77777777" w:rsidR="00A53D2B" w:rsidRDefault="00A53D2B" w:rsidP="008B1BFC">
      <w:pPr>
        <w:spacing w:before="0"/>
        <w:ind w:firstLine="567"/>
        <w:rPr>
          <w:rFonts w:eastAsia="Times New Roman" w:cs="Times New Roman"/>
          <w:i/>
        </w:rPr>
      </w:pPr>
      <w:r>
        <w:rPr>
          <w:rFonts w:eastAsia="Times New Roman" w:cs="Times New Roman"/>
          <w:i/>
        </w:rPr>
        <w:t>Deșeuri de pe plajă (beach litter)</w:t>
      </w:r>
    </w:p>
    <w:p w14:paraId="5F04F05D" w14:textId="77777777" w:rsidR="00A53D2B" w:rsidRDefault="00A53D2B" w:rsidP="008B1BFC">
      <w:pPr>
        <w:spacing w:before="0"/>
        <w:ind w:firstLine="567"/>
        <w:rPr>
          <w:rFonts w:eastAsia="Times New Roman" w:cs="Times New Roman"/>
        </w:rPr>
      </w:pPr>
      <w:r>
        <w:rPr>
          <w:rFonts w:eastAsia="Times New Roman" w:cs="Times New Roman"/>
        </w:rPr>
        <w:t xml:space="preserve">Deșeurile de pe plaje, provenite în cea mai mare parte din activitățile de turism și recreere, dar și din mediul marin, sunt evaluate pe baza metodologiei specificate de Ghidul de monitorizare a deșeurilor marine din mările europene elaborat de Grupul de experți tehnici pe deșeuri marine al Comisiei Europene (MSFD Technical Subgroup on Marine Litter, 2013) și a aplicației Marine Litter Watch App (https://www.eea.europa.eu/themes/water/europes-seas-and-coasts/assessments/marine-litterwatch) pe plajele Vadu, Maria Regia Beach (Mamaia Nord), Flora (zona Mamaia Sud) și Malibu (zona Mamaia Sud) (Boicenco și colab., 2022). </w:t>
      </w:r>
      <w:r>
        <w:rPr>
          <w:rFonts w:eastAsia="Times New Roman" w:cs="Times New Roman"/>
        </w:rPr>
        <w:lastRenderedPageBreak/>
        <w:t xml:space="preserve">Rezultatele monitorizărilor au arătat menţinerea tendinței generale de creștere a numărului total de macro-deșeuri acumulate pe plajele romȃnești, peste valoarea prag europeană de 20 deșeuri/100 m (Van Loon și colab., 2020). Principala categorie de deșeuri de pe plajă a fost reprezentată de mucuri de țigară și filtre (circa 35 %), urmată de fragmente de hartie, bucăți de plastic/polistiren cu dimensiuni între 2,5 cm și 50 cm, pungi pentru cumpărături, tacâmuri și tăvi/paie și bețe pentru amestecat, capace din plastic/ capace de la sticlele de băuturi, etc. (INCDM, 2022). Din punct de vedere calitativ, plasticul constituie materialul dominant (78 %) pe plajele analizate, restul de numai 22 % fiind reprezentate de hârtie/carton (14 %), metal (3 %), textile (3 %), sticlă/ceramicã (0,28 %), materiale de lemn (0,46 %), cauciuc (0,53 %), etc. (INCDM, 2022). </w:t>
      </w:r>
    </w:p>
    <w:p w14:paraId="5B860EC1" w14:textId="77777777" w:rsidR="00A53D2B" w:rsidRDefault="00A53D2B" w:rsidP="008B1BFC">
      <w:pPr>
        <w:spacing w:before="0"/>
        <w:ind w:firstLine="567"/>
        <w:rPr>
          <w:rFonts w:eastAsia="Times New Roman" w:cs="Times New Roman"/>
        </w:rPr>
      </w:pPr>
      <w:r>
        <w:rPr>
          <w:rFonts w:eastAsia="Times New Roman" w:cs="Times New Roman"/>
        </w:rPr>
        <w:t>Prezența deșeurilor pe plajă au un impact negativ atât asupra peisajului, conducând la afectarea utilizărilor recreative și la pierderea valorii turistice, cât și asupra calității apei.</w:t>
      </w:r>
    </w:p>
    <w:p w14:paraId="40F0DC54" w14:textId="77777777" w:rsidR="00A53D2B" w:rsidRDefault="00A53D2B" w:rsidP="008B1BFC">
      <w:pPr>
        <w:spacing w:before="0"/>
        <w:rPr>
          <w:rFonts w:eastAsia="Times New Roman" w:cs="Times New Roman"/>
          <w:i/>
        </w:rPr>
      </w:pPr>
      <w:r>
        <w:rPr>
          <w:rFonts w:eastAsia="Times New Roman" w:cs="Times New Roman"/>
          <w:i/>
        </w:rPr>
        <w:t>Deșeuri de pe fundul mării</w:t>
      </w:r>
    </w:p>
    <w:p w14:paraId="734150AA" w14:textId="77777777" w:rsidR="00A53D2B" w:rsidRDefault="00A53D2B" w:rsidP="008B1BFC">
      <w:pPr>
        <w:spacing w:before="0"/>
        <w:ind w:firstLine="567"/>
        <w:rPr>
          <w:rFonts w:eastAsia="Times New Roman" w:cs="Times New Roman"/>
        </w:rPr>
      </w:pPr>
      <w:r>
        <w:rPr>
          <w:rFonts w:eastAsia="Times New Roman" w:cs="Times New Roman"/>
        </w:rPr>
        <w:t>Prezența macro-deșeurilor bentale în mediul marin se datorează în principal activităților de transport maritim, activităților portuare, precum și pescuitului. Monitorizarea deșeurilor bentale (prin traulare) realizată de către INCDM Grigore Antipa în 2021 arată o cantitate totală de 11,65 kg deșeuri pe o suprafață traulată de 7.780 m</w:t>
      </w:r>
      <w:r>
        <w:rPr>
          <w:rFonts w:eastAsia="Times New Roman" w:cs="Times New Roman"/>
          <w:vertAlign w:val="superscript"/>
        </w:rPr>
        <w:t>2</w:t>
      </w:r>
      <w:r>
        <w:rPr>
          <w:rFonts w:eastAsia="Times New Roman" w:cs="Times New Roman"/>
        </w:rPr>
        <w:t>. Din punct de vedere calitativ, predomină deșeurile din metal (45 %), urmate de cele din plastic (42 %) și sticlă (7,5 %). Analizând datele colectate în perioada 2016-2021, se observă o tendință de scădere semnificativă, atât în ceea ce privește cantitatea raportată la suprafața traulată, cât și numărul de obiecte (INCDM, 2022). Totuși, referitor la cantitatea totală, cifrele furnizate de către INCDM Grigore Antipa nu iau în considerare macro-deșeurile, prezente în cantități semnificativ mai ridicate în radele exterioare și interioare ale porturilor Constanța, Midia, Sulina și Mangalia. Impactul prezenței deșeurilor atât pe fundul mării, cât și în coloana de apă (cu precădere unelte de pescuit abandonate sau pierdute) constă în rănirea sau uciderea animalelor sălbatice marine (mamifere marine, păsări marine), deteriorarea și degradarea habitatelor bentale, afectarea siguranței navigației, pierderi economice pentru pescuit și turism (conducând la degradarea calității vieții în comunitățile costiere).</w:t>
      </w:r>
    </w:p>
    <w:p w14:paraId="1842E836" w14:textId="77777777" w:rsidR="00A53D2B" w:rsidRDefault="00A53D2B" w:rsidP="008B1BFC">
      <w:pPr>
        <w:spacing w:before="0"/>
        <w:rPr>
          <w:rFonts w:eastAsia="Times New Roman" w:cs="Times New Roman"/>
          <w:b/>
          <w:i/>
        </w:rPr>
      </w:pPr>
      <w:r>
        <w:rPr>
          <w:rFonts w:eastAsia="Times New Roman" w:cs="Times New Roman"/>
          <w:b/>
          <w:i/>
        </w:rPr>
        <w:t>Introducerea de specii invazive</w:t>
      </w:r>
    </w:p>
    <w:p w14:paraId="59D32440" w14:textId="77777777" w:rsidR="00A53D2B" w:rsidRDefault="00A53D2B" w:rsidP="008B1BFC">
      <w:pPr>
        <w:spacing w:before="0"/>
        <w:ind w:firstLine="567"/>
        <w:rPr>
          <w:rFonts w:eastAsia="Times New Roman" w:cs="Times New Roman"/>
        </w:rPr>
      </w:pPr>
      <w:r>
        <w:rPr>
          <w:rFonts w:eastAsia="Times New Roman" w:cs="Times New Roman"/>
        </w:rPr>
        <w:t xml:space="preserve">Analiza speciilor străine semnalate din dreptul litoralului românesc al Mării Negre, arată că numărul acestora este relativ redus, dacă ne referim la lista speciilor străine din Marea Neagră. Comparativ cu cele 293 de specii străine citate din Marea Neagră (AquaNIS), în zona litoralului românesc au fost identificare cu certitudine doar 54 de specii, iar, dintre acestea, doar câteva au statut de specii invazive – </w:t>
      </w:r>
      <w:r>
        <w:rPr>
          <w:rFonts w:eastAsia="Times New Roman" w:cs="Times New Roman"/>
          <w:i/>
        </w:rPr>
        <w:t>Mnemiopsis leidyi</w:t>
      </w:r>
      <w:r>
        <w:rPr>
          <w:rFonts w:eastAsia="Times New Roman" w:cs="Times New Roman"/>
        </w:rPr>
        <w:t xml:space="preserve">, </w:t>
      </w:r>
      <w:r>
        <w:rPr>
          <w:rFonts w:eastAsia="Times New Roman" w:cs="Times New Roman"/>
          <w:i/>
        </w:rPr>
        <w:t>Beroe ovata</w:t>
      </w:r>
      <w:r>
        <w:rPr>
          <w:rFonts w:eastAsia="Times New Roman" w:cs="Times New Roman"/>
        </w:rPr>
        <w:t xml:space="preserve">, </w:t>
      </w:r>
      <w:r>
        <w:rPr>
          <w:rFonts w:eastAsia="Times New Roman" w:cs="Times New Roman"/>
          <w:i/>
        </w:rPr>
        <w:t>Ficopomatus</w:t>
      </w:r>
      <w:r>
        <w:rPr>
          <w:rFonts w:eastAsia="Times New Roman" w:cs="Times New Roman"/>
        </w:rPr>
        <w:t xml:space="preserve"> </w:t>
      </w:r>
      <w:r>
        <w:rPr>
          <w:rFonts w:eastAsia="Times New Roman" w:cs="Times New Roman"/>
          <w:i/>
        </w:rPr>
        <w:t>aenigmaticus</w:t>
      </w:r>
      <w:r>
        <w:rPr>
          <w:rFonts w:eastAsia="Times New Roman" w:cs="Times New Roman"/>
        </w:rPr>
        <w:t xml:space="preserve">, </w:t>
      </w:r>
      <w:r>
        <w:rPr>
          <w:rFonts w:eastAsia="Times New Roman" w:cs="Times New Roman"/>
          <w:i/>
        </w:rPr>
        <w:t>Rapana venosa</w:t>
      </w:r>
      <w:r>
        <w:rPr>
          <w:rFonts w:eastAsia="Times New Roman" w:cs="Times New Roman"/>
        </w:rPr>
        <w:t xml:space="preserve">, </w:t>
      </w:r>
      <w:r>
        <w:rPr>
          <w:rFonts w:eastAsia="Times New Roman" w:cs="Times New Roman"/>
          <w:i/>
        </w:rPr>
        <w:t>Anadara kagoshimensis</w:t>
      </w:r>
      <w:r>
        <w:rPr>
          <w:rFonts w:eastAsia="Times New Roman" w:cs="Times New Roman"/>
        </w:rPr>
        <w:t xml:space="preserve">, </w:t>
      </w:r>
      <w:r>
        <w:rPr>
          <w:rFonts w:eastAsia="Times New Roman" w:cs="Times New Roman"/>
          <w:i/>
        </w:rPr>
        <w:t>Mya arenaria</w:t>
      </w:r>
      <w:r>
        <w:rPr>
          <w:rFonts w:eastAsia="Times New Roman" w:cs="Times New Roman"/>
        </w:rPr>
        <w:t xml:space="preserve">, </w:t>
      </w:r>
      <w:r>
        <w:rPr>
          <w:rFonts w:eastAsia="Times New Roman" w:cs="Times New Roman"/>
          <w:i/>
        </w:rPr>
        <w:t>Balanus improvisus</w:t>
      </w:r>
      <w:r>
        <w:rPr>
          <w:rFonts w:eastAsia="Times New Roman" w:cs="Times New Roman"/>
        </w:rPr>
        <w:t xml:space="preserve"> – generând restructurarea profundă a asociațiilor de organisme autohtone, bentale și pelagice. Cel mai puternic impact dintre aceste specii l-a avut, de departe, </w:t>
      </w:r>
      <w:r>
        <w:rPr>
          <w:rFonts w:eastAsia="Times New Roman" w:cs="Times New Roman"/>
          <w:i/>
        </w:rPr>
        <w:t>Mnemiopsis leidy</w:t>
      </w:r>
      <w:r>
        <w:rPr>
          <w:rFonts w:eastAsia="Times New Roman" w:cs="Times New Roman"/>
        </w:rPr>
        <w:t xml:space="preserve">, o specie de ctenofor originară din Atlanticul de vest, care după ce a fost introdus involuntar în Marea Neagră prin apa de balast a navelor sovietice, a produs o reconfigurare profundă a structurii comunităților de organisme zooplanctonice, afectând baza trofică a celor mai multe specii de pești din Marea Neagră care erau exploatați industrial și provocând colapsul pescăriilor care se bazau pe aceste resurse din statele riverane. Modificări la fel de importante din punct de vedere </w:t>
      </w:r>
      <w:r>
        <w:rPr>
          <w:rFonts w:eastAsia="Times New Roman" w:cs="Times New Roman"/>
        </w:rPr>
        <w:lastRenderedPageBreak/>
        <w:t xml:space="preserve">al biodiversității, dar fără impact economic au produs specii ca </w:t>
      </w:r>
      <w:r>
        <w:rPr>
          <w:rFonts w:eastAsia="Times New Roman" w:cs="Times New Roman"/>
          <w:i/>
        </w:rPr>
        <w:t>Beroe ovata</w:t>
      </w:r>
      <w:r>
        <w:rPr>
          <w:rFonts w:eastAsia="Times New Roman" w:cs="Times New Roman"/>
        </w:rPr>
        <w:t xml:space="preserve">, </w:t>
      </w:r>
      <w:r>
        <w:rPr>
          <w:rFonts w:eastAsia="Times New Roman" w:cs="Times New Roman"/>
          <w:i/>
        </w:rPr>
        <w:t>Ficopomatus</w:t>
      </w:r>
      <w:r>
        <w:rPr>
          <w:rFonts w:eastAsia="Times New Roman" w:cs="Times New Roman"/>
        </w:rPr>
        <w:t xml:space="preserve"> </w:t>
      </w:r>
      <w:r>
        <w:rPr>
          <w:rFonts w:eastAsia="Times New Roman" w:cs="Times New Roman"/>
          <w:i/>
        </w:rPr>
        <w:t>enigmaticu</w:t>
      </w:r>
      <w:r>
        <w:rPr>
          <w:rFonts w:eastAsia="Times New Roman" w:cs="Times New Roman"/>
        </w:rPr>
        <w:t xml:space="preserve">s, </w:t>
      </w:r>
      <w:r>
        <w:rPr>
          <w:rFonts w:eastAsia="Times New Roman" w:cs="Times New Roman"/>
          <w:i/>
        </w:rPr>
        <w:t>Anadara kagoshimensis</w:t>
      </w:r>
      <w:r>
        <w:rPr>
          <w:rFonts w:eastAsia="Times New Roman" w:cs="Times New Roman"/>
        </w:rPr>
        <w:t xml:space="preserve">, </w:t>
      </w:r>
      <w:r>
        <w:rPr>
          <w:rFonts w:eastAsia="Times New Roman" w:cs="Times New Roman"/>
          <w:i/>
        </w:rPr>
        <w:t>Mya arenaria</w:t>
      </w:r>
      <w:r>
        <w:rPr>
          <w:rFonts w:eastAsia="Times New Roman" w:cs="Times New Roman"/>
        </w:rPr>
        <w:t xml:space="preserve">, </w:t>
      </w:r>
      <w:r>
        <w:rPr>
          <w:rFonts w:eastAsia="Times New Roman" w:cs="Times New Roman"/>
          <w:i/>
        </w:rPr>
        <w:t>Amphibalanus improvisus</w:t>
      </w:r>
      <w:r>
        <w:rPr>
          <w:rFonts w:eastAsia="Times New Roman" w:cs="Times New Roman"/>
        </w:rPr>
        <w:t xml:space="preserve">, în vreme ce </w:t>
      </w:r>
      <w:r>
        <w:rPr>
          <w:rFonts w:eastAsia="Times New Roman" w:cs="Times New Roman"/>
          <w:i/>
        </w:rPr>
        <w:t>Rapana venosa</w:t>
      </w:r>
      <w:r>
        <w:rPr>
          <w:rFonts w:eastAsia="Times New Roman" w:cs="Times New Roman"/>
        </w:rPr>
        <w:t xml:space="preserve"> a devenit o resursă biotică importantă, în prezent asigurând peste 90 % din producția piscicolă marină românească.</w:t>
      </w:r>
    </w:p>
    <w:p w14:paraId="142293C7" w14:textId="77777777" w:rsidR="00A53D2B" w:rsidRDefault="00A53D2B" w:rsidP="008B1BFC">
      <w:pPr>
        <w:spacing w:before="0"/>
        <w:ind w:firstLine="567"/>
        <w:rPr>
          <w:rFonts w:eastAsia="Times New Roman" w:cs="Times New Roman"/>
        </w:rPr>
      </w:pPr>
      <w:r>
        <w:rPr>
          <w:rFonts w:eastAsia="Times New Roman" w:cs="Times New Roman"/>
        </w:rPr>
        <w:t xml:space="preserve">Schimbările majore provocate de </w:t>
      </w:r>
      <w:r>
        <w:rPr>
          <w:rFonts w:eastAsia="Times New Roman" w:cs="Times New Roman"/>
          <w:i/>
        </w:rPr>
        <w:t>Mnemiopsis leidyi</w:t>
      </w:r>
      <w:r>
        <w:rPr>
          <w:rFonts w:eastAsia="Times New Roman" w:cs="Times New Roman"/>
        </w:rPr>
        <w:t xml:space="preserve"> în perioada anilor 1990 au făcut ca, în câțiva ani, să scadă numărul speciilor de pești exploatabili industrial de la 15 la doar 5, iar industria bazată pe prelucrarea peștilor originari din Marea Neagră să se prăbușească. Impactul lui </w:t>
      </w:r>
      <w:r>
        <w:rPr>
          <w:rFonts w:eastAsia="Times New Roman" w:cs="Times New Roman"/>
          <w:i/>
        </w:rPr>
        <w:t>Mnemiopsis leidyi</w:t>
      </w:r>
      <w:r>
        <w:rPr>
          <w:rFonts w:eastAsia="Times New Roman" w:cs="Times New Roman"/>
        </w:rPr>
        <w:t xml:space="preserve"> asupra stocurilor de pește din Marea Neagră a fost dramatic; în câțiva ani, capturile totale ale tuturor țărilor limitrofe au scăzut de la 600.000-700.000 tone în 1986-1989 la 200.000 tone în 1990-1991. Pentru litoralul românesc numai, capturile totale au scăzut de la 16.000 de tone, în 1986, la doar 300 de tone, în 1991 (Petran și colab., 1999).</w:t>
      </w:r>
    </w:p>
    <w:p w14:paraId="0D8BFBAF" w14:textId="77777777" w:rsidR="00A53D2B" w:rsidRDefault="00A53D2B" w:rsidP="008B1BFC">
      <w:pPr>
        <w:spacing w:before="0"/>
        <w:ind w:firstLine="567"/>
        <w:rPr>
          <w:rFonts w:eastAsia="Times New Roman" w:cs="Times New Roman"/>
        </w:rPr>
      </w:pPr>
      <w:r>
        <w:rPr>
          <w:rFonts w:eastAsia="Times New Roman" w:cs="Times New Roman"/>
        </w:rPr>
        <w:t>Trebuie făcută mențiunea că numărul de specii invazive continuă să crească, ca o consecință directă a traficului maritim și a nerespectării în totalitate a normelor promovate de IMO. În zona de larg a Mării Negre, unde se efectuează debalastări au fost semnalate circa 100 de specii zooplanctonice, care nu au fost semnalate încă în apele teritoriale ale statelor riverane.</w:t>
      </w:r>
    </w:p>
    <w:p w14:paraId="4E431980" w14:textId="77777777" w:rsidR="00A53D2B" w:rsidRDefault="00A53D2B" w:rsidP="008B1BFC">
      <w:pPr>
        <w:spacing w:before="0"/>
        <w:ind w:firstLine="567"/>
        <w:rPr>
          <w:rFonts w:eastAsia="Times New Roman" w:cs="Times New Roman"/>
        </w:rPr>
      </w:pPr>
      <w:r>
        <w:rPr>
          <w:rFonts w:eastAsia="Times New Roman" w:cs="Times New Roman"/>
        </w:rPr>
        <w:t xml:space="preserve">În ceea ce privește modul de introducere al speciilor străine, cea mai mare parte a speciilor semnalate de la litoralul românesc a fost introdusă neintenționat (95,5 %) și doar trei – </w:t>
      </w:r>
      <w:r>
        <w:rPr>
          <w:rFonts w:eastAsia="Times New Roman" w:cs="Times New Roman"/>
          <w:i/>
        </w:rPr>
        <w:t>Magalana gigas</w:t>
      </w:r>
      <w:r>
        <w:rPr>
          <w:rFonts w:eastAsia="Times New Roman" w:cs="Times New Roman"/>
        </w:rPr>
        <w:t xml:space="preserve">, </w:t>
      </w:r>
      <w:r>
        <w:rPr>
          <w:rFonts w:eastAsia="Times New Roman" w:cs="Times New Roman"/>
          <w:i/>
        </w:rPr>
        <w:t>Crassostrea virginica</w:t>
      </w:r>
      <w:r>
        <w:rPr>
          <w:rFonts w:eastAsia="Times New Roman" w:cs="Times New Roman"/>
        </w:rPr>
        <w:t xml:space="preserve"> și </w:t>
      </w:r>
      <w:r>
        <w:rPr>
          <w:rFonts w:eastAsia="Times New Roman" w:cs="Times New Roman"/>
          <w:i/>
        </w:rPr>
        <w:t>Planiliza hematocheila</w:t>
      </w:r>
      <w:r>
        <w:rPr>
          <w:rFonts w:eastAsia="Times New Roman" w:cs="Times New Roman"/>
        </w:rPr>
        <w:t xml:space="preserve"> (5,5 %) au fost introduse intenționat, pentru acvacultură și respectiv pescuit. 51,8% din totalul de specii străine au fost introduse prin fouling și 42,6 % prin apa de balast a navelor, diferența reprezentând-o speciile introduse prin acvacultură. Referitor la proveniență, cele mai multe specii străine au origine în zona atlanto-mediteraneană (40,7%), urmând speciile cu origine indo-pacifică (33,3 %), cosmopolită (22,2 %) și speciile originare din Marea Baltică (1,8 %).</w:t>
      </w:r>
    </w:p>
    <w:p w14:paraId="7F3634CA" w14:textId="77777777" w:rsidR="00A53D2B" w:rsidRDefault="00A53D2B" w:rsidP="008B1BFC">
      <w:pPr>
        <w:spacing w:before="0"/>
        <w:ind w:firstLine="567"/>
        <w:rPr>
          <w:rFonts w:eastAsia="Times New Roman" w:cs="Times New Roman"/>
        </w:rPr>
      </w:pPr>
      <w:r>
        <w:rPr>
          <w:rFonts w:eastAsia="Times New Roman" w:cs="Times New Roman"/>
        </w:rPr>
        <w:t xml:space="preserve">În habitatele terestre un inventar al speciilor invazive include peste 150 de taxoni, cea mai mare parte nevertebrate dar și specii de pești, atât marini cât și de apă dulce (crapii chinezești fitofagi - </w:t>
      </w:r>
      <w:r>
        <w:rPr>
          <w:rFonts w:eastAsia="Times New Roman" w:cs="Times New Roman"/>
          <w:i/>
        </w:rPr>
        <w:t>Aristichthys nobilis</w:t>
      </w:r>
      <w:r>
        <w:rPr>
          <w:rFonts w:eastAsia="Times New Roman" w:cs="Times New Roman"/>
        </w:rPr>
        <w:t xml:space="preserve">, </w:t>
      </w:r>
      <w:r>
        <w:rPr>
          <w:rFonts w:eastAsia="Times New Roman" w:cs="Times New Roman"/>
          <w:i/>
        </w:rPr>
        <w:t>Hypophthalichthys molitrix</w:t>
      </w:r>
      <w:r>
        <w:rPr>
          <w:rFonts w:eastAsia="Times New Roman" w:cs="Times New Roman"/>
        </w:rPr>
        <w:t xml:space="preserve">, </w:t>
      </w:r>
      <w:r>
        <w:rPr>
          <w:rFonts w:eastAsia="Times New Roman" w:cs="Times New Roman"/>
          <w:i/>
        </w:rPr>
        <w:t>Ctenopharyngodon idella</w:t>
      </w:r>
      <w:r>
        <w:rPr>
          <w:rFonts w:eastAsia="Times New Roman" w:cs="Times New Roman"/>
        </w:rPr>
        <w:t xml:space="preserve">, speciile de somn pitic – </w:t>
      </w:r>
      <w:r>
        <w:rPr>
          <w:rFonts w:eastAsia="Times New Roman" w:cs="Times New Roman"/>
          <w:i/>
        </w:rPr>
        <w:t>Ameirus melas</w:t>
      </w:r>
      <w:r>
        <w:rPr>
          <w:rFonts w:eastAsia="Times New Roman" w:cs="Times New Roman"/>
        </w:rPr>
        <w:t xml:space="preserve">, Ameirus nebulosus) sau mamifere – (bizamul </w:t>
      </w:r>
      <w:r>
        <w:rPr>
          <w:rFonts w:eastAsia="Times New Roman" w:cs="Times New Roman"/>
          <w:i/>
        </w:rPr>
        <w:t>Ondathra zibethica</w:t>
      </w:r>
      <w:r>
        <w:rPr>
          <w:rFonts w:eastAsia="Times New Roman" w:cs="Times New Roman"/>
        </w:rPr>
        <w:t xml:space="preserve">, câinele enot </w:t>
      </w:r>
      <w:r>
        <w:rPr>
          <w:rFonts w:eastAsia="Times New Roman" w:cs="Times New Roman"/>
          <w:i/>
        </w:rPr>
        <w:t>Nyctereutes procyonoides</w:t>
      </w:r>
      <w:r>
        <w:rPr>
          <w:rFonts w:eastAsia="Times New Roman" w:cs="Times New Roman"/>
        </w:rPr>
        <w:t xml:space="preserve">). Unele din aceste specii, cum sunt speciile de crapi fitofagi, au produs de asemenea reconfigurări majore ale habitatelor dulcicole în Delta Dunării, având un impact puternic asupra comunităților de specii native. </w:t>
      </w:r>
    </w:p>
    <w:p w14:paraId="5D941BCC" w14:textId="77777777" w:rsidR="00A53D2B" w:rsidRDefault="00A53D2B" w:rsidP="008B1BFC">
      <w:pPr>
        <w:spacing w:before="0"/>
        <w:ind w:firstLine="567"/>
        <w:rPr>
          <w:rFonts w:eastAsia="Times New Roman" w:cs="Times New Roman"/>
        </w:rPr>
      </w:pPr>
      <w:r>
        <w:rPr>
          <w:rFonts w:eastAsia="Times New Roman" w:cs="Times New Roman"/>
        </w:rPr>
        <w:t>Speciile invazive din mediul terestru sunt mai puțin cunoscute comparativ cu cele marine, beneficiind de mai puține studii. Din cele 959 de specii terestre străine (567 de plante, 309 nevertebrate și 83 specii de vertebrate) citate din România, o mare parte se regăsesc și în zona costieră, însă studii pentru această zonă lipsesc.</w:t>
      </w:r>
    </w:p>
    <w:p w14:paraId="15FB490A" w14:textId="77777777" w:rsidR="00A53D2B" w:rsidRDefault="00A53D2B" w:rsidP="008B1BFC">
      <w:pPr>
        <w:spacing w:before="0"/>
        <w:rPr>
          <w:rFonts w:eastAsia="Times New Roman" w:cs="Times New Roman"/>
          <w:b/>
          <w:i/>
        </w:rPr>
      </w:pPr>
      <w:r>
        <w:rPr>
          <w:rFonts w:eastAsia="Times New Roman" w:cs="Times New Roman"/>
          <w:b/>
          <w:i/>
        </w:rPr>
        <w:t>Degradarea / pierderea habitatelor terestre și acvatice</w:t>
      </w:r>
    </w:p>
    <w:p w14:paraId="642DB5A2" w14:textId="77777777" w:rsidR="00A53D2B" w:rsidRDefault="00A53D2B" w:rsidP="008B1BFC">
      <w:pPr>
        <w:spacing w:before="0"/>
        <w:ind w:firstLine="567"/>
        <w:rPr>
          <w:rFonts w:eastAsia="Times New Roman" w:cs="Times New Roman"/>
        </w:rPr>
      </w:pPr>
      <w:r>
        <w:rPr>
          <w:rFonts w:eastAsia="Times New Roman" w:cs="Times New Roman"/>
          <w:color w:val="000000"/>
        </w:rPr>
        <w:t>Pentru zona costieră a Mării Negre, degradarea și pierderea suprafețelor cu habitate naturale se referă mai puțin la zona terestră și mai mult la zona marină. Dacă în mediul terestru situația este relativ sub control, existența rețelei de arii protejate Natura 2000 asigurând păstrarea stării de conservare a habitatelor terestre, în cazul mediului marin situație este diferită.</w:t>
      </w:r>
    </w:p>
    <w:p w14:paraId="489E001C" w14:textId="77777777" w:rsidR="00A53D2B" w:rsidRDefault="00A53D2B" w:rsidP="008B1BFC">
      <w:pPr>
        <w:spacing w:before="0"/>
        <w:ind w:firstLine="567"/>
        <w:rPr>
          <w:rFonts w:eastAsia="Times New Roman" w:cs="Times New Roman"/>
          <w:color w:val="000000"/>
        </w:rPr>
      </w:pPr>
      <w:r>
        <w:rPr>
          <w:rFonts w:eastAsia="Times New Roman" w:cs="Times New Roman"/>
          <w:color w:val="000000"/>
        </w:rPr>
        <w:t xml:space="preserve">În cazul habitatelor terestre, singura zonă în care se poate vorbi despre degradarea habitatelor naturale este cea din sudul RBDD, de la Corbu–Vadu, unde un turism scăpat de sub </w:t>
      </w:r>
      <w:r>
        <w:rPr>
          <w:rFonts w:eastAsia="Times New Roman" w:cs="Times New Roman"/>
          <w:color w:val="000000"/>
        </w:rPr>
        <w:lastRenderedPageBreak/>
        <w:t>control și care nu respectă normele și regulamentele pentru o Rezervație a Biosferei produce an de an o degradare a habitatelor costiere din zona litorală, toate foarte sensibile la impactul antropic. Alte zone unde dezvoltarea proiectelor imobiliare s-a realizat fără respectarea normelor de protecție a habitatelor sunt zona cordonului litoral dintre Eforie Nord și Eforie Sud și zona situată la nord de stațiunea Mamaia, unde practic nu mai există decât petice din habitatele naturale, însă aceste zone nu sunt incluse în arii protejate Natura 2000.</w:t>
      </w:r>
    </w:p>
    <w:p w14:paraId="70772077" w14:textId="77777777" w:rsidR="00A53D2B" w:rsidRDefault="00A53D2B" w:rsidP="008B1BFC">
      <w:pPr>
        <w:spacing w:before="0"/>
        <w:ind w:firstLine="567"/>
        <w:rPr>
          <w:rFonts w:eastAsia="Times New Roman" w:cs="Times New Roman"/>
        </w:rPr>
      </w:pPr>
      <w:r>
        <w:rPr>
          <w:rFonts w:eastAsia="Times New Roman" w:cs="Times New Roman"/>
        </w:rPr>
        <w:t>Turismul necontrolat și dezvoltarea proiectelor imobiliare în zona costieră afectează considerabil habitate precum: 2110 Dune mobile embrionare în formare, 2130* Dune fixate cu vegetație erbacee (dune gri), 1410 – Pajiști sărăturate de tip mediteranean (</w:t>
      </w:r>
      <w:r>
        <w:rPr>
          <w:rFonts w:eastAsia="Times New Roman" w:cs="Times New Roman"/>
          <w:i/>
        </w:rPr>
        <w:t>Juncetalia maritima</w:t>
      </w:r>
      <w:r>
        <w:rPr>
          <w:rFonts w:eastAsia="Times New Roman" w:cs="Times New Roman"/>
        </w:rPr>
        <w:t xml:space="preserve">), 2160 – Dune cu </w:t>
      </w:r>
      <w:r>
        <w:rPr>
          <w:rFonts w:eastAsia="Times New Roman" w:cs="Times New Roman"/>
          <w:i/>
        </w:rPr>
        <w:t>Hippophae rhamnoides</w:t>
      </w:r>
      <w:r>
        <w:rPr>
          <w:rFonts w:eastAsia="Times New Roman" w:cs="Times New Roman"/>
        </w:rPr>
        <w:t xml:space="preserve">. Alte habitate naturale afectate în mod diferit de activitățile umane sunt habitatele aflate în zona costieră a RBDD - 2190 – Depresiuni umede intradunale, 6440 – Pajisti aluviale din </w:t>
      </w:r>
      <w:r>
        <w:rPr>
          <w:rFonts w:eastAsia="Times New Roman" w:cs="Times New Roman"/>
          <w:i/>
        </w:rPr>
        <w:t>Cnidion dubii</w:t>
      </w:r>
      <w:r>
        <w:rPr>
          <w:rFonts w:eastAsia="Times New Roman" w:cs="Times New Roman"/>
        </w:rPr>
        <w:t>, 6510 – Pajiști de altitudine joasă (</w:t>
      </w:r>
      <w:r>
        <w:rPr>
          <w:rFonts w:eastAsia="Times New Roman" w:cs="Times New Roman"/>
          <w:i/>
        </w:rPr>
        <w:t>Alopecurus pratensis</w:t>
      </w:r>
      <w:r>
        <w:rPr>
          <w:rFonts w:eastAsia="Times New Roman" w:cs="Times New Roman"/>
        </w:rPr>
        <w:t xml:space="preserve">, </w:t>
      </w:r>
      <w:r>
        <w:rPr>
          <w:rFonts w:eastAsia="Times New Roman" w:cs="Times New Roman"/>
          <w:i/>
        </w:rPr>
        <w:t>Sanguisorva officinalis</w:t>
      </w:r>
      <w:r>
        <w:rPr>
          <w:rFonts w:eastAsia="Times New Roman" w:cs="Times New Roman"/>
        </w:rPr>
        <w:t xml:space="preserve">), 3130 Ape stătătoare oligotrofe până la mezotrofe cu vegetație din </w:t>
      </w:r>
      <w:r>
        <w:rPr>
          <w:rFonts w:eastAsia="Times New Roman" w:cs="Times New Roman"/>
          <w:i/>
        </w:rPr>
        <w:t>Littorelletea uniflorae</w:t>
      </w:r>
      <w:r>
        <w:rPr>
          <w:rFonts w:eastAsia="Times New Roman" w:cs="Times New Roman"/>
        </w:rPr>
        <w:t xml:space="preserve"> si/sau Isoeto-Nanojuncetea, 3140 – Ape dure oligo-mezotrofe cu vegetație bentonică de specii de Chara, 3150 m – Lacuri naturale eutrofe cu vegetație tip Magnopotamion sau Hydrocharition, 3260 – Cursuri de apă din zona de câmpie până în etajul montan, cu vegetație din </w:t>
      </w:r>
      <w:r>
        <w:rPr>
          <w:rFonts w:eastAsia="Times New Roman" w:cs="Times New Roman"/>
          <w:i/>
        </w:rPr>
        <w:t>Ranunculion fluitantis</w:t>
      </w:r>
      <w:r>
        <w:rPr>
          <w:rFonts w:eastAsia="Times New Roman" w:cs="Times New Roman"/>
        </w:rPr>
        <w:t xml:space="preserve"> și Callitricho-Batrachion, 3270 – Râuri cu maluri nămoloase, cu vegetație din Chenopodion rubri p.p. și Bidention p.p..</w:t>
      </w:r>
    </w:p>
    <w:p w14:paraId="25255D75" w14:textId="77777777" w:rsidR="00A53D2B" w:rsidRDefault="00A53D2B" w:rsidP="008B1BFC">
      <w:pPr>
        <w:spacing w:before="0"/>
        <w:ind w:firstLine="567"/>
        <w:rPr>
          <w:rFonts w:eastAsia="Times New Roman" w:cs="Times New Roman"/>
          <w:color w:val="000000"/>
        </w:rPr>
      </w:pPr>
      <w:r>
        <w:rPr>
          <w:rFonts w:eastAsia="Times New Roman" w:cs="Times New Roman"/>
          <w:color w:val="000000"/>
        </w:rPr>
        <w:t xml:space="preserve">Un alt impact asupra habitatelor marine de data aceasta o reprezintă, paradoxal, proiectul de înnisipare a plajelor de la litoralul românesc. Lărgirea plajelor din sudul litoralului și din zona Constanța cu circa 100 de m, afectează toate ariile incluse în rețeaua Natura 2000 – ROSPA Marea Neagră, *ROSCI0066 Rezervația Biosferei Delta Dunării - zona marină, *ROSCI0197 Plaja submersă Eforie Nord - Eforie Sud, *ROSCI0273 Zona marină de la Capul Tuzla, ROSCI0281 Cap Aurora, ROSCI0293 </w:t>
      </w:r>
      <w:sdt>
        <w:sdtPr>
          <w:tag w:val="goog_rdk_49"/>
          <w:id w:val="1891068051"/>
        </w:sdtPr>
        <w:sdtContent>
          <w:r>
            <w:rPr>
              <w:rFonts w:eastAsia="Times New Roman" w:cs="Times New Roman"/>
              <w:color w:val="000000"/>
            </w:rPr>
            <w:t>Costinești</w:t>
          </w:r>
        </w:sdtContent>
      </w:sdt>
      <w:r>
        <w:rPr>
          <w:rFonts w:eastAsia="Times New Roman" w:cs="Times New Roman"/>
          <w:color w:val="000000"/>
        </w:rPr>
        <w:t xml:space="preserve"> - 23 August, *ROSCI0094 Izvoarele sulfuroase submarine de la Mangalia, *ROSCI0269 Vama Veche - 2 Mai, arii protejate care au limita la zona de spargere a valurilor. O înaintare a liniei țărmului cu 100 m înseamnă că practic toate habitatele marine aflate în acea zonă sunt distruse prin înnisipare. </w:t>
      </w:r>
    </w:p>
    <w:p w14:paraId="257F1E75" w14:textId="71D0B93F" w:rsidR="00A53D2B" w:rsidRDefault="00A53D2B" w:rsidP="008B1BFC">
      <w:pPr>
        <w:spacing w:before="0"/>
        <w:ind w:firstLine="567"/>
        <w:rPr>
          <w:rFonts w:eastAsia="Times New Roman" w:cs="Times New Roman"/>
          <w:color w:val="000000"/>
        </w:rPr>
      </w:pPr>
      <w:r>
        <w:rPr>
          <w:rFonts w:eastAsia="Times New Roman" w:cs="Times New Roman"/>
          <w:color w:val="000000"/>
        </w:rPr>
        <w:t xml:space="preserve">Habitatele afectate de proiectul de înnisipare sunt 1110-1 Nisipuri fine, curate sau ușor mâloase, cu pajiști de Zostera, 1110 – 3 Nisipuri fine de mică adâncime, 1110-4 Nisipuri bine calibrate, 1110-5 Nisipuri grosiere </w:t>
      </w:r>
      <w:r>
        <w:rPr>
          <w:rFonts w:eastAsia="Times New Roman" w:cs="Times New Roman"/>
        </w:rPr>
        <w:t>și</w:t>
      </w:r>
      <w:r>
        <w:rPr>
          <w:rFonts w:eastAsia="Times New Roman" w:cs="Times New Roman"/>
          <w:color w:val="000000"/>
        </w:rPr>
        <w:t xml:space="preserve"> pietrișuri bătute de valuri, 1110-6 Galeți infralitorali, 1140-1 Nisipuri litorale, cu sau fără depozite detritice cu uscare rapidă, 1140-3 Nisipuri mediolitorale, 1170-3 Izvoare hidrotermale sulfuroase de mica adâncime, 1170-8 Stâncă infralitorale cu alge fotofile, 1170-8 Stâncă infralitorală cu Mytilus galloprovincialis (Tabel </w:t>
      </w:r>
      <w:r w:rsidR="008B1BFC">
        <w:rPr>
          <w:rFonts w:eastAsia="Times New Roman" w:cs="Times New Roman"/>
          <w:color w:val="000000"/>
        </w:rPr>
        <w:t>2.</w:t>
      </w:r>
      <w:r>
        <w:rPr>
          <w:rFonts w:eastAsia="Times New Roman" w:cs="Times New Roman"/>
          <w:color w:val="000000"/>
        </w:rPr>
        <w:t>5.2.15).</w:t>
      </w:r>
    </w:p>
    <w:p w14:paraId="18C036E3" w14:textId="77777777" w:rsidR="00A53D2B" w:rsidRDefault="00A53D2B" w:rsidP="008B1BFC">
      <w:pPr>
        <w:spacing w:before="0"/>
        <w:ind w:firstLine="567"/>
        <w:rPr>
          <w:rFonts w:eastAsia="Times New Roman" w:cs="Times New Roman"/>
        </w:rPr>
      </w:pPr>
      <w:r>
        <w:rPr>
          <w:rFonts w:eastAsia="Times New Roman" w:cs="Times New Roman"/>
          <w:color w:val="000000"/>
        </w:rPr>
        <w:t>Activitățile de pescuit cu unelte active exercită, de asemenea, o presiune semnificativă asupra stării habitatelor bentale. Utilizarea beam-traului afectează semnificativ habitatele și comunitățile bentale prin perturbarea fizică a fundului mării. Analiza datelor VMS a relevat că pescuitul cu beam-traulul se desfăşoară în perimetrul delimitat de izobatele de 5-7 m şi 30 m adâncime, de la Constanţa până la Peninsula Sacalin, suprafaţa totală afectată fiind de aproximativ 1.326 km</w:t>
      </w:r>
      <w:r>
        <w:rPr>
          <w:rFonts w:eastAsia="Times New Roman" w:cs="Times New Roman"/>
          <w:color w:val="000000"/>
          <w:vertAlign w:val="superscript"/>
        </w:rPr>
        <w:t>2</w:t>
      </w:r>
      <w:r>
        <w:rPr>
          <w:rFonts w:eastAsia="Times New Roman" w:cs="Times New Roman"/>
          <w:color w:val="000000"/>
          <w:sz w:val="48"/>
          <w:szCs w:val="48"/>
        </w:rPr>
        <w:t xml:space="preserve"> </w:t>
      </w:r>
      <w:r>
        <w:rPr>
          <w:rFonts w:eastAsia="Times New Roman" w:cs="Times New Roman"/>
          <w:color w:val="000000"/>
        </w:rPr>
        <w:t>(INCDM, 2022).</w:t>
      </w:r>
    </w:p>
    <w:p w14:paraId="210667C7" w14:textId="77777777" w:rsidR="00A53D2B" w:rsidRDefault="00A53D2B" w:rsidP="00A53D2B">
      <w:pPr>
        <w:rPr>
          <w:rFonts w:eastAsia="Times New Roman" w:cs="Times New Roman"/>
        </w:rPr>
      </w:pPr>
    </w:p>
    <w:p w14:paraId="0DC7F172" w14:textId="6F5F9D2C" w:rsidR="00A53D2B" w:rsidRDefault="00A53D2B" w:rsidP="00A53D2B">
      <w:pPr>
        <w:jc w:val="center"/>
        <w:rPr>
          <w:rFonts w:eastAsia="Times New Roman" w:cs="Times New Roman"/>
        </w:rPr>
      </w:pPr>
      <w:bookmarkStart w:id="136" w:name="_heading=h.4bvk7pj" w:colFirst="0" w:colLast="0"/>
      <w:bookmarkEnd w:id="136"/>
      <w:r>
        <w:rPr>
          <w:rFonts w:eastAsia="Times New Roman" w:cs="Times New Roman"/>
          <w:b/>
          <w:color w:val="000000"/>
        </w:rPr>
        <w:lastRenderedPageBreak/>
        <w:t xml:space="preserve">Tabel </w:t>
      </w:r>
      <w:r w:rsidR="008B1BFC">
        <w:rPr>
          <w:rFonts w:eastAsia="Times New Roman" w:cs="Times New Roman"/>
          <w:b/>
          <w:color w:val="000000"/>
        </w:rPr>
        <w:t>2.</w:t>
      </w:r>
      <w:r>
        <w:rPr>
          <w:rFonts w:eastAsia="Times New Roman" w:cs="Times New Roman"/>
          <w:b/>
          <w:color w:val="000000"/>
        </w:rPr>
        <w:t>5.2.15 Suprafețe estimate pierdute/ perturbate la nivel de habitat fizic din apele teritoriale (adaptat după Boicenco și colab., 2018)</w:t>
      </w:r>
    </w:p>
    <w:tbl>
      <w:tblPr>
        <w:tblW w:w="9006" w:type="dxa"/>
        <w:jc w:val="center"/>
        <w:tblLayout w:type="fixed"/>
        <w:tblLook w:val="0400" w:firstRow="0" w:lastRow="0" w:firstColumn="0" w:lastColumn="0" w:noHBand="0" w:noVBand="1"/>
      </w:tblPr>
      <w:tblGrid>
        <w:gridCol w:w="1294"/>
        <w:gridCol w:w="1131"/>
        <w:gridCol w:w="1566"/>
        <w:gridCol w:w="1541"/>
        <w:gridCol w:w="1543"/>
        <w:gridCol w:w="1931"/>
      </w:tblGrid>
      <w:tr w:rsidR="00A53D2B" w14:paraId="1B3CA946" w14:textId="77777777" w:rsidTr="008B1BFC">
        <w:trPr>
          <w:trHeight w:val="485"/>
          <w:jc w:val="center"/>
        </w:trPr>
        <w:tc>
          <w:tcPr>
            <w:tcW w:w="1294" w:type="dxa"/>
            <w:vMerge w:val="restart"/>
            <w:tcBorders>
              <w:top w:val="single" w:sz="8" w:space="0" w:color="5B9BD5"/>
              <w:left w:val="single" w:sz="8" w:space="0" w:color="5B9BD5"/>
              <w:bottom w:val="single" w:sz="8" w:space="0" w:color="5B9BD5"/>
              <w:right w:val="single" w:sz="6" w:space="0" w:color="000000"/>
            </w:tcBorders>
            <w:shd w:val="clear" w:color="auto" w:fill="5B9BD5"/>
            <w:tcMar>
              <w:top w:w="100" w:type="dxa"/>
              <w:left w:w="100" w:type="dxa"/>
              <w:bottom w:w="100" w:type="dxa"/>
              <w:right w:w="100" w:type="dxa"/>
            </w:tcMar>
            <w:vAlign w:val="center"/>
          </w:tcPr>
          <w:p w14:paraId="4A866613" w14:textId="77777777" w:rsidR="00A53D2B" w:rsidRDefault="00A53D2B" w:rsidP="008B1BFC">
            <w:pPr>
              <w:spacing w:before="0" w:after="0"/>
              <w:ind w:firstLine="0"/>
              <w:rPr>
                <w:rFonts w:eastAsia="Times New Roman" w:cs="Times New Roman"/>
              </w:rPr>
            </w:pPr>
            <w:r>
              <w:rPr>
                <w:rFonts w:eastAsia="Times New Roman" w:cs="Times New Roman"/>
                <w:b/>
                <w:color w:val="000000"/>
                <w:sz w:val="20"/>
                <w:szCs w:val="20"/>
              </w:rPr>
              <w:t>Habitate fizice</w:t>
            </w:r>
          </w:p>
        </w:tc>
        <w:tc>
          <w:tcPr>
            <w:tcW w:w="7712" w:type="dxa"/>
            <w:gridSpan w:val="5"/>
            <w:tcBorders>
              <w:top w:val="single" w:sz="8" w:space="0" w:color="5B9BD5"/>
              <w:left w:val="single" w:sz="6" w:space="0" w:color="000000"/>
              <w:bottom w:val="single" w:sz="8" w:space="0" w:color="5B9BD5"/>
              <w:right w:val="single" w:sz="8" w:space="0" w:color="5B9BD5"/>
            </w:tcBorders>
            <w:shd w:val="clear" w:color="auto" w:fill="5B9BD5"/>
            <w:tcMar>
              <w:top w:w="100" w:type="dxa"/>
              <w:left w:w="100" w:type="dxa"/>
              <w:bottom w:w="100" w:type="dxa"/>
              <w:right w:w="100" w:type="dxa"/>
            </w:tcMar>
          </w:tcPr>
          <w:p w14:paraId="2106C191" w14:textId="77777777" w:rsidR="00A53D2B" w:rsidRDefault="00A53D2B" w:rsidP="008B1BFC">
            <w:pPr>
              <w:spacing w:before="0" w:after="0"/>
              <w:jc w:val="center"/>
              <w:rPr>
                <w:rFonts w:eastAsia="Times New Roman" w:cs="Times New Roman"/>
              </w:rPr>
            </w:pPr>
            <w:r>
              <w:rPr>
                <w:rFonts w:eastAsia="Times New Roman" w:cs="Times New Roman"/>
                <w:b/>
                <w:color w:val="000000"/>
                <w:sz w:val="20"/>
                <w:szCs w:val="20"/>
              </w:rPr>
              <w:t>INDICATORI </w:t>
            </w:r>
          </w:p>
        </w:tc>
      </w:tr>
      <w:tr w:rsidR="00A53D2B" w14:paraId="30030FA9" w14:textId="77777777" w:rsidTr="008B1BFC">
        <w:trPr>
          <w:trHeight w:val="1709"/>
          <w:jc w:val="center"/>
        </w:trPr>
        <w:tc>
          <w:tcPr>
            <w:tcW w:w="1294" w:type="dxa"/>
            <w:vMerge/>
            <w:tcBorders>
              <w:top w:val="single" w:sz="8" w:space="0" w:color="5B9BD5"/>
              <w:left w:val="single" w:sz="8" w:space="0" w:color="5B9BD5"/>
              <w:bottom w:val="single" w:sz="8" w:space="0" w:color="5B9BD5"/>
              <w:right w:val="single" w:sz="6" w:space="0" w:color="000000"/>
            </w:tcBorders>
            <w:shd w:val="clear" w:color="auto" w:fill="5B9BD5"/>
            <w:tcMar>
              <w:top w:w="100" w:type="dxa"/>
              <w:left w:w="100" w:type="dxa"/>
              <w:bottom w:w="100" w:type="dxa"/>
              <w:right w:w="100" w:type="dxa"/>
            </w:tcMar>
            <w:vAlign w:val="center"/>
          </w:tcPr>
          <w:p w14:paraId="0136B4DB" w14:textId="77777777" w:rsidR="00A53D2B" w:rsidRDefault="00A53D2B" w:rsidP="008B1BFC">
            <w:pPr>
              <w:widowControl w:val="0"/>
              <w:pBdr>
                <w:top w:val="nil"/>
                <w:left w:val="nil"/>
                <w:bottom w:val="nil"/>
                <w:right w:val="nil"/>
                <w:between w:val="nil"/>
              </w:pBdr>
              <w:spacing w:before="0" w:after="0"/>
              <w:ind w:firstLine="0"/>
              <w:rPr>
                <w:rFonts w:eastAsia="Times New Roman" w:cs="Times New Roman"/>
              </w:rPr>
            </w:pPr>
          </w:p>
        </w:tc>
        <w:tc>
          <w:tcPr>
            <w:tcW w:w="1131" w:type="dxa"/>
            <w:tcBorders>
              <w:top w:val="single" w:sz="8" w:space="0" w:color="5B9BD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2AC4E18B" w14:textId="77777777" w:rsidR="00A53D2B" w:rsidRDefault="00A53D2B" w:rsidP="008B1BFC">
            <w:pPr>
              <w:spacing w:before="0" w:after="0"/>
              <w:ind w:firstLine="14"/>
              <w:jc w:val="center"/>
              <w:rPr>
                <w:rFonts w:eastAsia="Times New Roman" w:cs="Times New Roman"/>
              </w:rPr>
            </w:pPr>
            <w:r>
              <w:rPr>
                <w:rFonts w:eastAsia="Times New Roman" w:cs="Times New Roman"/>
                <w:b/>
                <w:color w:val="000000"/>
                <w:sz w:val="20"/>
                <w:szCs w:val="20"/>
              </w:rPr>
              <w:t>Suprafața totală, km</w:t>
            </w:r>
            <w:r>
              <w:rPr>
                <w:rFonts w:eastAsia="Times New Roman" w:cs="Times New Roman"/>
                <w:b/>
                <w:color w:val="000000"/>
                <w:sz w:val="20"/>
                <w:szCs w:val="20"/>
                <w:vertAlign w:val="superscript"/>
              </w:rPr>
              <w:t>2</w:t>
            </w:r>
          </w:p>
        </w:tc>
        <w:tc>
          <w:tcPr>
            <w:tcW w:w="1566" w:type="dxa"/>
            <w:tcBorders>
              <w:top w:val="single" w:sz="8" w:space="0" w:color="5B9BD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5E0D5CE0" w14:textId="77777777" w:rsidR="00A53D2B" w:rsidRDefault="00A53D2B" w:rsidP="008B1BFC">
            <w:pPr>
              <w:spacing w:before="0" w:after="0"/>
              <w:ind w:firstLine="17"/>
              <w:jc w:val="center"/>
              <w:rPr>
                <w:rFonts w:eastAsia="Times New Roman" w:cs="Times New Roman"/>
              </w:rPr>
            </w:pPr>
            <w:r>
              <w:rPr>
                <w:rFonts w:eastAsia="Times New Roman" w:cs="Times New Roman"/>
                <w:b/>
                <w:color w:val="000000"/>
                <w:sz w:val="20"/>
                <w:szCs w:val="20"/>
              </w:rPr>
              <w:t>D6C1-1</w:t>
            </w:r>
          </w:p>
          <w:p w14:paraId="41B0D860" w14:textId="77777777" w:rsidR="00A53D2B" w:rsidRDefault="00A53D2B" w:rsidP="008B1BFC">
            <w:pPr>
              <w:spacing w:before="0" w:after="0"/>
              <w:ind w:firstLine="17"/>
              <w:jc w:val="center"/>
              <w:rPr>
                <w:rFonts w:eastAsia="Times New Roman" w:cs="Times New Roman"/>
              </w:rPr>
            </w:pPr>
            <w:r>
              <w:rPr>
                <w:rFonts w:eastAsia="Times New Roman" w:cs="Times New Roman"/>
                <w:b/>
                <w:color w:val="000000"/>
                <w:sz w:val="20"/>
                <w:szCs w:val="20"/>
              </w:rPr>
              <w:t>Suprafeţe pierdute prin lucrări hidrotehnice, km</w:t>
            </w:r>
            <w:r>
              <w:rPr>
                <w:rFonts w:eastAsia="Times New Roman" w:cs="Times New Roman"/>
                <w:b/>
                <w:color w:val="000000"/>
                <w:sz w:val="20"/>
                <w:szCs w:val="20"/>
                <w:vertAlign w:val="superscript"/>
              </w:rPr>
              <w:t>2</w:t>
            </w:r>
          </w:p>
        </w:tc>
        <w:tc>
          <w:tcPr>
            <w:tcW w:w="1541" w:type="dxa"/>
            <w:tcBorders>
              <w:top w:val="single" w:sz="8" w:space="0" w:color="5B9BD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3869B8B0" w14:textId="77777777" w:rsidR="00A53D2B" w:rsidRDefault="00A53D2B" w:rsidP="008B1BFC">
            <w:pPr>
              <w:spacing w:before="0" w:after="0"/>
              <w:ind w:firstLine="10"/>
              <w:jc w:val="center"/>
              <w:rPr>
                <w:rFonts w:eastAsia="Times New Roman" w:cs="Times New Roman"/>
              </w:rPr>
            </w:pPr>
            <w:r>
              <w:rPr>
                <w:rFonts w:eastAsia="Times New Roman" w:cs="Times New Roman"/>
                <w:b/>
                <w:color w:val="000000"/>
                <w:sz w:val="20"/>
                <w:szCs w:val="20"/>
              </w:rPr>
              <w:t>D6C1-2</w:t>
            </w:r>
          </w:p>
          <w:p w14:paraId="4ADEFB4C" w14:textId="77777777" w:rsidR="00A53D2B" w:rsidRDefault="00A53D2B" w:rsidP="008B1BFC">
            <w:pPr>
              <w:spacing w:before="0" w:after="0"/>
              <w:ind w:firstLine="10"/>
              <w:jc w:val="center"/>
              <w:rPr>
                <w:rFonts w:eastAsia="Times New Roman" w:cs="Times New Roman"/>
              </w:rPr>
            </w:pPr>
            <w:r>
              <w:rPr>
                <w:rFonts w:eastAsia="Times New Roman" w:cs="Times New Roman"/>
                <w:b/>
                <w:color w:val="000000"/>
                <w:sz w:val="20"/>
                <w:szCs w:val="20"/>
              </w:rPr>
              <w:t>Suprafeţe pierdute prin îndepărtare substrat (2008-2015), km</w:t>
            </w:r>
            <w:r>
              <w:rPr>
                <w:rFonts w:eastAsia="Times New Roman" w:cs="Times New Roman"/>
                <w:b/>
                <w:color w:val="000000"/>
                <w:sz w:val="20"/>
                <w:szCs w:val="20"/>
                <w:vertAlign w:val="superscript"/>
              </w:rPr>
              <w:t>2</w:t>
            </w:r>
          </w:p>
        </w:tc>
        <w:tc>
          <w:tcPr>
            <w:tcW w:w="1543" w:type="dxa"/>
            <w:tcBorders>
              <w:top w:val="single" w:sz="8" w:space="0" w:color="5B9BD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675B77C3" w14:textId="77777777" w:rsidR="00A53D2B" w:rsidRDefault="00A53D2B" w:rsidP="008B1BFC">
            <w:pPr>
              <w:spacing w:before="0" w:after="0"/>
              <w:ind w:firstLine="28"/>
              <w:jc w:val="center"/>
              <w:rPr>
                <w:rFonts w:eastAsia="Times New Roman" w:cs="Times New Roman"/>
              </w:rPr>
            </w:pPr>
            <w:r>
              <w:rPr>
                <w:rFonts w:eastAsia="Times New Roman" w:cs="Times New Roman"/>
                <w:b/>
                <w:color w:val="000000"/>
                <w:sz w:val="20"/>
                <w:szCs w:val="20"/>
              </w:rPr>
              <w:t>D6C2- 1 Suprafeţe disturbate urmare a activităţilor umane, km</w:t>
            </w:r>
            <w:r>
              <w:rPr>
                <w:rFonts w:eastAsia="Times New Roman" w:cs="Times New Roman"/>
                <w:b/>
                <w:color w:val="000000"/>
                <w:sz w:val="20"/>
                <w:szCs w:val="20"/>
                <w:vertAlign w:val="superscript"/>
              </w:rPr>
              <w:t>2</w:t>
            </w:r>
          </w:p>
        </w:tc>
        <w:tc>
          <w:tcPr>
            <w:tcW w:w="1931" w:type="dxa"/>
            <w:tcBorders>
              <w:top w:val="single" w:sz="8" w:space="0" w:color="5B9BD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3B0E55EC" w14:textId="77777777" w:rsidR="00A53D2B" w:rsidRDefault="00A53D2B" w:rsidP="008B1BFC">
            <w:pPr>
              <w:spacing w:before="0" w:after="0"/>
              <w:ind w:firstLine="45"/>
              <w:jc w:val="center"/>
              <w:rPr>
                <w:rFonts w:eastAsia="Times New Roman" w:cs="Times New Roman"/>
              </w:rPr>
            </w:pPr>
            <w:r>
              <w:rPr>
                <w:rFonts w:eastAsia="Times New Roman" w:cs="Times New Roman"/>
                <w:b/>
                <w:color w:val="000000"/>
                <w:sz w:val="20"/>
                <w:szCs w:val="20"/>
              </w:rPr>
              <w:t>D6C2- 2 Suprafeţe disturbate ca urmare a proceselor morfodinamice, km</w:t>
            </w:r>
            <w:r>
              <w:rPr>
                <w:rFonts w:eastAsia="Times New Roman" w:cs="Times New Roman"/>
                <w:b/>
                <w:color w:val="000000"/>
                <w:sz w:val="20"/>
                <w:szCs w:val="20"/>
                <w:vertAlign w:val="superscript"/>
              </w:rPr>
              <w:t>2</w:t>
            </w:r>
          </w:p>
        </w:tc>
      </w:tr>
      <w:tr w:rsidR="00A53D2B" w14:paraId="27991BB7" w14:textId="77777777" w:rsidTr="008B1BFC">
        <w:trPr>
          <w:trHeight w:val="488"/>
          <w:jc w:val="center"/>
        </w:trPr>
        <w:tc>
          <w:tcPr>
            <w:tcW w:w="1294"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007C8078" w14:textId="77777777" w:rsidR="00A53D2B" w:rsidRDefault="00A53D2B" w:rsidP="008B1BFC">
            <w:pPr>
              <w:spacing w:before="0" w:after="0"/>
              <w:ind w:firstLine="0"/>
              <w:rPr>
                <w:rFonts w:eastAsia="Times New Roman" w:cs="Times New Roman"/>
              </w:rPr>
            </w:pPr>
            <w:r>
              <w:rPr>
                <w:rFonts w:eastAsia="Times New Roman" w:cs="Times New Roman"/>
                <w:b/>
                <w:color w:val="000000"/>
                <w:sz w:val="20"/>
                <w:szCs w:val="20"/>
              </w:rPr>
              <w:t>Sedimente litorale</w:t>
            </w:r>
          </w:p>
        </w:tc>
        <w:tc>
          <w:tcPr>
            <w:tcW w:w="1131"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4359264E" w14:textId="77777777" w:rsidR="00A53D2B" w:rsidRDefault="00A53D2B" w:rsidP="008B1BFC">
            <w:pPr>
              <w:spacing w:before="0" w:after="0"/>
              <w:ind w:firstLine="14"/>
              <w:jc w:val="center"/>
              <w:rPr>
                <w:rFonts w:eastAsia="Times New Roman" w:cs="Times New Roman"/>
              </w:rPr>
            </w:pPr>
            <w:r>
              <w:rPr>
                <w:rFonts w:eastAsia="Times New Roman" w:cs="Times New Roman"/>
                <w:color w:val="000000"/>
                <w:sz w:val="20"/>
                <w:szCs w:val="20"/>
              </w:rPr>
              <w:t> </w:t>
            </w:r>
          </w:p>
        </w:tc>
        <w:tc>
          <w:tcPr>
            <w:tcW w:w="1566"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4E1F4658" w14:textId="77777777" w:rsidR="00A53D2B" w:rsidRDefault="00A53D2B" w:rsidP="008B1BFC">
            <w:pPr>
              <w:spacing w:before="0" w:after="0"/>
              <w:ind w:firstLine="17"/>
              <w:jc w:val="center"/>
              <w:rPr>
                <w:rFonts w:eastAsia="Times New Roman" w:cs="Times New Roman"/>
              </w:rPr>
            </w:pPr>
            <w:r>
              <w:rPr>
                <w:rFonts w:eastAsia="Times New Roman" w:cs="Times New Roman"/>
                <w:color w:val="000000"/>
                <w:sz w:val="20"/>
                <w:szCs w:val="20"/>
              </w:rPr>
              <w:t> </w:t>
            </w:r>
          </w:p>
        </w:tc>
        <w:tc>
          <w:tcPr>
            <w:tcW w:w="1541"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20DA7244" w14:textId="77777777" w:rsidR="00A53D2B" w:rsidRDefault="00A53D2B" w:rsidP="008B1BFC">
            <w:pPr>
              <w:spacing w:before="0" w:after="0"/>
              <w:ind w:firstLine="10"/>
              <w:jc w:val="center"/>
              <w:rPr>
                <w:rFonts w:eastAsia="Times New Roman" w:cs="Times New Roman"/>
              </w:rPr>
            </w:pPr>
            <w:r>
              <w:rPr>
                <w:rFonts w:eastAsia="Times New Roman" w:cs="Times New Roman"/>
                <w:color w:val="000000"/>
                <w:sz w:val="20"/>
                <w:szCs w:val="20"/>
              </w:rPr>
              <w:t> </w:t>
            </w:r>
          </w:p>
        </w:tc>
        <w:tc>
          <w:tcPr>
            <w:tcW w:w="1543"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775E5B70" w14:textId="77777777" w:rsidR="00A53D2B" w:rsidRDefault="00A53D2B" w:rsidP="008B1BFC">
            <w:pPr>
              <w:spacing w:before="0" w:after="0"/>
              <w:ind w:firstLine="28"/>
              <w:jc w:val="center"/>
              <w:rPr>
                <w:rFonts w:eastAsia="Times New Roman" w:cs="Times New Roman"/>
              </w:rPr>
            </w:pPr>
            <w:r>
              <w:rPr>
                <w:rFonts w:eastAsia="Times New Roman" w:cs="Times New Roman"/>
                <w:color w:val="000000"/>
                <w:sz w:val="20"/>
                <w:szCs w:val="20"/>
              </w:rPr>
              <w:t> </w:t>
            </w:r>
          </w:p>
        </w:tc>
        <w:tc>
          <w:tcPr>
            <w:tcW w:w="1931"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79E6D57D" w14:textId="77777777" w:rsidR="00A53D2B" w:rsidRDefault="00A53D2B" w:rsidP="008B1BFC">
            <w:pPr>
              <w:spacing w:before="0" w:after="0"/>
              <w:ind w:firstLine="45"/>
              <w:jc w:val="center"/>
              <w:rPr>
                <w:rFonts w:eastAsia="Times New Roman" w:cs="Times New Roman"/>
              </w:rPr>
            </w:pPr>
            <w:r>
              <w:rPr>
                <w:rFonts w:eastAsia="Times New Roman" w:cs="Times New Roman"/>
                <w:color w:val="000000"/>
                <w:sz w:val="20"/>
                <w:szCs w:val="20"/>
              </w:rPr>
              <w:t>4-7</w:t>
            </w:r>
          </w:p>
        </w:tc>
      </w:tr>
      <w:tr w:rsidR="00A53D2B" w14:paraId="432C9E5D" w14:textId="77777777" w:rsidTr="008B1BFC">
        <w:trPr>
          <w:trHeight w:val="420"/>
          <w:jc w:val="center"/>
        </w:trPr>
        <w:tc>
          <w:tcPr>
            <w:tcW w:w="1294" w:type="dxa"/>
            <w:tcBorders>
              <w:top w:val="single" w:sz="8" w:space="0" w:color="9CC2E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37C90656" w14:textId="77777777" w:rsidR="00A53D2B" w:rsidRDefault="00A53D2B" w:rsidP="008B1BFC">
            <w:pPr>
              <w:spacing w:before="0" w:after="0"/>
              <w:ind w:firstLine="0"/>
              <w:rPr>
                <w:rFonts w:eastAsia="Times New Roman" w:cs="Times New Roman"/>
              </w:rPr>
            </w:pPr>
            <w:r>
              <w:rPr>
                <w:rFonts w:eastAsia="Times New Roman" w:cs="Times New Roman"/>
                <w:b/>
                <w:color w:val="000000"/>
                <w:sz w:val="20"/>
                <w:szCs w:val="20"/>
              </w:rPr>
              <w:t>Nisipuri infralitorale</w:t>
            </w:r>
          </w:p>
        </w:tc>
        <w:tc>
          <w:tcPr>
            <w:tcW w:w="1131" w:type="dxa"/>
            <w:tcBorders>
              <w:top w:val="single" w:sz="8" w:space="0" w:color="9CC2E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3604D654" w14:textId="77777777" w:rsidR="00A53D2B" w:rsidRDefault="00A53D2B" w:rsidP="008B1BFC">
            <w:pPr>
              <w:spacing w:before="0" w:after="0"/>
              <w:ind w:firstLine="14"/>
              <w:jc w:val="center"/>
              <w:rPr>
                <w:rFonts w:eastAsia="Times New Roman" w:cs="Times New Roman"/>
              </w:rPr>
            </w:pPr>
            <w:r>
              <w:rPr>
                <w:rFonts w:eastAsia="Times New Roman" w:cs="Times New Roman"/>
                <w:color w:val="000000"/>
                <w:sz w:val="20"/>
                <w:szCs w:val="20"/>
              </w:rPr>
              <w:t>650</w:t>
            </w:r>
          </w:p>
        </w:tc>
        <w:tc>
          <w:tcPr>
            <w:tcW w:w="1566" w:type="dxa"/>
            <w:tcBorders>
              <w:top w:val="single" w:sz="8" w:space="0" w:color="9CC2E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729F1A1F" w14:textId="77777777" w:rsidR="00A53D2B" w:rsidRDefault="00A53D2B" w:rsidP="008B1BFC">
            <w:pPr>
              <w:spacing w:before="0" w:after="0"/>
              <w:ind w:firstLine="17"/>
              <w:jc w:val="center"/>
              <w:rPr>
                <w:rFonts w:eastAsia="Times New Roman" w:cs="Times New Roman"/>
              </w:rPr>
            </w:pPr>
            <w:r>
              <w:rPr>
                <w:rFonts w:eastAsia="Times New Roman" w:cs="Times New Roman"/>
                <w:color w:val="000000"/>
                <w:sz w:val="20"/>
                <w:szCs w:val="20"/>
              </w:rPr>
              <w:t>2,06</w:t>
            </w:r>
          </w:p>
        </w:tc>
        <w:tc>
          <w:tcPr>
            <w:tcW w:w="1541" w:type="dxa"/>
            <w:tcBorders>
              <w:top w:val="single" w:sz="8" w:space="0" w:color="9CC2E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5CBA0DA6" w14:textId="77777777" w:rsidR="00A53D2B" w:rsidRDefault="00A53D2B" w:rsidP="008B1BFC">
            <w:pPr>
              <w:spacing w:before="0" w:after="0"/>
              <w:ind w:firstLine="10"/>
              <w:jc w:val="center"/>
              <w:rPr>
                <w:rFonts w:eastAsia="Times New Roman" w:cs="Times New Roman"/>
              </w:rPr>
            </w:pPr>
            <w:r>
              <w:rPr>
                <w:rFonts w:eastAsia="Times New Roman" w:cs="Times New Roman"/>
                <w:color w:val="000000"/>
                <w:sz w:val="20"/>
                <w:szCs w:val="20"/>
              </w:rPr>
              <w:t> </w:t>
            </w:r>
          </w:p>
        </w:tc>
        <w:tc>
          <w:tcPr>
            <w:tcW w:w="1543" w:type="dxa"/>
            <w:tcBorders>
              <w:top w:val="single" w:sz="8" w:space="0" w:color="9CC2E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68AA72D8" w14:textId="77777777" w:rsidR="00A53D2B" w:rsidRDefault="00A53D2B" w:rsidP="008B1BFC">
            <w:pPr>
              <w:spacing w:before="0" w:after="0"/>
              <w:ind w:firstLine="28"/>
              <w:jc w:val="center"/>
              <w:rPr>
                <w:rFonts w:eastAsia="Times New Roman" w:cs="Times New Roman"/>
              </w:rPr>
            </w:pPr>
            <w:r>
              <w:rPr>
                <w:rFonts w:eastAsia="Times New Roman" w:cs="Times New Roman"/>
                <w:color w:val="000000"/>
                <w:sz w:val="20"/>
                <w:szCs w:val="20"/>
              </w:rPr>
              <w:t>24</w:t>
            </w:r>
          </w:p>
        </w:tc>
        <w:tc>
          <w:tcPr>
            <w:tcW w:w="1931" w:type="dxa"/>
            <w:tcBorders>
              <w:top w:val="single" w:sz="8" w:space="0" w:color="9CC2E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6E04A4A1" w14:textId="77777777" w:rsidR="00A53D2B" w:rsidRDefault="00A53D2B" w:rsidP="008B1BFC">
            <w:pPr>
              <w:spacing w:before="0" w:after="0"/>
              <w:ind w:firstLine="45"/>
              <w:jc w:val="center"/>
              <w:rPr>
                <w:rFonts w:eastAsia="Times New Roman" w:cs="Times New Roman"/>
              </w:rPr>
            </w:pPr>
            <w:r>
              <w:rPr>
                <w:rFonts w:eastAsia="Times New Roman" w:cs="Times New Roman"/>
                <w:color w:val="000000"/>
                <w:sz w:val="20"/>
                <w:szCs w:val="20"/>
              </w:rPr>
              <w:t> </w:t>
            </w:r>
          </w:p>
        </w:tc>
      </w:tr>
      <w:tr w:rsidR="00A53D2B" w14:paraId="77FF6432" w14:textId="77777777" w:rsidTr="008B1BFC">
        <w:trPr>
          <w:trHeight w:val="420"/>
          <w:jc w:val="center"/>
        </w:trPr>
        <w:tc>
          <w:tcPr>
            <w:tcW w:w="1294"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21C42297" w14:textId="77777777" w:rsidR="00A53D2B" w:rsidRDefault="00A53D2B" w:rsidP="008B1BFC">
            <w:pPr>
              <w:spacing w:before="0" w:after="0"/>
              <w:ind w:firstLine="0"/>
              <w:rPr>
                <w:rFonts w:eastAsia="Times New Roman" w:cs="Times New Roman"/>
              </w:rPr>
            </w:pPr>
            <w:r>
              <w:rPr>
                <w:rFonts w:eastAsia="Times New Roman" w:cs="Times New Roman"/>
                <w:b/>
                <w:color w:val="000000"/>
                <w:sz w:val="20"/>
                <w:szCs w:val="20"/>
              </w:rPr>
              <w:t>Mâluri infralitorale</w:t>
            </w:r>
          </w:p>
        </w:tc>
        <w:tc>
          <w:tcPr>
            <w:tcW w:w="1131"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7C6FB54C" w14:textId="77777777" w:rsidR="00A53D2B" w:rsidRDefault="00A53D2B" w:rsidP="008B1BFC">
            <w:pPr>
              <w:spacing w:before="0" w:after="0"/>
              <w:ind w:firstLine="14"/>
              <w:jc w:val="center"/>
              <w:rPr>
                <w:rFonts w:eastAsia="Times New Roman" w:cs="Times New Roman"/>
              </w:rPr>
            </w:pPr>
            <w:r>
              <w:rPr>
                <w:rFonts w:eastAsia="Times New Roman" w:cs="Times New Roman"/>
                <w:color w:val="000000"/>
                <w:sz w:val="20"/>
                <w:szCs w:val="20"/>
              </w:rPr>
              <w:t>493</w:t>
            </w:r>
          </w:p>
        </w:tc>
        <w:tc>
          <w:tcPr>
            <w:tcW w:w="1566"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648B1886" w14:textId="77777777" w:rsidR="00A53D2B" w:rsidRDefault="00A53D2B" w:rsidP="008B1BFC">
            <w:pPr>
              <w:spacing w:before="0" w:after="0"/>
              <w:ind w:firstLine="17"/>
              <w:jc w:val="center"/>
              <w:rPr>
                <w:rFonts w:eastAsia="Times New Roman" w:cs="Times New Roman"/>
              </w:rPr>
            </w:pPr>
            <w:r>
              <w:rPr>
                <w:rFonts w:eastAsia="Times New Roman" w:cs="Times New Roman"/>
                <w:color w:val="000000"/>
                <w:sz w:val="20"/>
                <w:szCs w:val="20"/>
              </w:rPr>
              <w:t> </w:t>
            </w:r>
          </w:p>
        </w:tc>
        <w:tc>
          <w:tcPr>
            <w:tcW w:w="1541"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4738A685" w14:textId="77777777" w:rsidR="00A53D2B" w:rsidRDefault="00A53D2B" w:rsidP="008B1BFC">
            <w:pPr>
              <w:spacing w:before="0" w:after="0"/>
              <w:ind w:firstLine="10"/>
              <w:jc w:val="center"/>
              <w:rPr>
                <w:rFonts w:eastAsia="Times New Roman" w:cs="Times New Roman"/>
              </w:rPr>
            </w:pPr>
            <w:r>
              <w:rPr>
                <w:rFonts w:eastAsia="Times New Roman" w:cs="Times New Roman"/>
                <w:color w:val="000000"/>
                <w:sz w:val="20"/>
                <w:szCs w:val="20"/>
              </w:rPr>
              <w:t> </w:t>
            </w:r>
          </w:p>
        </w:tc>
        <w:tc>
          <w:tcPr>
            <w:tcW w:w="1543"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63590DFD" w14:textId="77777777" w:rsidR="00A53D2B" w:rsidRDefault="00A53D2B" w:rsidP="008B1BFC">
            <w:pPr>
              <w:spacing w:before="0" w:after="0"/>
              <w:ind w:firstLine="28"/>
              <w:jc w:val="center"/>
              <w:rPr>
                <w:rFonts w:eastAsia="Times New Roman" w:cs="Times New Roman"/>
              </w:rPr>
            </w:pPr>
            <w:r>
              <w:rPr>
                <w:rFonts w:eastAsia="Times New Roman" w:cs="Times New Roman"/>
                <w:color w:val="000000"/>
                <w:sz w:val="20"/>
                <w:szCs w:val="20"/>
              </w:rPr>
              <w:t>73</w:t>
            </w:r>
          </w:p>
        </w:tc>
        <w:tc>
          <w:tcPr>
            <w:tcW w:w="1931"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6A7A7C4C" w14:textId="77777777" w:rsidR="00A53D2B" w:rsidRDefault="00A53D2B" w:rsidP="008B1BFC">
            <w:pPr>
              <w:spacing w:before="0" w:after="0"/>
              <w:ind w:firstLine="45"/>
              <w:jc w:val="center"/>
              <w:rPr>
                <w:rFonts w:eastAsia="Times New Roman" w:cs="Times New Roman"/>
              </w:rPr>
            </w:pPr>
            <w:r>
              <w:rPr>
                <w:rFonts w:eastAsia="Times New Roman" w:cs="Times New Roman"/>
                <w:color w:val="000000"/>
                <w:sz w:val="20"/>
                <w:szCs w:val="20"/>
              </w:rPr>
              <w:t> </w:t>
            </w:r>
          </w:p>
        </w:tc>
      </w:tr>
      <w:tr w:rsidR="00A53D2B" w14:paraId="134E194C" w14:textId="77777777" w:rsidTr="008B1BFC">
        <w:trPr>
          <w:trHeight w:val="435"/>
          <w:jc w:val="center"/>
        </w:trPr>
        <w:tc>
          <w:tcPr>
            <w:tcW w:w="1294" w:type="dxa"/>
            <w:tcBorders>
              <w:top w:val="single" w:sz="8" w:space="0" w:color="9CC2E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1BB3C448" w14:textId="77777777" w:rsidR="00A53D2B" w:rsidRDefault="00A53D2B" w:rsidP="008B1BFC">
            <w:pPr>
              <w:spacing w:before="0" w:after="0"/>
              <w:ind w:firstLine="0"/>
              <w:rPr>
                <w:rFonts w:eastAsia="Times New Roman" w:cs="Times New Roman"/>
              </w:rPr>
            </w:pPr>
            <w:r>
              <w:rPr>
                <w:rFonts w:eastAsia="Times New Roman" w:cs="Times New Roman"/>
                <w:b/>
                <w:color w:val="000000"/>
                <w:sz w:val="20"/>
                <w:szCs w:val="20"/>
              </w:rPr>
              <w:t>Nisipuri circalitorale</w:t>
            </w:r>
          </w:p>
        </w:tc>
        <w:tc>
          <w:tcPr>
            <w:tcW w:w="1131" w:type="dxa"/>
            <w:tcBorders>
              <w:top w:val="single" w:sz="8" w:space="0" w:color="9CC2E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5A7DCA35" w14:textId="77777777" w:rsidR="00A53D2B" w:rsidRDefault="00A53D2B" w:rsidP="008B1BFC">
            <w:pPr>
              <w:spacing w:before="0" w:after="0"/>
              <w:ind w:firstLine="14"/>
              <w:jc w:val="center"/>
              <w:rPr>
                <w:rFonts w:eastAsia="Times New Roman" w:cs="Times New Roman"/>
              </w:rPr>
            </w:pPr>
            <w:r>
              <w:rPr>
                <w:rFonts w:eastAsia="Times New Roman" w:cs="Times New Roman"/>
                <w:color w:val="000000"/>
                <w:sz w:val="20"/>
                <w:szCs w:val="20"/>
              </w:rPr>
              <w:t>800</w:t>
            </w:r>
          </w:p>
        </w:tc>
        <w:tc>
          <w:tcPr>
            <w:tcW w:w="1566" w:type="dxa"/>
            <w:tcBorders>
              <w:top w:val="single" w:sz="8" w:space="0" w:color="9CC2E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26C33B1B" w14:textId="77777777" w:rsidR="00A53D2B" w:rsidRDefault="00A53D2B" w:rsidP="008B1BFC">
            <w:pPr>
              <w:spacing w:before="0" w:after="0"/>
              <w:ind w:firstLine="17"/>
              <w:jc w:val="center"/>
              <w:rPr>
                <w:rFonts w:eastAsia="Times New Roman" w:cs="Times New Roman"/>
              </w:rPr>
            </w:pPr>
            <w:r>
              <w:rPr>
                <w:rFonts w:eastAsia="Times New Roman" w:cs="Times New Roman"/>
                <w:color w:val="000000"/>
                <w:sz w:val="20"/>
                <w:szCs w:val="20"/>
              </w:rPr>
              <w:t> </w:t>
            </w:r>
          </w:p>
        </w:tc>
        <w:tc>
          <w:tcPr>
            <w:tcW w:w="1541" w:type="dxa"/>
            <w:tcBorders>
              <w:top w:val="single" w:sz="8" w:space="0" w:color="9CC2E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2ABF4B35" w14:textId="77777777" w:rsidR="00A53D2B" w:rsidRDefault="00A53D2B" w:rsidP="008B1BFC">
            <w:pPr>
              <w:spacing w:before="0" w:after="0"/>
              <w:ind w:firstLine="10"/>
              <w:jc w:val="center"/>
              <w:rPr>
                <w:rFonts w:eastAsia="Times New Roman" w:cs="Times New Roman"/>
              </w:rPr>
            </w:pPr>
            <w:r>
              <w:rPr>
                <w:rFonts w:eastAsia="Times New Roman" w:cs="Times New Roman"/>
                <w:color w:val="000000"/>
                <w:sz w:val="20"/>
                <w:szCs w:val="20"/>
              </w:rPr>
              <w:t>3</w:t>
            </w:r>
          </w:p>
        </w:tc>
        <w:tc>
          <w:tcPr>
            <w:tcW w:w="1543" w:type="dxa"/>
            <w:tcBorders>
              <w:top w:val="single" w:sz="8" w:space="0" w:color="9CC2E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07B50646" w14:textId="77777777" w:rsidR="00A53D2B" w:rsidRDefault="00A53D2B" w:rsidP="008B1BFC">
            <w:pPr>
              <w:spacing w:before="0" w:after="0"/>
              <w:ind w:firstLine="28"/>
              <w:jc w:val="center"/>
              <w:rPr>
                <w:rFonts w:eastAsia="Times New Roman" w:cs="Times New Roman"/>
              </w:rPr>
            </w:pPr>
            <w:r>
              <w:rPr>
                <w:rFonts w:eastAsia="Times New Roman" w:cs="Times New Roman"/>
                <w:color w:val="000000"/>
                <w:sz w:val="20"/>
                <w:szCs w:val="20"/>
              </w:rPr>
              <w:t>170</w:t>
            </w:r>
          </w:p>
        </w:tc>
        <w:tc>
          <w:tcPr>
            <w:tcW w:w="1931" w:type="dxa"/>
            <w:tcBorders>
              <w:top w:val="single" w:sz="8" w:space="0" w:color="9CC2E5"/>
              <w:left w:val="single" w:sz="8" w:space="0" w:color="9CC2E5"/>
              <w:bottom w:val="single" w:sz="8" w:space="0" w:color="9CC2E5"/>
              <w:right w:val="single" w:sz="8" w:space="0" w:color="9CC2E5"/>
            </w:tcBorders>
            <w:shd w:val="clear" w:color="auto" w:fill="DEEAF6"/>
            <w:tcMar>
              <w:top w:w="100" w:type="dxa"/>
              <w:left w:w="100" w:type="dxa"/>
              <w:bottom w:w="100" w:type="dxa"/>
              <w:right w:w="100" w:type="dxa"/>
            </w:tcMar>
          </w:tcPr>
          <w:p w14:paraId="46BE72FC" w14:textId="77777777" w:rsidR="00A53D2B" w:rsidRDefault="00A53D2B" w:rsidP="008B1BFC">
            <w:pPr>
              <w:spacing w:before="0" w:after="0"/>
              <w:ind w:firstLine="45"/>
              <w:jc w:val="center"/>
              <w:rPr>
                <w:rFonts w:eastAsia="Times New Roman" w:cs="Times New Roman"/>
              </w:rPr>
            </w:pPr>
            <w:r>
              <w:rPr>
                <w:rFonts w:eastAsia="Times New Roman" w:cs="Times New Roman"/>
                <w:color w:val="000000"/>
                <w:sz w:val="20"/>
                <w:szCs w:val="20"/>
              </w:rPr>
              <w:t> </w:t>
            </w:r>
          </w:p>
        </w:tc>
      </w:tr>
      <w:tr w:rsidR="00A53D2B" w14:paraId="1553803F" w14:textId="77777777" w:rsidTr="008B1BFC">
        <w:trPr>
          <w:trHeight w:val="435"/>
          <w:jc w:val="center"/>
        </w:trPr>
        <w:tc>
          <w:tcPr>
            <w:tcW w:w="1294"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362D33BB" w14:textId="77777777" w:rsidR="00A53D2B" w:rsidRDefault="00A53D2B" w:rsidP="008B1BFC">
            <w:pPr>
              <w:spacing w:before="0" w:after="0"/>
              <w:ind w:firstLine="0"/>
              <w:rPr>
                <w:rFonts w:eastAsia="Times New Roman" w:cs="Times New Roman"/>
              </w:rPr>
            </w:pPr>
            <w:r>
              <w:rPr>
                <w:rFonts w:eastAsia="Times New Roman" w:cs="Times New Roman"/>
                <w:b/>
                <w:color w:val="000000"/>
                <w:sz w:val="20"/>
                <w:szCs w:val="20"/>
              </w:rPr>
              <w:t>Mâluri circalitorale</w:t>
            </w:r>
          </w:p>
        </w:tc>
        <w:tc>
          <w:tcPr>
            <w:tcW w:w="1131"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7F264C78" w14:textId="77777777" w:rsidR="00A53D2B" w:rsidRDefault="00A53D2B" w:rsidP="008B1BFC">
            <w:pPr>
              <w:spacing w:before="0" w:after="0"/>
              <w:ind w:firstLine="14"/>
              <w:jc w:val="center"/>
              <w:rPr>
                <w:rFonts w:eastAsia="Times New Roman" w:cs="Times New Roman"/>
              </w:rPr>
            </w:pPr>
            <w:r>
              <w:rPr>
                <w:rFonts w:eastAsia="Times New Roman" w:cs="Times New Roman"/>
                <w:color w:val="000000"/>
                <w:sz w:val="20"/>
                <w:szCs w:val="20"/>
              </w:rPr>
              <w:t>8200</w:t>
            </w:r>
          </w:p>
        </w:tc>
        <w:tc>
          <w:tcPr>
            <w:tcW w:w="1566"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7B5098FE" w14:textId="77777777" w:rsidR="00A53D2B" w:rsidRDefault="00A53D2B" w:rsidP="008B1BFC">
            <w:pPr>
              <w:spacing w:before="0" w:after="0"/>
              <w:ind w:firstLine="17"/>
              <w:jc w:val="center"/>
              <w:rPr>
                <w:rFonts w:eastAsia="Times New Roman" w:cs="Times New Roman"/>
              </w:rPr>
            </w:pPr>
            <w:r>
              <w:rPr>
                <w:rFonts w:eastAsia="Times New Roman" w:cs="Times New Roman"/>
                <w:color w:val="000000"/>
                <w:sz w:val="20"/>
                <w:szCs w:val="20"/>
              </w:rPr>
              <w:t> </w:t>
            </w:r>
          </w:p>
        </w:tc>
        <w:tc>
          <w:tcPr>
            <w:tcW w:w="1541"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5E0A3CC9" w14:textId="77777777" w:rsidR="00A53D2B" w:rsidRDefault="00A53D2B" w:rsidP="008B1BFC">
            <w:pPr>
              <w:spacing w:before="0" w:after="0"/>
              <w:ind w:firstLine="10"/>
              <w:jc w:val="center"/>
              <w:rPr>
                <w:rFonts w:eastAsia="Times New Roman" w:cs="Times New Roman"/>
              </w:rPr>
            </w:pPr>
            <w:r>
              <w:rPr>
                <w:rFonts w:eastAsia="Times New Roman" w:cs="Times New Roman"/>
                <w:color w:val="000000"/>
                <w:sz w:val="20"/>
                <w:szCs w:val="20"/>
              </w:rPr>
              <w:t>2,6</w:t>
            </w:r>
          </w:p>
        </w:tc>
        <w:tc>
          <w:tcPr>
            <w:tcW w:w="1543"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49CAD63E" w14:textId="77777777" w:rsidR="00A53D2B" w:rsidRDefault="00A53D2B" w:rsidP="008B1BFC">
            <w:pPr>
              <w:spacing w:before="0" w:after="0"/>
              <w:ind w:firstLine="28"/>
              <w:jc w:val="center"/>
              <w:rPr>
                <w:rFonts w:eastAsia="Times New Roman" w:cs="Times New Roman"/>
              </w:rPr>
            </w:pPr>
            <w:r>
              <w:rPr>
                <w:rFonts w:eastAsia="Times New Roman" w:cs="Times New Roman"/>
                <w:color w:val="000000"/>
                <w:sz w:val="20"/>
                <w:szCs w:val="20"/>
              </w:rPr>
              <w:t xml:space="preserve"> 1152</w:t>
            </w:r>
          </w:p>
        </w:tc>
        <w:tc>
          <w:tcPr>
            <w:tcW w:w="1931" w:type="dxa"/>
            <w:tcBorders>
              <w:top w:val="single" w:sz="8" w:space="0" w:color="9CC2E5"/>
              <w:left w:val="single" w:sz="8" w:space="0" w:color="9CC2E5"/>
              <w:bottom w:val="single" w:sz="8" w:space="0" w:color="9CC2E5"/>
              <w:right w:val="single" w:sz="8" w:space="0" w:color="9CC2E5"/>
            </w:tcBorders>
            <w:tcMar>
              <w:top w:w="100" w:type="dxa"/>
              <w:left w:w="100" w:type="dxa"/>
              <w:bottom w:w="100" w:type="dxa"/>
              <w:right w:w="100" w:type="dxa"/>
            </w:tcMar>
          </w:tcPr>
          <w:p w14:paraId="0589DF98" w14:textId="77777777" w:rsidR="00A53D2B" w:rsidRDefault="00A53D2B" w:rsidP="008B1BFC">
            <w:pPr>
              <w:spacing w:before="0" w:after="0"/>
              <w:ind w:firstLine="45"/>
              <w:jc w:val="center"/>
              <w:rPr>
                <w:rFonts w:eastAsia="Times New Roman" w:cs="Times New Roman"/>
              </w:rPr>
            </w:pPr>
            <w:r>
              <w:rPr>
                <w:rFonts w:eastAsia="Times New Roman" w:cs="Times New Roman"/>
                <w:color w:val="000000"/>
                <w:sz w:val="20"/>
                <w:szCs w:val="20"/>
              </w:rPr>
              <w:t> </w:t>
            </w:r>
          </w:p>
        </w:tc>
      </w:tr>
    </w:tbl>
    <w:p w14:paraId="3F6BA2F0" w14:textId="77777777" w:rsidR="00A53D2B" w:rsidRDefault="00A53D2B" w:rsidP="00A53D2B">
      <w:pPr>
        <w:spacing w:after="0"/>
        <w:rPr>
          <w:b/>
          <w:i/>
          <w:color w:val="000000"/>
          <w:sz w:val="26"/>
          <w:szCs w:val="26"/>
        </w:rPr>
      </w:pPr>
    </w:p>
    <w:p w14:paraId="1F56B7EB" w14:textId="77777777" w:rsidR="00A53D2B" w:rsidRDefault="00A53D2B" w:rsidP="00A53D2B">
      <w:pPr>
        <w:rPr>
          <w:rFonts w:eastAsia="Times New Roman" w:cs="Times New Roman"/>
          <w:b/>
          <w:i/>
        </w:rPr>
      </w:pPr>
      <w:r>
        <w:rPr>
          <w:rFonts w:eastAsia="Times New Roman" w:cs="Times New Roman"/>
          <w:b/>
          <w:i/>
        </w:rPr>
        <w:t>Pescuitul necontrolat și ilegal</w:t>
      </w:r>
    </w:p>
    <w:p w14:paraId="5CDA66F8" w14:textId="77777777" w:rsidR="00A53D2B" w:rsidRDefault="00A53D2B" w:rsidP="008B1BFC">
      <w:pPr>
        <w:spacing w:before="0" w:line="257" w:lineRule="auto"/>
        <w:ind w:firstLine="567"/>
        <w:rPr>
          <w:rFonts w:eastAsia="Times New Roman" w:cs="Times New Roman"/>
        </w:rPr>
      </w:pPr>
      <w:r>
        <w:rPr>
          <w:rFonts w:eastAsia="Times New Roman" w:cs="Times New Roman"/>
          <w:color w:val="000000"/>
        </w:rPr>
        <w:t>La nivelul Uniunii Europene, această problemă a pescuitului ilegal și excesiv este reglementată printr-o serie de regulamente, precum:</w:t>
      </w:r>
    </w:p>
    <w:p w14:paraId="41AD2590" w14:textId="77777777" w:rsidR="00A53D2B" w:rsidRDefault="00A53D2B" w:rsidP="008B1BFC">
      <w:pPr>
        <w:spacing w:before="0" w:line="257" w:lineRule="auto"/>
        <w:ind w:firstLine="567"/>
        <w:rPr>
          <w:rFonts w:eastAsia="Times New Roman" w:cs="Times New Roman"/>
        </w:rPr>
      </w:pPr>
      <w:r>
        <w:rPr>
          <w:rFonts w:eastAsia="Times New Roman" w:cs="Times New Roman"/>
          <w:color w:val="000000"/>
        </w:rPr>
        <w:t>- Regulamentul (CE) nr. 1005/2008 al Consiliului din 29 septembrie 2008 de instituire a unui sistem comunitar pentru prevenirea, descurajarea și eliminarea pescuitului ilegal, nedeclarat și nereglementat, de modificare a Regulamentelor (CEE) nr. 2847/93, (CE) nr. 1936/2001 și (CE) nr. 601/2004 și de abrogare a Regulamentelor (CE) nr. 1093/94 și (CE) nr. 1447/1999;</w:t>
      </w:r>
    </w:p>
    <w:p w14:paraId="2A86ED9D" w14:textId="77777777" w:rsidR="00A53D2B" w:rsidRDefault="00A53D2B" w:rsidP="008B1BFC">
      <w:pPr>
        <w:spacing w:before="0" w:line="257" w:lineRule="auto"/>
        <w:ind w:firstLine="567"/>
        <w:rPr>
          <w:rFonts w:eastAsia="Times New Roman" w:cs="Times New Roman"/>
        </w:rPr>
      </w:pPr>
      <w:r>
        <w:rPr>
          <w:rFonts w:eastAsia="Times New Roman" w:cs="Times New Roman"/>
          <w:color w:val="000000"/>
        </w:rPr>
        <w:t>- Regulamentul (CE) nr. 1224/2009 al Consiliului din 20 noiembrie 2009 de stabilire a unui sistem de control al Uniunii pentru asigurarea respectării normelor politicii comune în domeniul pescuitului, de modificare a Regulamentelor (CE) nr. 847/96, (CE) nr. 2371/2002, (CE) nr. 811/2004, (CE) nr. 768/2005, (CE) nr. 2115/2005, (CE) nr. 2166/2005, (CE) nr. 388/2006, (CE) nr. 509/2007, (CE) nr. 676/2007, (CE) nr. 1098/2007, (CE) nr. 1300/2008, (CE) nr. 1342/2008 și de abrogare a Regulamentelor (CEE) nr. 2847/93, (CE) nr. 1627/94 și (CE) nr. 1966/2006;</w:t>
      </w:r>
    </w:p>
    <w:p w14:paraId="155673E2" w14:textId="77777777" w:rsidR="00A53D2B" w:rsidRDefault="00A53D2B" w:rsidP="008B1BFC">
      <w:pPr>
        <w:spacing w:before="0" w:line="257" w:lineRule="auto"/>
        <w:ind w:firstLine="567"/>
        <w:rPr>
          <w:rFonts w:eastAsia="Times New Roman" w:cs="Times New Roman"/>
        </w:rPr>
      </w:pPr>
      <w:r>
        <w:rPr>
          <w:rFonts w:eastAsia="Times New Roman" w:cs="Times New Roman"/>
          <w:color w:val="000000"/>
        </w:rPr>
        <w:t>- Regulamentul (UE) 2017/2403 al Parlamentului European și al Consiliului din 12 decembrie 2017 privind gestionarea sustenabilă a flotelor de pescuit externe și de abrogare a Regulamentului (CE) nr. 1006/2008 al Consiliului Europei.</w:t>
      </w:r>
    </w:p>
    <w:p w14:paraId="30A86265" w14:textId="77777777" w:rsidR="00A53D2B" w:rsidRDefault="00A53D2B" w:rsidP="008B1BFC">
      <w:pPr>
        <w:spacing w:before="0" w:line="257" w:lineRule="auto"/>
        <w:ind w:firstLine="567"/>
        <w:rPr>
          <w:rFonts w:eastAsia="Times New Roman" w:cs="Times New Roman"/>
        </w:rPr>
      </w:pPr>
      <w:r>
        <w:rPr>
          <w:rFonts w:eastAsia="Times New Roman" w:cs="Times New Roman"/>
          <w:color w:val="000000"/>
        </w:rPr>
        <w:lastRenderedPageBreak/>
        <w:t xml:space="preserve">În </w:t>
      </w:r>
      <w:r>
        <w:rPr>
          <w:rFonts w:eastAsia="Times New Roman" w:cs="Times New Roman"/>
        </w:rPr>
        <w:t>România</w:t>
      </w:r>
      <w:r>
        <w:rPr>
          <w:rFonts w:eastAsia="Times New Roman" w:cs="Times New Roman"/>
          <w:color w:val="000000"/>
        </w:rPr>
        <w:t>, Programul pentru Acvacultură și Pescuit 2021-2027 prevede abordări specifice pentru reglementarea pescuitului excesiv și ilegal, precum și pentru măsuri privind colectarea uneltelor de pescuit abandonate.</w:t>
      </w:r>
    </w:p>
    <w:p w14:paraId="46D3867F" w14:textId="77777777" w:rsidR="00A53D2B" w:rsidRDefault="00A53D2B" w:rsidP="008B1BFC">
      <w:pPr>
        <w:spacing w:before="0" w:line="257" w:lineRule="auto"/>
        <w:ind w:firstLine="567"/>
        <w:rPr>
          <w:rFonts w:eastAsia="Times New Roman" w:cs="Times New Roman"/>
        </w:rPr>
      </w:pPr>
      <w:r>
        <w:rPr>
          <w:rFonts w:eastAsia="Times New Roman" w:cs="Times New Roman"/>
          <w:color w:val="000000"/>
        </w:rPr>
        <w:t>În acord cu legislația menționată, utilizarea în exces a capacităţii de pescuit crește presiunea asupra autorităţii de management de a depăşi mortalitatea optimă prin pescuit şi face dificilă aplicarea reglementărilor de restricţionare a efortului de pescuit. Prin pescuit responsabil nu se permite ca dintr-o resursă naturală să fie recoltat mai mult decât poate fi înlocuit prin creşterea netă în stoc, altfel, resursele pescăreşti vor fi epuizate în timp.</w:t>
      </w:r>
    </w:p>
    <w:p w14:paraId="3BDB8CC1" w14:textId="77777777" w:rsidR="00A53D2B" w:rsidRDefault="00A53D2B" w:rsidP="008B1BFC">
      <w:pPr>
        <w:spacing w:before="0" w:line="257" w:lineRule="auto"/>
        <w:ind w:firstLine="567"/>
        <w:rPr>
          <w:rFonts w:eastAsia="Times New Roman" w:cs="Times New Roman"/>
        </w:rPr>
      </w:pPr>
      <w:r>
        <w:rPr>
          <w:rFonts w:eastAsia="Times New Roman" w:cs="Times New Roman"/>
          <w:color w:val="000000"/>
        </w:rPr>
        <w:t>Intensificarea activităţilor de pescuit asupra unui stoc sau a unei populaţii de peşti, produce următoarele consecințe: a) descreşte fracţiunea exploatabilă a biomasei totale; b) creşte reîntinerirea părţii exploatabile; c) descreşte rapid în biomasa exploatabilă şi în capturi; d) scade mortalitatea datorată vârstei; e) schimbă rata medie de creştere în sensul sporirii ei; f) modifică mortalitatea prin prădare şi canibalism. Situaţiile care determină influenţa pescuitului asupra prerecruţilor şi asupra populaţiei exploatabile rămase, sunt: a) rata de creştere a exemplarelor; b) tendinţa de cârduire pe grupe de mărimi; c) selectivitatea uneltelor de pescuit.</w:t>
      </w:r>
    </w:p>
    <w:p w14:paraId="70B3A10D" w14:textId="77777777" w:rsidR="00A53D2B" w:rsidRDefault="00A53D2B" w:rsidP="008B1BFC">
      <w:pPr>
        <w:spacing w:before="0" w:line="257" w:lineRule="auto"/>
        <w:ind w:firstLine="567"/>
        <w:rPr>
          <w:rFonts w:eastAsia="Times New Roman" w:cs="Times New Roman"/>
        </w:rPr>
      </w:pPr>
      <w:r>
        <w:rPr>
          <w:rFonts w:eastAsia="Times New Roman" w:cs="Times New Roman"/>
          <w:color w:val="000000"/>
        </w:rPr>
        <w:t>Pescuitul excesiv în apele costiere românești afectează mărimea relativă a populaţiilor de prădători şi pradă. Astfel se explică: a) dispariția din capturi a peștilor pelagici (pălămida, scrumbia albastră, etc.) în favoarea speciilor de talie mică, hamsia şi şprotul; b) indirect, sunt afectate populaţiile de delfini, prin diminuarea surselor de hrană preferată de aceştia, c) necesitatea adaptării la noi surse de hrană şi sisteme de capturare a acestora; d) reducerea biodiversității speciilor din Delta Dunării.</w:t>
      </w:r>
    </w:p>
    <w:p w14:paraId="363660DE" w14:textId="77777777" w:rsidR="00A53D2B" w:rsidRDefault="00A53D2B" w:rsidP="008B1BFC">
      <w:pPr>
        <w:spacing w:before="0" w:line="257" w:lineRule="auto"/>
        <w:ind w:firstLine="567"/>
        <w:rPr>
          <w:rFonts w:eastAsia="Times New Roman" w:cs="Times New Roman"/>
        </w:rPr>
      </w:pPr>
      <w:r>
        <w:rPr>
          <w:rFonts w:eastAsia="Times New Roman" w:cs="Times New Roman"/>
          <w:color w:val="000000"/>
        </w:rPr>
        <w:t>Activitatea intensă de pescuit ilegal, a fost exercitată în ultimile decenii, atât la nivel artizanal de către localnici (braconaj) folosind setci şi ohane, cât, mai ales, pescuitul intens de nivel industrial, efectuat de către nave străine, în special turcești, de tip seiner, care pot amplasa în mare sute de setci, pe zeci de kilometri (sub formă de şiruri), cu latura ochiului de plasă de 160-180 mm (minimul legal admis fiind de 200 mm, conform legislaţiei naţionale) şi de ave (unelte interzise de legislaţia naţională), folosite în special pentru bararea drumului de migraţie al calcanului.</w:t>
      </w:r>
    </w:p>
    <w:p w14:paraId="5F2EE2EA" w14:textId="77777777" w:rsidR="00A53D2B" w:rsidRDefault="00A53D2B" w:rsidP="008B1BFC">
      <w:pPr>
        <w:spacing w:before="0" w:line="257" w:lineRule="auto"/>
        <w:ind w:firstLine="567"/>
        <w:rPr>
          <w:rFonts w:eastAsia="Times New Roman" w:cs="Times New Roman"/>
        </w:rPr>
      </w:pPr>
      <w:r>
        <w:rPr>
          <w:rFonts w:eastAsia="Times New Roman" w:cs="Times New Roman"/>
          <w:color w:val="000000"/>
        </w:rPr>
        <w:t>În prezent, stabilirea și aplicarea măsurilor tehnice de reglementare a pescuitului (zone, perioade, mărimi ale speciilor, tipuri de unelte, dimensiunea ochiului de plasă, etc.), precum și controlul efortului de pescuit şi a capturii total admisibile (TAC-ului) a redus semnificativ această presiune. Totuși, ANPA a raportat, pentru 2019, capturi ilegale de 1184,5 kg calcan, 15,3 kg rechin și 11,85 kg pisică de mare. </w:t>
      </w:r>
    </w:p>
    <w:p w14:paraId="24C402AD" w14:textId="77777777" w:rsidR="00A53D2B" w:rsidRDefault="00A53D2B" w:rsidP="00A53D2B">
      <w:pPr>
        <w:rPr>
          <w:rFonts w:eastAsia="Times New Roman" w:cs="Times New Roman"/>
          <w:b/>
          <w:i/>
        </w:rPr>
      </w:pPr>
      <w:r>
        <w:rPr>
          <w:rFonts w:eastAsia="Times New Roman" w:cs="Times New Roman"/>
          <w:b/>
          <w:i/>
        </w:rPr>
        <w:t>Dezvoltare urbană excesivă și necontrolată</w:t>
      </w:r>
    </w:p>
    <w:p w14:paraId="0EA76E42" w14:textId="77777777" w:rsidR="00A53D2B" w:rsidRDefault="00A53D2B" w:rsidP="008B1BFC">
      <w:pPr>
        <w:spacing w:before="0"/>
        <w:ind w:firstLine="567"/>
        <w:rPr>
          <w:rFonts w:eastAsia="Times New Roman" w:cs="Times New Roman"/>
        </w:rPr>
      </w:pPr>
      <w:r>
        <w:rPr>
          <w:rFonts w:eastAsia="Times New Roman" w:cs="Times New Roman"/>
        </w:rPr>
        <w:t>Din analiza planificării spațiale a unităților administrativ-teritoriale și a modului de utilizare a teritoriilor intravilane, rezultă contrastul dintre modelele de dezvoltare din sectorul nordic și cel sudic al zonei costiere. Astfel, în timp ce în partea nordică, aferentă Deltei Dunării, se înregistrează un proces de restrângere a funcțiunii teritoriale de locuire, care urmează procesului de depopulare a comunităților, în partea sudică a zonei costiere se înregistrează un model de „Expansiune urbană necontrolată” descris în Strategia națională de dezvoltare integrată pentru orașe reziliente, verzi, incluzive și competitive 2022- 2035.</w:t>
      </w:r>
    </w:p>
    <w:p w14:paraId="483D916C" w14:textId="77777777" w:rsidR="00A53D2B" w:rsidRDefault="00A53D2B" w:rsidP="008B1BFC">
      <w:pPr>
        <w:spacing w:before="0"/>
        <w:ind w:firstLine="567"/>
        <w:rPr>
          <w:rFonts w:eastAsia="Times New Roman" w:cs="Times New Roman"/>
        </w:rPr>
      </w:pPr>
      <w:r>
        <w:rPr>
          <w:rFonts w:eastAsia="Times New Roman" w:cs="Times New Roman"/>
        </w:rPr>
        <w:t xml:space="preserve">Acest mod de dezvoltare urbană a luat amploare după 2006, când creșterea din nucleul urban Constanța a încetinit, în timp ce expansiunea în localitățile periurbane s-a intensificat, în </w:t>
      </w:r>
      <w:r>
        <w:rPr>
          <w:rFonts w:eastAsia="Times New Roman" w:cs="Times New Roman"/>
        </w:rPr>
        <w:lastRenderedPageBreak/>
        <w:t>special în Navodari și Agigea, prin extinderea intravilanelor pe terenurile libere existente. Această expansiune s-a datorat schimbării preferințelor privind locuirea, dar fără să fie însoțit și de o calitate mai bună a spațiului construit, precum și a vieții.</w:t>
      </w:r>
    </w:p>
    <w:p w14:paraId="7D00C5F4" w14:textId="77777777" w:rsidR="00A53D2B" w:rsidRDefault="00A53D2B" w:rsidP="008B1BFC">
      <w:pPr>
        <w:spacing w:before="0"/>
        <w:ind w:firstLine="567"/>
        <w:rPr>
          <w:rFonts w:eastAsia="Times New Roman" w:cs="Times New Roman"/>
        </w:rPr>
      </w:pPr>
      <w:r>
        <w:rPr>
          <w:rFonts w:eastAsia="Times New Roman" w:cs="Times New Roman"/>
        </w:rPr>
        <w:t>Această expansiune a fost însoțită de următoarele provocări:</w:t>
      </w:r>
    </w:p>
    <w:p w14:paraId="21B72D29" w14:textId="77777777" w:rsidR="00A53D2B" w:rsidRDefault="00A53D2B" w:rsidP="008B1BFC">
      <w:pPr>
        <w:spacing w:before="0"/>
        <w:ind w:firstLine="567"/>
        <w:rPr>
          <w:rFonts w:eastAsia="Times New Roman" w:cs="Times New Roman"/>
        </w:rPr>
      </w:pPr>
      <w:r>
        <w:rPr>
          <w:rFonts w:eastAsia="Times New Roman" w:cs="Times New Roman"/>
        </w:rPr>
        <w:t>- în ceea ce privește utilizarea terenului, extinderea este dominată de expansiunea rezidențială precum și de expansiunea rezidențial – turistică. În special în Mamaia și în Mamaia Nord–Năvodari, s-au extins construcțiile apart-hotel, cât și locuințele de vacanță și cele cu dublă destinație – locuire și închiriere pentru turism. Acest mod de creștere reprezintă o amenințare pentru resursele naturale și perturbă activitatea agricolă din jurul orașelor;</w:t>
      </w:r>
    </w:p>
    <w:p w14:paraId="0B4C39C4" w14:textId="77777777" w:rsidR="00A53D2B" w:rsidRDefault="00A53D2B" w:rsidP="008B1BFC">
      <w:pPr>
        <w:spacing w:before="0"/>
        <w:ind w:firstLine="567"/>
        <w:rPr>
          <w:rFonts w:eastAsia="Times New Roman" w:cs="Times New Roman"/>
        </w:rPr>
      </w:pPr>
      <w:r>
        <w:rPr>
          <w:rFonts w:eastAsia="Times New Roman" w:cs="Times New Roman"/>
        </w:rPr>
        <w:t>- noile clustere de dezvoltare au conexiuni de transport public slabe sau inexistente către nucleul urban (Constanța), bazându-se pe un stil de viață dependent de mașină personală ce produce congestia traficului, amprente de carbon individuale mai mari și inegalități sociale. În același timp, o nouă infrastructură rutieră se dezvoltă treptat, împreună cu proiecte individuale, ducând la o lipsă de planificare și structură. Străzile în zonele de extindere a intravilanelor, cu precădere cele din localitățile rurale, rămân deseori neasfaltate mult timp după apariția dezvoltării și pe măsură ce comunitățile cresc, capacitatea rutieră este rapid copleșită de volumul de trafic (Strategia naționale de dezvoltare integrată pentru orașe reziliente, verzi, incluzive și competitive 2022- 2035);</w:t>
      </w:r>
    </w:p>
    <w:p w14:paraId="0650CCB4" w14:textId="77777777" w:rsidR="00A53D2B" w:rsidRDefault="00A53D2B" w:rsidP="008B1BFC">
      <w:pPr>
        <w:spacing w:before="0"/>
        <w:ind w:firstLine="567"/>
        <w:rPr>
          <w:rFonts w:eastAsia="Times New Roman" w:cs="Times New Roman"/>
        </w:rPr>
      </w:pPr>
      <w:r>
        <w:rPr>
          <w:rFonts w:eastAsia="Times New Roman" w:cs="Times New Roman"/>
        </w:rPr>
        <w:t>- în cadrul noilor dezvoltări, rețelele de utilități publice rămân în urmă, punând presiune suplimentară pe autoritățile publice pentru extinderea și modernizarea acestor rețele. Infrastructura de bază pentru apă, canalizare și gaz trebuie să ajungă din urmă extinderea, altfel, dacă dezvoltarea se alimentează la rețelele de utilități ale unei dezvoltări adiacente, aceasta supraîncărcând sistemul. Datorită dezvoltării individuale progresive sau a schemelor suburbane incomplete, noile comunități nu dispun de trotuare, străzi laterale și iluminat stradal (Strategiei naționale de dezvoltare integrată pentru orașe reziliente, verzi, incluzive și competitive 2022- 2035);</w:t>
      </w:r>
    </w:p>
    <w:p w14:paraId="64C9C737" w14:textId="77777777" w:rsidR="00A53D2B" w:rsidRDefault="00A53D2B" w:rsidP="008B1BFC">
      <w:pPr>
        <w:spacing w:before="0"/>
        <w:ind w:firstLine="567"/>
        <w:rPr>
          <w:rFonts w:eastAsia="Times New Roman" w:cs="Times New Roman"/>
        </w:rPr>
      </w:pPr>
      <w:r>
        <w:rPr>
          <w:rFonts w:eastAsia="Times New Roman" w:cs="Times New Roman"/>
        </w:rPr>
        <w:t>- infrastructura socială este omisă din planificarea noilor comunități. În consecință, populația rezidentă se bazează pe școlile, serviciile de sănătate și facilitățile de petrecere a timpului liber oferite de localitățile înconjurătoare sau din nucleul urban, facilități care devin rapid supraaglomerate și subfinanțate, deoarece rezidenții periurbani nu au o contribuție directă la jurisdicțiile respective. În plus, noile comunități sunt lipsite de vitalitate și identitate socială, deoarece nu au infrastructura necesară pentru a genera întâlniri și a stimula implicarea comunității (Strategiei naționale de dezvoltare integrată pentru orașe reziliente, verzi, incluzive și competitive 2022-2035).</w:t>
      </w:r>
    </w:p>
    <w:p w14:paraId="2BEC812B" w14:textId="77777777" w:rsidR="00A53D2B" w:rsidRDefault="00A53D2B" w:rsidP="008B1BFC">
      <w:pPr>
        <w:spacing w:before="0"/>
        <w:rPr>
          <w:rFonts w:eastAsia="Times New Roman" w:cs="Times New Roman"/>
          <w:b/>
          <w:i/>
        </w:rPr>
      </w:pPr>
      <w:r>
        <w:rPr>
          <w:rFonts w:eastAsia="Times New Roman" w:cs="Times New Roman"/>
          <w:b/>
          <w:i/>
        </w:rPr>
        <w:t>Modificarea condițiilor hidrologice</w:t>
      </w:r>
    </w:p>
    <w:p w14:paraId="2B240F96" w14:textId="77777777" w:rsidR="00A53D2B" w:rsidRDefault="00A53D2B" w:rsidP="008B1BFC">
      <w:pPr>
        <w:spacing w:before="0"/>
        <w:ind w:firstLine="567"/>
        <w:rPr>
          <w:rFonts w:eastAsia="Times New Roman" w:cs="Times New Roman"/>
        </w:rPr>
      </w:pPr>
      <w:r>
        <w:rPr>
          <w:rFonts w:eastAsia="Times New Roman" w:cs="Times New Roman"/>
        </w:rPr>
        <w:t>În partea de nord a zonei costiere, aferentă Deltei Dunării, modificările hidrologice nu induc efecte negative, ele având ca scop îmbunătăţirea condiţiilor de navigaţie pe Dunăre, accesului navelor din mare spre teritoriu, asigurarea unor condiţii mai bune pentru exploatarea resurselor naturale din interiorul deltei, dar și pentru dragarea și decolmatarea unor canalele, precum și pentru redresarea unor zone afectate de lucrările din trecut.</w:t>
      </w:r>
    </w:p>
    <w:p w14:paraId="2176B37A" w14:textId="77777777" w:rsidR="00A53D2B" w:rsidRDefault="00A53D2B" w:rsidP="008B1BFC">
      <w:pPr>
        <w:spacing w:before="0"/>
        <w:ind w:firstLine="567"/>
        <w:rPr>
          <w:rFonts w:eastAsia="Times New Roman" w:cs="Times New Roman"/>
        </w:rPr>
      </w:pPr>
      <w:r>
        <w:rPr>
          <w:rFonts w:eastAsia="Times New Roman" w:cs="Times New Roman"/>
        </w:rPr>
        <w:lastRenderedPageBreak/>
        <w:t xml:space="preserve">În sectorul sudic se află în plină desfășurare execuția proiectului ”Reducerea eroziunii costiere – Faza II (2014-2020). Perimetre: 2 Mai, Mangalia (Saturn, Balta Mangalia, Venus, Cap Aurora, Jupiter, Neptun, Olimp), </w:t>
      </w:r>
      <w:sdt>
        <w:sdtPr>
          <w:tag w:val="goog_rdk_50"/>
          <w:id w:val="1058204102"/>
        </w:sdtPr>
        <w:sdtContent>
          <w:r>
            <w:rPr>
              <w:rFonts w:eastAsia="Times New Roman" w:cs="Times New Roman"/>
            </w:rPr>
            <w:t>Costinești</w:t>
          </w:r>
        </w:sdtContent>
      </w:sdt>
      <w:r>
        <w:rPr>
          <w:rFonts w:eastAsia="Times New Roman" w:cs="Times New Roman"/>
        </w:rPr>
        <w:t>, Eforie Sud, Eforie Centru, Agigea, Port Tomis – Constanța Port, Mamaia Centru, Mamaia Nord, Stăvilar Edighiol, Stăvilar Periboina)” care are ca obiect reabilitarea întregului sector sudic al litoralului românesc prin modificarea dimensiunilor celulelor de plaje (îndepărtarea unor structuri existente și execuția unor structuri noi), precum și lucrări de înnisipări ale plajelor realizarea. Prin implementarea acestui proiect se vor produce modificări locale, atât ale condițiilor hidrologice, cât și ale celor hidrodinamice. Acestea apar datorită dispariției celulelor costiere mici, cu dimensiuni de zeci de metri, delimitate de digurile sparge-val scurte existente. Celulele noi vor avea dimensiuni sensibil mai mari, de ordinul a sutelor de metri, delimitate de diguri sparge-val, perpendiculare pe coastă, mai lungi.</w:t>
      </w:r>
    </w:p>
    <w:p w14:paraId="61D01BD2" w14:textId="77777777" w:rsidR="00A53D2B" w:rsidRDefault="00A53D2B" w:rsidP="008B1BFC">
      <w:pPr>
        <w:spacing w:before="0"/>
        <w:ind w:firstLine="567"/>
        <w:rPr>
          <w:rFonts w:eastAsia="Times New Roman" w:cs="Times New Roman"/>
        </w:rPr>
      </w:pPr>
      <w:r>
        <w:rPr>
          <w:rFonts w:eastAsia="Times New Roman" w:cs="Times New Roman"/>
        </w:rPr>
        <w:t>Pe lângă beneficiile majore, respectiv reducerea eroziunii costiere, reducerea riscului prăbușirilor de falze și dezvoltarea turismului costier, acest proiect conduce și la modificări ale regimului curenților marini din zona de țărm (ex. curenți de tip rip) afectând, în sens negativ, habitatele bentale, biodiversitatea, dar și activitatea de turism (implicații asupra siguranței plajelor).</w:t>
      </w:r>
    </w:p>
    <w:p w14:paraId="19E6B3E9" w14:textId="07C83297" w:rsidR="00A53D2B" w:rsidRPr="00C0792F" w:rsidRDefault="00A53D2B" w:rsidP="008B1BFC">
      <w:pPr>
        <w:spacing w:before="0"/>
        <w:rPr>
          <w:rFonts w:eastAsia="Times New Roman" w:cs="Times New Roman"/>
          <w:sz w:val="28"/>
          <w:u w:val="single"/>
        </w:rPr>
      </w:pPr>
      <w:r>
        <w:rPr>
          <w:rFonts w:eastAsia="Times New Roman" w:cs="Times New Roman"/>
        </w:rPr>
        <w:t>Extinderea și înălțarea plajelor modifică zona în care are loc interacțiunea valurilor cu plaja. Astfel, apar modificări locale ale condițiilor de acces, și implicit apare o presiune asupra utilizării plajei. Însă aceste modificări au un caracter temporar, iar profilul plajelor reînnisipate va ajunge la un echilibru relativ stabil după 3-4 cicluri sezoniere după finalizarea lucrărilor.</w:t>
      </w:r>
    </w:p>
    <w:p w14:paraId="6ECEAD02" w14:textId="77777777" w:rsidR="00154C5C" w:rsidRDefault="00154C5C" w:rsidP="00AE2EAA"/>
    <w:p w14:paraId="07383E51" w14:textId="46532F1C" w:rsidR="008B1BFC" w:rsidRDefault="008B1BFC" w:rsidP="008B1BFC">
      <w:pPr>
        <w:pStyle w:val="Heading2"/>
      </w:pPr>
      <w:bookmarkStart w:id="137" w:name="_Toc150501474"/>
      <w:bookmarkStart w:id="138" w:name="_Toc169625152"/>
      <w:r>
        <w:t>2.6. Scopul și obiectivele planului de management</w:t>
      </w:r>
      <w:bookmarkEnd w:id="137"/>
      <w:bookmarkEnd w:id="138"/>
    </w:p>
    <w:p w14:paraId="13BB4AFF" w14:textId="77777777" w:rsidR="008B1BFC" w:rsidRDefault="008B1BFC" w:rsidP="002508D3">
      <w:pPr>
        <w:pBdr>
          <w:top w:val="nil"/>
          <w:left w:val="nil"/>
          <w:bottom w:val="nil"/>
          <w:right w:val="nil"/>
          <w:between w:val="nil"/>
        </w:pBdr>
        <w:spacing w:before="0"/>
        <w:ind w:firstLine="567"/>
        <w:rPr>
          <w:rFonts w:eastAsia="Times New Roman" w:cs="Times New Roman"/>
          <w:color w:val="000000"/>
        </w:rPr>
      </w:pPr>
      <w:r>
        <w:rPr>
          <w:rFonts w:eastAsia="Times New Roman" w:cs="Times New Roman"/>
          <w:b/>
          <w:color w:val="000000"/>
        </w:rPr>
        <w:t xml:space="preserve">Scopul </w:t>
      </w:r>
      <w:r>
        <w:rPr>
          <w:rFonts w:eastAsia="Times New Roman" w:cs="Times New Roman"/>
          <w:color w:val="000000"/>
        </w:rPr>
        <w:t xml:space="preserve">planului de management integrat al zonei costiere este de a defini clar instituțiile responsabile, modul și mijloacele lor de acțiune, precum și resursele necesare pentru implementarea Strategiei naționale privind gospodărirea integrată a zonei costiere în vederea îndeplinirii viziunii strategice pe termen lung de dezvoltare sustenabilă a zonei costiere. </w:t>
      </w:r>
    </w:p>
    <w:p w14:paraId="1338DA80" w14:textId="77777777" w:rsidR="008B1BFC" w:rsidRDefault="008B1BFC" w:rsidP="002508D3">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 xml:space="preserve">Astfel, </w:t>
      </w:r>
      <w:r>
        <w:rPr>
          <w:rFonts w:eastAsia="Times New Roman" w:cs="Times New Roman"/>
          <w:b/>
          <w:color w:val="000000"/>
        </w:rPr>
        <w:t xml:space="preserve">obiectivele </w:t>
      </w:r>
      <w:r>
        <w:rPr>
          <w:rFonts w:eastAsia="Times New Roman" w:cs="Times New Roman"/>
          <w:color w:val="000000"/>
        </w:rPr>
        <w:t>planului de management se confundă cu obiectivele generale ale Strategiei Naționale privind gospodărirea integraă a zonei costier și sunt următoarele:</w:t>
      </w:r>
    </w:p>
    <w:p w14:paraId="07232D61" w14:textId="77777777" w:rsidR="008B1BFC" w:rsidRDefault="008B1BFC" w:rsidP="002508D3">
      <w:pPr>
        <w:pBdr>
          <w:top w:val="nil"/>
          <w:left w:val="nil"/>
          <w:bottom w:val="nil"/>
          <w:right w:val="nil"/>
          <w:between w:val="nil"/>
        </w:pBdr>
        <w:spacing w:before="0"/>
        <w:ind w:firstLine="567"/>
        <w:rPr>
          <w:rFonts w:eastAsia="Times New Roman" w:cs="Times New Roman"/>
          <w:color w:val="000000"/>
        </w:rPr>
      </w:pPr>
      <w:r>
        <w:rPr>
          <w:rFonts w:eastAsia="Times New Roman" w:cs="Times New Roman"/>
          <w:i/>
          <w:color w:val="000000"/>
        </w:rPr>
        <w:t xml:space="preserve">O1. Conservarea valorilor naturale, peisagistice și culturale </w:t>
      </w:r>
    </w:p>
    <w:p w14:paraId="6B90A3A6" w14:textId="77777777" w:rsidR="008B1BFC" w:rsidRDefault="008B1BFC" w:rsidP="002508D3">
      <w:pPr>
        <w:pBdr>
          <w:top w:val="nil"/>
          <w:left w:val="nil"/>
          <w:bottom w:val="nil"/>
          <w:right w:val="nil"/>
          <w:between w:val="nil"/>
        </w:pBdr>
        <w:spacing w:before="0"/>
        <w:ind w:firstLine="567"/>
        <w:rPr>
          <w:rFonts w:eastAsia="Times New Roman" w:cs="Times New Roman"/>
          <w:color w:val="000000"/>
        </w:rPr>
      </w:pPr>
      <w:bookmarkStart w:id="139" w:name="_heading=h.1664s55" w:colFirst="0" w:colLast="0"/>
      <w:bookmarkEnd w:id="139"/>
      <w:r>
        <w:rPr>
          <w:rFonts w:eastAsia="Times New Roman" w:cs="Times New Roman"/>
          <w:i/>
          <w:color w:val="000000"/>
        </w:rPr>
        <w:t>O2. Prevenirea, reducerea și remedierea poluării</w:t>
      </w:r>
    </w:p>
    <w:p w14:paraId="26E30719" w14:textId="77777777" w:rsidR="008B1BFC" w:rsidRDefault="008B1BFC" w:rsidP="002508D3">
      <w:pPr>
        <w:pBdr>
          <w:top w:val="nil"/>
          <w:left w:val="nil"/>
          <w:bottom w:val="nil"/>
          <w:right w:val="nil"/>
          <w:between w:val="nil"/>
        </w:pBdr>
        <w:spacing w:before="0"/>
        <w:ind w:firstLine="567"/>
        <w:rPr>
          <w:rFonts w:eastAsia="Times New Roman" w:cs="Times New Roman"/>
          <w:color w:val="000000"/>
        </w:rPr>
      </w:pPr>
      <w:r>
        <w:rPr>
          <w:rFonts w:eastAsia="Times New Roman" w:cs="Times New Roman"/>
          <w:i/>
          <w:color w:val="000000"/>
        </w:rPr>
        <w:t>O3. Planificare spațială și dezvoltare spațială sustenabilă</w:t>
      </w:r>
    </w:p>
    <w:p w14:paraId="6E942438" w14:textId="77777777" w:rsidR="008B1BFC" w:rsidRDefault="008B1BFC" w:rsidP="002508D3">
      <w:pPr>
        <w:pBdr>
          <w:top w:val="nil"/>
          <w:left w:val="nil"/>
          <w:bottom w:val="nil"/>
          <w:right w:val="nil"/>
          <w:between w:val="nil"/>
        </w:pBdr>
        <w:spacing w:before="0"/>
        <w:ind w:firstLine="567"/>
        <w:rPr>
          <w:rFonts w:eastAsia="Times New Roman" w:cs="Times New Roman"/>
          <w:color w:val="000000"/>
        </w:rPr>
      </w:pPr>
      <w:r>
        <w:rPr>
          <w:rFonts w:eastAsia="Times New Roman" w:cs="Times New Roman"/>
          <w:i/>
          <w:color w:val="000000"/>
        </w:rPr>
        <w:t>O4. Dezvoltarea durabilă a zonei costiere</w:t>
      </w:r>
    </w:p>
    <w:p w14:paraId="443E65E4" w14:textId="77777777" w:rsidR="008B1BFC" w:rsidRDefault="008B1BFC" w:rsidP="002508D3">
      <w:pPr>
        <w:pBdr>
          <w:top w:val="nil"/>
          <w:left w:val="nil"/>
          <w:bottom w:val="nil"/>
          <w:right w:val="nil"/>
          <w:between w:val="nil"/>
        </w:pBdr>
        <w:spacing w:before="0"/>
        <w:ind w:firstLine="567"/>
        <w:rPr>
          <w:rFonts w:eastAsia="Times New Roman" w:cs="Times New Roman"/>
          <w:color w:val="000000"/>
        </w:rPr>
      </w:pPr>
      <w:r>
        <w:rPr>
          <w:rFonts w:eastAsia="Times New Roman" w:cs="Times New Roman"/>
          <w:i/>
          <w:color w:val="000000"/>
        </w:rPr>
        <w:t>O5. Creșterea eficienței sistemului de management al zonei costiere</w:t>
      </w:r>
    </w:p>
    <w:p w14:paraId="28D7A4E3" w14:textId="77777777" w:rsidR="008B1BFC" w:rsidRDefault="008B1BFC" w:rsidP="002508D3">
      <w:pPr>
        <w:pBdr>
          <w:top w:val="nil"/>
          <w:left w:val="nil"/>
          <w:bottom w:val="nil"/>
          <w:right w:val="nil"/>
          <w:between w:val="nil"/>
        </w:pBdr>
        <w:spacing w:before="0"/>
        <w:ind w:firstLine="567"/>
        <w:rPr>
          <w:rFonts w:eastAsia="Times New Roman" w:cs="Times New Roman"/>
          <w:color w:val="000000"/>
        </w:rPr>
      </w:pPr>
      <w:r>
        <w:rPr>
          <w:rFonts w:eastAsia="Times New Roman" w:cs="Times New Roman"/>
          <w:i/>
          <w:color w:val="000000"/>
        </w:rPr>
        <w:t xml:space="preserve">O6. Consolidarea resursei umane </w:t>
      </w:r>
    </w:p>
    <w:p w14:paraId="73DD4FC2" w14:textId="77777777" w:rsidR="008B1BFC" w:rsidRDefault="008B1BFC" w:rsidP="002508D3">
      <w:pPr>
        <w:pBdr>
          <w:top w:val="nil"/>
          <w:left w:val="nil"/>
          <w:bottom w:val="nil"/>
          <w:right w:val="nil"/>
          <w:between w:val="nil"/>
        </w:pBdr>
        <w:spacing w:before="0"/>
        <w:rPr>
          <w:rFonts w:eastAsia="Times New Roman" w:cs="Times New Roman"/>
          <w:b/>
        </w:rPr>
      </w:pPr>
    </w:p>
    <w:p w14:paraId="0C49C7A1" w14:textId="77777777" w:rsidR="008B1BFC" w:rsidRDefault="008B1BFC" w:rsidP="002508D3">
      <w:pPr>
        <w:pBdr>
          <w:top w:val="nil"/>
          <w:left w:val="nil"/>
          <w:bottom w:val="nil"/>
          <w:right w:val="nil"/>
          <w:between w:val="nil"/>
        </w:pBdr>
        <w:spacing w:before="0"/>
        <w:rPr>
          <w:rFonts w:eastAsia="Times New Roman" w:cs="Times New Roman"/>
          <w:b/>
          <w:i/>
        </w:rPr>
      </w:pPr>
      <w:r>
        <w:rPr>
          <w:rFonts w:eastAsia="Times New Roman" w:cs="Times New Roman"/>
          <w:b/>
          <w:i/>
        </w:rPr>
        <w:t>O1. Conservarea valorilor naturale, peisagistice și culturale</w:t>
      </w:r>
    </w:p>
    <w:p w14:paraId="057C3299" w14:textId="77777777" w:rsidR="008B1BFC" w:rsidRDefault="008B1BFC" w:rsidP="002508D3">
      <w:pPr>
        <w:pBdr>
          <w:top w:val="nil"/>
          <w:left w:val="nil"/>
          <w:bottom w:val="nil"/>
          <w:right w:val="nil"/>
          <w:between w:val="nil"/>
        </w:pBdr>
        <w:spacing w:before="0"/>
        <w:ind w:firstLine="567"/>
        <w:rPr>
          <w:rFonts w:eastAsia="Times New Roman" w:cs="Times New Roman"/>
          <w:i/>
        </w:rPr>
      </w:pPr>
      <w:r>
        <w:rPr>
          <w:rFonts w:eastAsia="Times New Roman" w:cs="Times New Roman"/>
        </w:rPr>
        <w:lastRenderedPageBreak/>
        <w:t>Aspectele referitoare la conservarea valorilor naturale, peisagistice și culturale sunt printre cele mai importante aspecte strategice pentru managementul integrat al zonei costiere românești. Valorile naturale, peisagistice și culturale ale zonei costiere reprezintă fundația de care depind păstrarea identității spațiale și a modului de viață al populației din zona costieră. Astfel, conservarea lor devine un element cheie al politicilor de dezvoltare pentru a asigura stabilitatea ecosistemelor și a serviciilor furnizate de către acestea, păstrarea atractivității zonei costiere, bunăstarea comunităților costiere, precum și în ceea ce privește conservarea abilităților societății și naturii de a se adapta la schimbările climatice.</w:t>
      </w:r>
      <w:r>
        <w:rPr>
          <w:rFonts w:eastAsia="Times New Roman" w:cs="Times New Roman"/>
          <w:i/>
        </w:rPr>
        <w:t xml:space="preserve"> </w:t>
      </w:r>
    </w:p>
    <w:p w14:paraId="08ADD986"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Obiectivele specifice definite pentru acest obiectiv general sunt:</w:t>
      </w:r>
    </w:p>
    <w:p w14:paraId="107E972A" w14:textId="77777777" w:rsidR="008B1BFC" w:rsidRDefault="008B1BFC" w:rsidP="002508D3">
      <w:pPr>
        <w:pBdr>
          <w:top w:val="nil"/>
          <w:left w:val="nil"/>
          <w:bottom w:val="nil"/>
          <w:right w:val="nil"/>
          <w:between w:val="nil"/>
        </w:pBdr>
        <w:spacing w:before="0"/>
        <w:rPr>
          <w:rFonts w:eastAsia="Times New Roman" w:cs="Times New Roman"/>
          <w:i/>
        </w:rPr>
      </w:pPr>
      <w:r>
        <w:rPr>
          <w:rFonts w:eastAsia="Times New Roman" w:cs="Times New Roman"/>
          <w:i/>
        </w:rPr>
        <w:t>O1.1. Protejarea eficientă a valorilor naturale, peisagistice și culturale</w:t>
      </w:r>
    </w:p>
    <w:p w14:paraId="6379E38C" w14:textId="77777777" w:rsidR="008B1BFC" w:rsidRDefault="008B1BFC" w:rsidP="002508D3">
      <w:pPr>
        <w:pBdr>
          <w:top w:val="nil"/>
          <w:left w:val="nil"/>
          <w:bottom w:val="nil"/>
          <w:right w:val="nil"/>
          <w:between w:val="nil"/>
        </w:pBdr>
        <w:spacing w:before="0"/>
        <w:rPr>
          <w:rFonts w:eastAsia="Times New Roman" w:cs="Times New Roman"/>
          <w:i/>
        </w:rPr>
      </w:pPr>
      <w:r>
        <w:rPr>
          <w:rFonts w:eastAsia="Times New Roman" w:cs="Times New Roman"/>
          <w:i/>
        </w:rPr>
        <w:t>O1.2. Îmbunătățirea și valorizarea serviciilor ecosistemice prin crearea unor mecanisme monetare și non-monetare</w:t>
      </w:r>
    </w:p>
    <w:p w14:paraId="561B6207" w14:textId="77777777" w:rsidR="008B1BFC" w:rsidRDefault="008B1BFC" w:rsidP="002508D3">
      <w:pPr>
        <w:pBdr>
          <w:top w:val="nil"/>
          <w:left w:val="nil"/>
          <w:bottom w:val="nil"/>
          <w:right w:val="nil"/>
          <w:between w:val="nil"/>
        </w:pBdr>
        <w:spacing w:before="0"/>
        <w:rPr>
          <w:rFonts w:eastAsia="Times New Roman" w:cs="Times New Roman"/>
          <w:b/>
          <w:i/>
        </w:rPr>
      </w:pPr>
      <w:r>
        <w:rPr>
          <w:rFonts w:eastAsia="Times New Roman" w:cs="Times New Roman"/>
          <w:b/>
          <w:i/>
        </w:rPr>
        <w:t xml:space="preserve">O2. Prevenirea, reducerea și remedierea efectelor schimbărilor climatice și poluării </w:t>
      </w:r>
    </w:p>
    <w:p w14:paraId="738C7D28" w14:textId="049B8F41"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Nivelul actual de dezvoltare al infrastructurii de mediu (stații de epurare a apelor uzate, eliminarea deșeurilor, infrastruct</w:t>
      </w:r>
      <w:r w:rsidR="009766FF">
        <w:rPr>
          <w:rFonts w:eastAsia="Times New Roman" w:cs="Times New Roman"/>
        </w:rPr>
        <w:t>u</w:t>
      </w:r>
      <w:r>
        <w:rPr>
          <w:rFonts w:eastAsia="Times New Roman" w:cs="Times New Roman"/>
        </w:rPr>
        <w:t xml:space="preserve">ra de monitorizare a mediului, etc.) nu este pe deplin suficient pentru asigurarea unei calități bune a apelor subterane și de suprafață, a solului și aerului. În plus, infrastructura insuficient dezvoltată limitează și potențialul de dezvoltare socio-economică. În aceste condiții apare necesitatea îmbunătățirii capacităților și calității infrastructurii existente prin investiții semnificative pentru dezvoltarea proiectelor de infrastructură, dar, în același timp, asigurându-se minimizarea impactului negativ asupra mediului datorat dezvoltării infrastructurii. </w:t>
      </w:r>
    </w:p>
    <w:p w14:paraId="6FAA66D5"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 xml:space="preserve">În condițiile unei variabilități pronunțate a climei și schimbări climatice, zonele costiere sunt direct expuse hazardelor naturale și impactului acestora. Prin urmare, este necesar un management al riscului la hazarde naturale performant care să limiteze la maximum impactul acestora asupra infrastructurii costiere. </w:t>
      </w:r>
    </w:p>
    <w:p w14:paraId="7737EA98"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Obiectivele specifice definite pentru acest obiectiv general sunt:</w:t>
      </w:r>
    </w:p>
    <w:p w14:paraId="372FB4BE" w14:textId="77777777" w:rsidR="008B1BFC" w:rsidRDefault="008B1BFC" w:rsidP="002508D3">
      <w:pPr>
        <w:pBdr>
          <w:top w:val="nil"/>
          <w:left w:val="nil"/>
          <w:bottom w:val="nil"/>
          <w:right w:val="nil"/>
          <w:between w:val="nil"/>
        </w:pBdr>
        <w:spacing w:before="0"/>
        <w:rPr>
          <w:rFonts w:eastAsia="Times New Roman" w:cs="Times New Roman"/>
          <w:i/>
        </w:rPr>
      </w:pPr>
      <w:r>
        <w:rPr>
          <w:rFonts w:eastAsia="Times New Roman" w:cs="Times New Roman"/>
          <w:i/>
        </w:rPr>
        <w:t>O2.1. Atingerea stării ecologice bune a ecosistemelor</w:t>
      </w:r>
    </w:p>
    <w:p w14:paraId="3C35A9AD" w14:textId="77777777" w:rsidR="008B1BFC" w:rsidRDefault="008B1BFC" w:rsidP="002508D3">
      <w:pPr>
        <w:pBdr>
          <w:top w:val="nil"/>
          <w:left w:val="nil"/>
          <w:bottom w:val="nil"/>
          <w:right w:val="nil"/>
          <w:between w:val="nil"/>
        </w:pBdr>
        <w:spacing w:before="0"/>
        <w:rPr>
          <w:rFonts w:eastAsia="Times New Roman" w:cs="Times New Roman"/>
          <w:i/>
        </w:rPr>
      </w:pPr>
      <w:r>
        <w:rPr>
          <w:rFonts w:eastAsia="Times New Roman" w:cs="Times New Roman"/>
          <w:i/>
        </w:rPr>
        <w:t>O2.2. Gestionarea, revitalizare și reabilitarea zonelor poluate din cauza depozitării, eliminării și tratării inadecvate a deșeurilor (solide și lichide)</w:t>
      </w:r>
    </w:p>
    <w:p w14:paraId="71BB24B7" w14:textId="77777777" w:rsidR="008B1BFC" w:rsidRDefault="008B1BFC" w:rsidP="002508D3">
      <w:pPr>
        <w:pBdr>
          <w:top w:val="nil"/>
          <w:left w:val="nil"/>
          <w:bottom w:val="nil"/>
          <w:right w:val="nil"/>
          <w:between w:val="nil"/>
        </w:pBdr>
        <w:spacing w:before="0"/>
        <w:rPr>
          <w:rFonts w:eastAsia="Times New Roman" w:cs="Times New Roman"/>
          <w:i/>
        </w:rPr>
      </w:pPr>
      <w:r>
        <w:rPr>
          <w:rFonts w:eastAsia="Times New Roman" w:cs="Times New Roman"/>
          <w:i/>
        </w:rPr>
        <w:t>O2.3 Stimularea dezvoltării infrastructurii verzi</w:t>
      </w:r>
    </w:p>
    <w:p w14:paraId="337C7CA3" w14:textId="77777777" w:rsidR="008B1BFC" w:rsidRDefault="008B1BFC" w:rsidP="002508D3">
      <w:pPr>
        <w:pBdr>
          <w:top w:val="nil"/>
          <w:left w:val="nil"/>
          <w:bottom w:val="nil"/>
          <w:right w:val="nil"/>
          <w:between w:val="nil"/>
        </w:pBdr>
        <w:spacing w:before="0"/>
        <w:rPr>
          <w:rFonts w:eastAsia="Times New Roman" w:cs="Times New Roman"/>
          <w:i/>
        </w:rPr>
      </w:pPr>
      <w:r>
        <w:rPr>
          <w:rFonts w:eastAsia="Times New Roman" w:cs="Times New Roman"/>
          <w:i/>
        </w:rPr>
        <w:t>O2.4. Întărirea sistemului de management al riscurilor pentru hazarde naturale și antropice, luând în calcul și impactul schimbărilor climatice</w:t>
      </w:r>
    </w:p>
    <w:p w14:paraId="49C6524E" w14:textId="77777777" w:rsidR="008B1BFC" w:rsidRDefault="008B1BFC" w:rsidP="002508D3">
      <w:pPr>
        <w:pBdr>
          <w:top w:val="nil"/>
          <w:left w:val="nil"/>
          <w:bottom w:val="nil"/>
          <w:right w:val="nil"/>
          <w:between w:val="nil"/>
        </w:pBdr>
        <w:spacing w:before="0"/>
        <w:rPr>
          <w:rFonts w:eastAsia="Times New Roman" w:cs="Times New Roman"/>
          <w:b/>
          <w:i/>
        </w:rPr>
      </w:pPr>
      <w:r>
        <w:rPr>
          <w:rFonts w:eastAsia="Times New Roman" w:cs="Times New Roman"/>
          <w:b/>
          <w:i/>
        </w:rPr>
        <w:t>O3. Planificare spațială și dezvoltare spațială sustenabilă</w:t>
      </w:r>
    </w:p>
    <w:p w14:paraId="5850530D"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Actualele probleme și punctele slabe ale dezvoltării spațiale în zona costieră aparțin în mare măsură unui grup de probleme sistemice în domeniul amenajării teritoriului și urbanismului. În acest context, eforturile de îmbunătățire a sistemului de amenajare a teritoriului și urbanism sunt esențiale deoarece ar trebui să permită integrarea nevoilor și aspirațiilor sectoriale, protecția necondiționată a celor mai semnificative valori naturale, culturale și peisagistice, consumul și utilizarea rațională a spațiului.</w:t>
      </w:r>
    </w:p>
    <w:p w14:paraId="1C8EF5F6" w14:textId="77777777" w:rsidR="008B1BFC" w:rsidRDefault="008B1BFC" w:rsidP="002508D3">
      <w:pPr>
        <w:pBdr>
          <w:top w:val="nil"/>
          <w:left w:val="nil"/>
          <w:bottom w:val="nil"/>
          <w:right w:val="nil"/>
          <w:between w:val="nil"/>
        </w:pBdr>
        <w:spacing w:before="0"/>
        <w:ind w:firstLine="567"/>
        <w:rPr>
          <w:rFonts w:eastAsia="Times New Roman" w:cs="Times New Roman"/>
          <w:i/>
        </w:rPr>
      </w:pPr>
      <w:r>
        <w:rPr>
          <w:rFonts w:eastAsia="Times New Roman" w:cs="Times New Roman"/>
        </w:rPr>
        <w:lastRenderedPageBreak/>
        <w:t>Obiectivele specifice definite pentru acest obiectiv general sunt:</w:t>
      </w:r>
      <w:r>
        <w:rPr>
          <w:rFonts w:eastAsia="Times New Roman" w:cs="Times New Roman"/>
          <w:i/>
        </w:rPr>
        <w:t xml:space="preserve"> </w:t>
      </w:r>
    </w:p>
    <w:p w14:paraId="337EA8D9" w14:textId="77777777" w:rsidR="008B1BFC" w:rsidRDefault="008B1BFC" w:rsidP="002508D3">
      <w:pPr>
        <w:pBdr>
          <w:top w:val="nil"/>
          <w:left w:val="nil"/>
          <w:bottom w:val="nil"/>
          <w:right w:val="nil"/>
          <w:between w:val="nil"/>
        </w:pBdr>
        <w:spacing w:before="0"/>
        <w:rPr>
          <w:rFonts w:eastAsia="Times New Roman" w:cs="Times New Roman"/>
          <w:i/>
        </w:rPr>
      </w:pPr>
      <w:r>
        <w:rPr>
          <w:rFonts w:eastAsia="Times New Roman" w:cs="Times New Roman"/>
          <w:i/>
        </w:rPr>
        <w:t>O3.1 Punerea în practică a planurilor de amenajare spațială a zonei costiere în coordonare cu planurile statelor vecine</w:t>
      </w:r>
    </w:p>
    <w:p w14:paraId="1D205571" w14:textId="77777777" w:rsidR="008B1BFC" w:rsidRDefault="008B1BFC" w:rsidP="002508D3">
      <w:pPr>
        <w:pBdr>
          <w:top w:val="nil"/>
          <w:left w:val="nil"/>
          <w:bottom w:val="nil"/>
          <w:right w:val="nil"/>
          <w:between w:val="nil"/>
        </w:pBdr>
        <w:spacing w:before="0"/>
        <w:rPr>
          <w:rFonts w:eastAsia="Times New Roman" w:cs="Times New Roman"/>
          <w:i/>
        </w:rPr>
      </w:pPr>
      <w:r>
        <w:rPr>
          <w:rFonts w:eastAsia="Times New Roman" w:cs="Times New Roman"/>
          <w:i/>
        </w:rPr>
        <w:t>O3.2. Stabilirea unui sistem performant de supraveghere a eficienței implementării planificării spațiale prin realizarea Geamănului Digital (Digital Twin) a litoralului românesc</w:t>
      </w:r>
    </w:p>
    <w:p w14:paraId="7C7A83E6" w14:textId="77777777" w:rsidR="008B1BFC" w:rsidRDefault="008B1BFC" w:rsidP="002508D3">
      <w:pPr>
        <w:pBdr>
          <w:top w:val="nil"/>
          <w:left w:val="nil"/>
          <w:bottom w:val="nil"/>
          <w:right w:val="nil"/>
          <w:between w:val="nil"/>
        </w:pBdr>
        <w:spacing w:before="0"/>
        <w:rPr>
          <w:rFonts w:eastAsia="Times New Roman" w:cs="Times New Roman"/>
          <w:i/>
        </w:rPr>
      </w:pPr>
      <w:r>
        <w:rPr>
          <w:rFonts w:eastAsia="Times New Roman" w:cs="Times New Roman"/>
          <w:i/>
        </w:rPr>
        <w:t>O3.3. Planificare și dezvoltare spațială integrată și durabilă a zonelor metropolitane, periurbane și rurale din zona costieră</w:t>
      </w:r>
    </w:p>
    <w:p w14:paraId="03230312" w14:textId="77777777" w:rsidR="008B1BFC" w:rsidRDefault="008B1BFC" w:rsidP="002508D3">
      <w:pPr>
        <w:pBdr>
          <w:top w:val="nil"/>
          <w:left w:val="nil"/>
          <w:bottom w:val="nil"/>
          <w:right w:val="nil"/>
          <w:between w:val="nil"/>
        </w:pBdr>
        <w:spacing w:before="0"/>
        <w:rPr>
          <w:rFonts w:eastAsia="Times New Roman" w:cs="Times New Roman"/>
          <w:b/>
          <w:i/>
        </w:rPr>
      </w:pPr>
      <w:r>
        <w:rPr>
          <w:rFonts w:eastAsia="Times New Roman" w:cs="Times New Roman"/>
          <w:b/>
          <w:i/>
        </w:rPr>
        <w:t>O4. Dezvoltarea durabilă a zonei costiere</w:t>
      </w:r>
    </w:p>
    <w:p w14:paraId="71398E65"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 xml:space="preserve">O preocupare centrală în managementul integrat al zonei costiere este legată de îmbunătățirea performanțelor economice prin depășirea deficiențelor care caracterizează starea existentă a dezvoltării socio-economice a zonei costiere, în primul rând a celor cauzate de nivelul relativ scăzut de diversificare a unor sectoare economice (turismul, producerea de energie, etc.) și de impactul negativ al acestora asupra calității mediului. Valorile naturale, culturale și peisagistice, resursele biotice și cele minerale, oferă zonei costiere un potențial de dezvoltare economică ridicat, respectiv îmbunătățirea ofertei de turism de înaltă calitate și diversificat, precum și a producției agricole ecologice autohtone. De asemenea, prin poziția sa geografică, zona costieră oferă un potențial ridicat pentru producerea de energie alternativă. În același timp însă, sunt evidente numeroase efecte negative asupra mediului ale dezvoltării activităților economice (în special dezvoltarea urbană, turismul, transporturile). </w:t>
      </w:r>
    </w:p>
    <w:p w14:paraId="4818B620"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De aceea, nevoile prioritare în contextul creșterii economice durabile a zonei costiere necesită, printre altele, stimulente pentru dezvoltarea turismului durabil, dezvoltarea agriculturii și pescuitului sustenabile, utilizarea zonelor rurale, unele dintre ele neglijate în prezent, precum și stimulente pentru alte dezvoltarea sectoarelor emergente ale economiei albastre (acvacultura, biotehnologii, etc.).</w:t>
      </w:r>
    </w:p>
    <w:p w14:paraId="770FB6B9"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Obiectivele specifice definite pentru acest obiectiv general sunt:</w:t>
      </w:r>
    </w:p>
    <w:p w14:paraId="30E1D3E4" w14:textId="77777777" w:rsidR="008B1BFC" w:rsidRDefault="008B1BFC" w:rsidP="002508D3">
      <w:pPr>
        <w:pBdr>
          <w:top w:val="nil"/>
          <w:left w:val="nil"/>
          <w:bottom w:val="nil"/>
          <w:right w:val="nil"/>
          <w:between w:val="nil"/>
        </w:pBdr>
        <w:spacing w:before="0"/>
        <w:rPr>
          <w:rFonts w:eastAsia="Times New Roman" w:cs="Times New Roman"/>
          <w:i/>
        </w:rPr>
      </w:pPr>
      <w:r>
        <w:rPr>
          <w:rFonts w:eastAsia="Times New Roman" w:cs="Times New Roman"/>
          <w:i/>
        </w:rPr>
        <w:t xml:space="preserve">O4.1 Gestionarea durabilă a resurselor zonei de coastă </w:t>
      </w:r>
    </w:p>
    <w:p w14:paraId="628A8EE5" w14:textId="77777777" w:rsidR="008B1BFC" w:rsidRDefault="008B1BFC" w:rsidP="002508D3">
      <w:pPr>
        <w:pBdr>
          <w:top w:val="nil"/>
          <w:left w:val="nil"/>
          <w:bottom w:val="nil"/>
          <w:right w:val="nil"/>
          <w:between w:val="nil"/>
        </w:pBdr>
        <w:spacing w:before="0"/>
        <w:rPr>
          <w:rFonts w:eastAsia="Times New Roman" w:cs="Times New Roman"/>
          <w:i/>
        </w:rPr>
      </w:pPr>
      <w:r>
        <w:rPr>
          <w:rFonts w:eastAsia="Times New Roman" w:cs="Times New Roman"/>
          <w:i/>
        </w:rPr>
        <w:t>O4.2 Dezvoltarea “verde” a zonei costiere</w:t>
      </w:r>
    </w:p>
    <w:p w14:paraId="7898C273" w14:textId="77777777" w:rsidR="008B1BFC" w:rsidRDefault="008B1BFC" w:rsidP="002508D3">
      <w:pPr>
        <w:pBdr>
          <w:top w:val="nil"/>
          <w:left w:val="nil"/>
          <w:bottom w:val="nil"/>
          <w:right w:val="nil"/>
          <w:between w:val="nil"/>
        </w:pBdr>
        <w:spacing w:before="0"/>
        <w:rPr>
          <w:rFonts w:eastAsia="Times New Roman" w:cs="Times New Roman"/>
          <w:i/>
        </w:rPr>
      </w:pPr>
      <w:r>
        <w:rPr>
          <w:rFonts w:eastAsia="Times New Roman" w:cs="Times New Roman"/>
          <w:i/>
        </w:rPr>
        <w:t xml:space="preserve">O4.3 Valorificarea resurselor energetice regenerabile </w:t>
      </w:r>
    </w:p>
    <w:p w14:paraId="1768BF20" w14:textId="77777777" w:rsidR="008B1BFC" w:rsidRDefault="008B1BFC" w:rsidP="002508D3">
      <w:pPr>
        <w:pBdr>
          <w:top w:val="nil"/>
          <w:left w:val="nil"/>
          <w:bottom w:val="nil"/>
          <w:right w:val="nil"/>
          <w:between w:val="nil"/>
        </w:pBdr>
        <w:spacing w:before="0"/>
        <w:rPr>
          <w:rFonts w:eastAsia="Times New Roman" w:cs="Times New Roman"/>
          <w:i/>
        </w:rPr>
      </w:pPr>
      <w:r>
        <w:rPr>
          <w:rFonts w:eastAsia="Times New Roman" w:cs="Times New Roman"/>
          <w:i/>
        </w:rPr>
        <w:t>O4.4. Atragerea investițiilor în biotehnologii pentru recuperarea, remedierea, îmbunătățirea sanatatii umane si a mediului, în acord cu strategiile europene de promovare a Economiei Albastre și de atingere a obiectivelor Pactului Verde European și a Strategiei de la Ferma direct în Farfurie.</w:t>
      </w:r>
    </w:p>
    <w:p w14:paraId="2878E028" w14:textId="77777777" w:rsidR="008B1BFC" w:rsidRDefault="008B1BFC" w:rsidP="002508D3">
      <w:pPr>
        <w:pBdr>
          <w:top w:val="nil"/>
          <w:left w:val="nil"/>
          <w:bottom w:val="nil"/>
          <w:right w:val="nil"/>
          <w:between w:val="nil"/>
        </w:pBdr>
        <w:spacing w:before="0"/>
        <w:rPr>
          <w:rFonts w:eastAsia="Times New Roman" w:cs="Times New Roman"/>
          <w:b/>
          <w:i/>
        </w:rPr>
      </w:pPr>
      <w:r>
        <w:rPr>
          <w:rFonts w:eastAsia="Times New Roman" w:cs="Times New Roman"/>
          <w:b/>
          <w:i/>
        </w:rPr>
        <w:t>O5. Creșterea eficienței sistemului de management al zonei costiere</w:t>
      </w:r>
    </w:p>
    <w:p w14:paraId="403C147B"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Acest obiectiv general a fost definit în contextul în care un mecanism funcțional de coordonare și cooperare reprezintă o nevoie urgentă a actualului sistem de management al zonei costiere. O contribuție importantă la dezvoltarea sustenabilă a zonei costiere trebuie să fie adusă prin consolidarea cooperării și coordonării între părțile interesate, includerea eficientă a publicului în procesele de luare a deciziilor și utilizarea tuturor cunoștințelor disponibile.</w:t>
      </w:r>
    </w:p>
    <w:p w14:paraId="5BEA8421"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lastRenderedPageBreak/>
        <w:t>Obiectivele specifice urmărite pentru atingerea acestui obiectiv general sunt:</w:t>
      </w:r>
    </w:p>
    <w:p w14:paraId="4EDBD0D6" w14:textId="77777777" w:rsidR="008B1BFC" w:rsidRDefault="008B1BFC" w:rsidP="002508D3">
      <w:pPr>
        <w:pBdr>
          <w:top w:val="nil"/>
          <w:left w:val="nil"/>
          <w:bottom w:val="nil"/>
          <w:right w:val="nil"/>
          <w:between w:val="nil"/>
        </w:pBdr>
        <w:spacing w:before="0"/>
        <w:rPr>
          <w:rFonts w:eastAsia="Times New Roman" w:cs="Times New Roman"/>
          <w:i/>
        </w:rPr>
      </w:pPr>
      <w:r>
        <w:rPr>
          <w:rFonts w:eastAsia="Times New Roman" w:cs="Times New Roman"/>
          <w:i/>
        </w:rPr>
        <w:t>O5.1. Stabilirea / consolidarea mecanismului de coordonare a managementului integrat al zonei de coastă care să aducă împreună toate instituțiile responsabile ale statului român</w:t>
      </w:r>
    </w:p>
    <w:p w14:paraId="61E77C54" w14:textId="77777777" w:rsidR="008B1BFC" w:rsidRDefault="008B1BFC" w:rsidP="002508D3">
      <w:pPr>
        <w:pBdr>
          <w:top w:val="nil"/>
          <w:left w:val="nil"/>
          <w:bottom w:val="nil"/>
          <w:right w:val="nil"/>
          <w:between w:val="nil"/>
        </w:pBdr>
        <w:spacing w:before="0"/>
        <w:rPr>
          <w:rFonts w:eastAsia="Times New Roman" w:cs="Times New Roman"/>
          <w:i/>
        </w:rPr>
      </w:pPr>
      <w:r>
        <w:rPr>
          <w:rFonts w:eastAsia="Times New Roman" w:cs="Times New Roman"/>
          <w:i/>
        </w:rPr>
        <w:t>O5.2. Consolidarea capacităţii administrației publice</w:t>
      </w:r>
    </w:p>
    <w:p w14:paraId="08999383" w14:textId="77777777" w:rsidR="008B1BFC" w:rsidRDefault="008B1BFC" w:rsidP="002508D3">
      <w:pPr>
        <w:pBdr>
          <w:top w:val="nil"/>
          <w:left w:val="nil"/>
          <w:bottom w:val="nil"/>
          <w:right w:val="nil"/>
          <w:between w:val="nil"/>
        </w:pBdr>
        <w:spacing w:before="0"/>
        <w:rPr>
          <w:rFonts w:eastAsia="Times New Roman" w:cs="Times New Roman"/>
          <w:i/>
        </w:rPr>
      </w:pPr>
      <w:r>
        <w:rPr>
          <w:rFonts w:eastAsia="Times New Roman" w:cs="Times New Roman"/>
          <w:i/>
        </w:rPr>
        <w:t>O5.3. Întărirea aplicării normelor specifice sectoarelor economice din zona costieră</w:t>
      </w:r>
    </w:p>
    <w:p w14:paraId="06BCB8C6" w14:textId="77777777" w:rsidR="008B1BFC" w:rsidRDefault="008B1BFC" w:rsidP="002508D3">
      <w:pPr>
        <w:pBdr>
          <w:top w:val="nil"/>
          <w:left w:val="nil"/>
          <w:bottom w:val="nil"/>
          <w:right w:val="nil"/>
          <w:between w:val="nil"/>
        </w:pBdr>
        <w:spacing w:before="0"/>
        <w:rPr>
          <w:rFonts w:eastAsia="Times New Roman" w:cs="Times New Roman"/>
          <w:b/>
          <w:i/>
        </w:rPr>
      </w:pPr>
      <w:r>
        <w:rPr>
          <w:rFonts w:eastAsia="Times New Roman" w:cs="Times New Roman"/>
          <w:b/>
          <w:i/>
        </w:rPr>
        <w:t>O6. Consolidarea resursei umane și coeziunii sociale</w:t>
      </w:r>
    </w:p>
    <w:p w14:paraId="11092F8B"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Societățile care prețuiesc cunoștințele și aptitudinile, care reușesc să mobilizeze potențialul diferitelor grupuri sociale și să ofere beneficii ale dezvoltării tuturor membrilor lor, sunt societăți care se află pe calea dezvoltării durabile. Resursele umane disponibile – cunoștințe, abilități și capital social (legături reciproce și cooperare între părțile interesate) – reprezintă unul dintre cei mai importanți factori de dezvoltare. Consolidarea resurselor umane nu poate fi realizată optim fără o restructurare organizațională adecvată și dezvoltarea capacităților în cadrul instituțiilor administrației publice. În consecință, îmbunătățirea sistemului (instituțional) de management al zonei costiere nu este posibilă fără a investi în același timp în dezvoltarea capacităților funcționarilor publici și experților de a îndeplini sarcinile atribuite în mod eficient și eficace.</w:t>
      </w:r>
    </w:p>
    <w:p w14:paraId="28719009"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Obiectivele specifice definite pentru acest obiectiv general sunt:</w:t>
      </w:r>
    </w:p>
    <w:p w14:paraId="27AF6703" w14:textId="77777777" w:rsidR="008B1BFC" w:rsidRDefault="008B1BFC" w:rsidP="002508D3">
      <w:pPr>
        <w:spacing w:before="0"/>
        <w:rPr>
          <w:rFonts w:eastAsia="Times New Roman" w:cs="Times New Roman"/>
          <w:i/>
        </w:rPr>
      </w:pPr>
      <w:r>
        <w:rPr>
          <w:rFonts w:eastAsia="Times New Roman" w:cs="Times New Roman"/>
          <w:i/>
        </w:rPr>
        <w:t>O6.1. Crearea unui proces real participativ în gestionarea integrată a zonei costiere</w:t>
      </w:r>
    </w:p>
    <w:p w14:paraId="0F0FAB58" w14:textId="77777777" w:rsidR="008B1BFC" w:rsidRDefault="008B1BFC" w:rsidP="002508D3">
      <w:pPr>
        <w:spacing w:before="0"/>
        <w:rPr>
          <w:rFonts w:eastAsia="Times New Roman" w:cs="Times New Roman"/>
          <w:i/>
        </w:rPr>
      </w:pPr>
      <w:r>
        <w:rPr>
          <w:rFonts w:eastAsia="Times New Roman" w:cs="Times New Roman"/>
          <w:i/>
        </w:rPr>
        <w:t>O6.2 Creșterea gradului de conștientizare cu privire la necesitatea de a păstra și îmbunătăți resursele zonei de coastă</w:t>
      </w:r>
    </w:p>
    <w:p w14:paraId="672D0CDC" w14:textId="77777777" w:rsidR="008B1BFC" w:rsidRDefault="008B1BFC" w:rsidP="002508D3">
      <w:pPr>
        <w:spacing w:before="0"/>
        <w:rPr>
          <w:rFonts w:eastAsia="Times New Roman" w:cs="Times New Roman"/>
          <w:i/>
        </w:rPr>
      </w:pPr>
      <w:r>
        <w:rPr>
          <w:rFonts w:eastAsia="Times New Roman" w:cs="Times New Roman"/>
          <w:i/>
        </w:rPr>
        <w:t>O6.3. Implicarea cetățenilor în monitorizarea stării de sănătate a mediului costier (Citizen-science).</w:t>
      </w:r>
    </w:p>
    <w:p w14:paraId="29504372" w14:textId="77777777" w:rsidR="008B1BFC" w:rsidRDefault="008B1BFC" w:rsidP="00AE2EAA"/>
    <w:p w14:paraId="5A9157B4" w14:textId="2DF1A3CE" w:rsidR="008B1BFC" w:rsidRDefault="008B1BFC" w:rsidP="008B1BFC">
      <w:pPr>
        <w:pStyle w:val="Heading2"/>
      </w:pPr>
      <w:bookmarkStart w:id="140" w:name="_Toc150501475"/>
      <w:bookmarkStart w:id="141" w:name="_Toc169625153"/>
      <w:r>
        <w:t>2.7. Programe de măsuri</w:t>
      </w:r>
      <w:bookmarkEnd w:id="140"/>
      <w:bookmarkEnd w:id="141"/>
      <w:r>
        <w:t> </w:t>
      </w:r>
    </w:p>
    <w:p w14:paraId="14DE7AA9" w14:textId="77777777" w:rsidR="008B1BFC" w:rsidRDefault="008B1BFC" w:rsidP="002508D3">
      <w:pPr>
        <w:pBdr>
          <w:top w:val="nil"/>
          <w:left w:val="nil"/>
          <w:bottom w:val="nil"/>
          <w:right w:val="nil"/>
          <w:between w:val="nil"/>
        </w:pBdr>
        <w:spacing w:before="0"/>
        <w:rPr>
          <w:rFonts w:eastAsia="Times New Roman" w:cs="Times New Roman"/>
          <w:b/>
          <w:color w:val="000000"/>
        </w:rPr>
      </w:pPr>
      <w:r>
        <w:rPr>
          <w:rFonts w:eastAsia="Times New Roman" w:cs="Times New Roman"/>
          <w:b/>
        </w:rPr>
        <w:t xml:space="preserve">M1. Măsuri vizând cadrul legislativ și instituțional </w:t>
      </w:r>
    </w:p>
    <w:p w14:paraId="36146DA0" w14:textId="77777777" w:rsidR="008B1BFC" w:rsidRDefault="008B1BFC" w:rsidP="002508D3">
      <w:pPr>
        <w:pBdr>
          <w:top w:val="nil"/>
          <w:left w:val="nil"/>
          <w:bottom w:val="nil"/>
          <w:right w:val="nil"/>
          <w:between w:val="nil"/>
        </w:pBdr>
        <w:spacing w:before="0"/>
        <w:ind w:firstLine="567"/>
        <w:rPr>
          <w:rFonts w:eastAsia="Times New Roman" w:cs="Times New Roman"/>
          <w:color w:val="000000"/>
        </w:rPr>
      </w:pPr>
      <w:r>
        <w:rPr>
          <w:rFonts w:eastAsia="Times New Roman" w:cs="Times New Roman"/>
          <w:color w:val="000000"/>
        </w:rPr>
        <w:t>Implementarea cu succes a Planului de management integrat al zonei costiere impune implementarea, cu prioritate, a unor măsuri / acțiuni ce vizează modificarea actualului cadru instituțional și a celui legislativ care să conducă la consolidarea sistemului de management al zonei costiere. Aceste măsuri / acțiuni se referă la:</w:t>
      </w:r>
    </w:p>
    <w:p w14:paraId="48BE70DC" w14:textId="77777777" w:rsidR="008B1BFC" w:rsidRDefault="008B1BFC" w:rsidP="002508D3">
      <w:pPr>
        <w:pBdr>
          <w:top w:val="nil"/>
          <w:left w:val="nil"/>
          <w:bottom w:val="nil"/>
          <w:right w:val="nil"/>
          <w:between w:val="nil"/>
        </w:pBdr>
        <w:spacing w:before="0"/>
        <w:rPr>
          <w:rFonts w:eastAsia="Times New Roman" w:cs="Times New Roman"/>
          <w:b/>
          <w:i/>
          <w:color w:val="000000"/>
        </w:rPr>
      </w:pPr>
      <w:r>
        <w:rPr>
          <w:rFonts w:eastAsia="Times New Roman" w:cs="Times New Roman"/>
          <w:b/>
          <w:i/>
          <w:color w:val="000000"/>
        </w:rPr>
        <w:t xml:space="preserve">M 1.1 Consolidarea mecanismului instituțional </w:t>
      </w:r>
    </w:p>
    <w:p w14:paraId="4CFC8AAD" w14:textId="77777777" w:rsidR="008B1BFC" w:rsidRDefault="008B1BFC" w:rsidP="002508D3">
      <w:pPr>
        <w:spacing w:before="0"/>
        <w:ind w:firstLine="540"/>
        <w:rPr>
          <w:rFonts w:eastAsia="Times New Roman" w:cs="Times New Roman"/>
        </w:rPr>
      </w:pPr>
      <w:r>
        <w:rPr>
          <w:rFonts w:eastAsia="Times New Roman" w:cs="Times New Roman"/>
        </w:rPr>
        <w:t xml:space="preserve">Având în vedere problemele identificate în urma analizei situației actuale a sistemului instituțional, această măsură va fi aplicată cu prioritate pentru conferi CNZC suficientă autoritate pentru a asigura o coordonare </w:t>
      </w:r>
      <w:sdt>
        <w:sdtPr>
          <w:tag w:val="goog_rdk_51"/>
          <w:id w:val="-1199857615"/>
        </w:sdtPr>
        <w:sdtContent>
          <w:r>
            <w:rPr>
              <w:rFonts w:eastAsia="Times New Roman" w:cs="Times New Roman"/>
            </w:rPr>
            <w:t>interministerială</w:t>
          </w:r>
        </w:sdtContent>
      </w:sdt>
      <w:r>
        <w:rPr>
          <w:rFonts w:eastAsia="Times New Roman" w:cs="Times New Roman"/>
        </w:rPr>
        <w:t xml:space="preserve"> eficientă la nivel de implementare a politicii MIZC, precum și înființarea și implementarea unor mecanisme de coordonare instituțională, organizate pe verticală și orizontală, între autoritățile și instituțiile competente atât la nivel național, cât și local. De asemnea, prin implementarea acestei măsuri se va </w:t>
      </w:r>
      <w:r>
        <w:rPr>
          <w:rFonts w:eastAsia="Times New Roman" w:cs="Times New Roman"/>
        </w:rPr>
        <w:lastRenderedPageBreak/>
        <w:t>restructura componența CNZC astfel încât acesta să aibă o mai bună reprezentativitate (să includă toate categoriile de factori interesați) și să funcționeze mai eficace și mai eficient.</w:t>
      </w:r>
    </w:p>
    <w:p w14:paraId="0F60F820" w14:textId="77777777" w:rsidR="008B1BFC" w:rsidRDefault="008B1BFC" w:rsidP="002508D3">
      <w:pPr>
        <w:spacing w:before="0"/>
        <w:ind w:firstLine="540"/>
        <w:rPr>
          <w:rFonts w:eastAsia="Times New Roman" w:cs="Times New Roman"/>
        </w:rPr>
      </w:pPr>
      <w:r>
        <w:rPr>
          <w:rFonts w:eastAsia="Times New Roman" w:cs="Times New Roman"/>
        </w:rPr>
        <w:t xml:space="preserve">Mai mult, implementarea acestei măsuri va determina și o reorganizare la nivelul MMAP, instituția responsabilă pentru elaborarea și implementarea procesului MIZC, în sensul constituirii unei departament / compartiment (Secretariatul tehnic administrativ al zonei costiere) ce va sprijini buna funcționare a CNZC, inclusiv prin implementarea unui management al datelor funcțional prin înființarea unui Observator al Zonei Costiere. </w:t>
      </w:r>
    </w:p>
    <w:p w14:paraId="161B9EF9" w14:textId="77777777" w:rsidR="008B1BFC" w:rsidRDefault="008B1BFC" w:rsidP="002508D3">
      <w:pPr>
        <w:spacing w:before="0"/>
        <w:ind w:firstLine="540"/>
        <w:rPr>
          <w:rFonts w:eastAsia="Times New Roman" w:cs="Times New Roman"/>
        </w:rPr>
      </w:pPr>
      <w:r>
        <w:rPr>
          <w:rFonts w:eastAsia="Times New Roman" w:cs="Times New Roman"/>
        </w:rPr>
        <w:t xml:space="preserve">În prezent, colectarea datelor și informațiilor este destul de anevoioasă, nu toate organizațiile cu atribuții în managementul integrat al zonei costiere arătându-și disponibilitatea de a furniza date, în special în lipsa unor reglementări clare referitoare la managementul datelor și informațiilor. De altfel, nu există în prezent o baza de date la nivel național, datele și informațiile fiind dispersate la mai multe organizații / instituții. Prin implementarea acestei măsuri, respectiv prin dezvoltarea Observatorului Zonei Costiere, se va asigura creșterea gradului de colectare a datelor și informațiilor, precum și a disponibilității acestora, evident în condiții bine reglementate. </w:t>
      </w:r>
    </w:p>
    <w:p w14:paraId="3CAE648A" w14:textId="77777777" w:rsidR="008B1BFC" w:rsidRDefault="008B1BFC" w:rsidP="002508D3">
      <w:pPr>
        <w:spacing w:before="0"/>
        <w:ind w:firstLine="540"/>
        <w:rPr>
          <w:rFonts w:eastAsia="Times New Roman" w:cs="Times New Roman"/>
        </w:rPr>
      </w:pPr>
      <w:r>
        <w:rPr>
          <w:rFonts w:eastAsia="Times New Roman" w:cs="Times New Roman"/>
        </w:rPr>
        <w:t xml:space="preserve">Implementarea acestei măsuri este prioritară și va fi finanțată din bugetul propriu al MMAP. </w:t>
      </w:r>
    </w:p>
    <w:p w14:paraId="0953D0D0" w14:textId="77777777" w:rsidR="008B1BFC" w:rsidRDefault="008B1BFC" w:rsidP="002508D3">
      <w:pPr>
        <w:spacing w:before="0"/>
        <w:ind w:firstLine="540"/>
        <w:rPr>
          <w:rFonts w:eastAsia="Times New Roman" w:cs="Times New Roman"/>
          <w:b/>
          <w:i/>
        </w:rPr>
      </w:pPr>
      <w:r>
        <w:rPr>
          <w:rFonts w:eastAsia="Times New Roman" w:cs="Times New Roman"/>
        </w:rPr>
        <w:t xml:space="preserve">Implementarea acestei măsuri este prioritară și va fi finanțată din bugetul propriu al MMAP. </w:t>
      </w:r>
    </w:p>
    <w:p w14:paraId="6F7E6465" w14:textId="77777777" w:rsidR="008B1BFC" w:rsidRDefault="008B1BFC" w:rsidP="002508D3">
      <w:pPr>
        <w:pBdr>
          <w:top w:val="nil"/>
          <w:left w:val="nil"/>
          <w:bottom w:val="nil"/>
          <w:right w:val="nil"/>
          <w:between w:val="nil"/>
        </w:pBdr>
        <w:spacing w:before="0"/>
        <w:rPr>
          <w:rFonts w:eastAsia="Times New Roman" w:cs="Times New Roman"/>
          <w:b/>
          <w:i/>
          <w:color w:val="000000"/>
        </w:rPr>
      </w:pPr>
      <w:r>
        <w:rPr>
          <w:rFonts w:eastAsia="Times New Roman" w:cs="Times New Roman"/>
          <w:b/>
          <w:i/>
          <w:color w:val="000000"/>
        </w:rPr>
        <w:t>M 1.2 Revizuirea cadrului legislativ referitor la delimitarea zonei costiere</w:t>
      </w:r>
    </w:p>
    <w:p w14:paraId="5EDE76AB" w14:textId="77777777" w:rsidR="008B1BFC" w:rsidRDefault="008B1BFC" w:rsidP="002508D3">
      <w:pPr>
        <w:spacing w:before="0"/>
        <w:ind w:firstLine="540"/>
        <w:rPr>
          <w:rFonts w:eastAsia="Times New Roman" w:cs="Times New Roman"/>
        </w:rPr>
      </w:pPr>
      <w:r>
        <w:rPr>
          <w:rFonts w:eastAsia="Times New Roman" w:cs="Times New Roman"/>
        </w:rPr>
        <w:t>Având în vedere redefinirea zonei costiere ca spațiul geografic care cuprinde spațiul maritim în limita a 12 mile marine și teritoriul UAT-urilor limitrofe zonei costiere, inclusiv UAT Techirghiol, se impune revizuirea corespunzătoare a modului de delimitare a zonei costiere din OUG 202/2002. În același timp, pentru protejarea și gestionarea durabilă a zonei costiere astfel delimitată, se impune definirea unor spații/zone costiere critice</w:t>
      </w:r>
      <w:r>
        <w:rPr>
          <w:rFonts w:eastAsia="Times New Roman" w:cs="Times New Roman"/>
          <w:b/>
        </w:rPr>
        <w:t xml:space="preserve">. </w:t>
      </w:r>
      <w:r>
        <w:rPr>
          <w:rFonts w:eastAsia="Times New Roman" w:cs="Times New Roman"/>
        </w:rPr>
        <w:t>Aceste spații sensibile și cu risc potențial ridicat din punctul de vedere al mediului, cât și din punct de vedere economic și social, sunt apele din zona de coastă, precum și teritoriile adiacente acestora, situate în spațiul geografic al zonei costiere în care orice nouă utilizare a terenurilor sau orice extindere a utilizărilor existente, fac obiectul avizării de către structurile MMAP stabilite prin reglementări legale primare și în conformitate cu metodologia aprobată prin reglementările subsecvente. Delimitarea acestor spații costiere critice este în sarcina UAT-urilor și se realizează prin documentațiile de urbanism.</w:t>
      </w:r>
    </w:p>
    <w:p w14:paraId="177B6141" w14:textId="77777777" w:rsidR="008B1BFC" w:rsidRDefault="008B1BFC" w:rsidP="002508D3">
      <w:pPr>
        <w:spacing w:before="0"/>
        <w:ind w:firstLine="540"/>
        <w:rPr>
          <w:rFonts w:eastAsia="Times New Roman" w:cs="Times New Roman"/>
          <w:highlight w:val="white"/>
        </w:rPr>
      </w:pPr>
      <w:r>
        <w:rPr>
          <w:rFonts w:eastAsia="Times New Roman" w:cs="Times New Roman"/>
        </w:rPr>
        <w:t xml:space="preserve">Reconsiderarea modului de delimitare a zonei costiere precum și delimitarea în cadrul acesteia a spațiilor critice presupune revizuirea actelor normative subsecvente OUG 202/2002, și anume </w:t>
      </w:r>
      <w:r>
        <w:rPr>
          <w:rFonts w:eastAsia="Times New Roman" w:cs="Times New Roman"/>
          <w:highlight w:val="white"/>
        </w:rPr>
        <w:t>Legea 597/31.10.2001 privind unele măsuri de protecţie şi autorizare a construcţiilor în zona de coastă a Mării Negre, H.G. 546/07.04.2004 privind aprobarea metodologiei pentru delimitarea domeniului public al statului în zona costieră și H.G 749/14.05.2004 privind stabilirea responsabilităților, criteriilor şi modului de delimitare a fâșiei de teren aflate în imediata apropiere a zonei costiere, în scopul conservării condiţiilor ambientale şi valorii patrimoniale şi peisagistice din zonele situate în apropierea tarmului.</w:t>
      </w:r>
    </w:p>
    <w:p w14:paraId="734EBA00" w14:textId="77777777" w:rsidR="008B1BFC" w:rsidRDefault="008B1BFC" w:rsidP="002508D3">
      <w:pPr>
        <w:spacing w:before="0"/>
        <w:ind w:firstLine="540"/>
        <w:rPr>
          <w:rFonts w:eastAsia="Times New Roman" w:cs="Times New Roman"/>
        </w:rPr>
      </w:pPr>
      <w:r>
        <w:rPr>
          <w:rFonts w:eastAsia="Times New Roman" w:cs="Times New Roman"/>
          <w:highlight w:val="white"/>
        </w:rPr>
        <w:lastRenderedPageBreak/>
        <w:t xml:space="preserve">O situație particulară care trebuie să facă obiectul revizuirii H.G. 749/2004 este aceea </w:t>
      </w:r>
      <w:r>
        <w:rPr>
          <w:rFonts w:eastAsia="Times New Roman" w:cs="Times New Roman"/>
        </w:rPr>
        <w:t>referitoare la modul de delimitare a fâșiei de teren aflate în imediata apropiere a zonei costiere, în condițiile finalizări lucrărilor de înnisipare și lărgirea plajei.</w:t>
      </w:r>
    </w:p>
    <w:p w14:paraId="2E428577" w14:textId="77777777" w:rsidR="008B1BFC" w:rsidRDefault="008B1BFC" w:rsidP="002508D3">
      <w:pPr>
        <w:spacing w:before="0"/>
        <w:ind w:firstLine="540"/>
        <w:rPr>
          <w:rFonts w:eastAsia="Times New Roman" w:cs="Times New Roman"/>
        </w:rPr>
      </w:pPr>
      <w:r>
        <w:rPr>
          <w:rFonts w:eastAsia="Times New Roman" w:cs="Times New Roman"/>
        </w:rPr>
        <w:t>Instituțiile responsabile pentru implementarea acestei măsuri vor fi MMAP și MDLPA, care vor asigura și resursele financiare necesare.</w:t>
      </w:r>
    </w:p>
    <w:p w14:paraId="4906FC9F" w14:textId="77777777" w:rsidR="008B1BFC" w:rsidRDefault="008B1BFC" w:rsidP="002508D3">
      <w:pPr>
        <w:pBdr>
          <w:top w:val="nil"/>
          <w:left w:val="nil"/>
          <w:bottom w:val="nil"/>
          <w:right w:val="nil"/>
          <w:between w:val="nil"/>
        </w:pBdr>
        <w:spacing w:before="0"/>
        <w:rPr>
          <w:rFonts w:eastAsia="Times New Roman" w:cs="Times New Roman"/>
          <w:color w:val="000000"/>
        </w:rPr>
      </w:pPr>
      <w:r>
        <w:rPr>
          <w:rFonts w:eastAsia="Times New Roman" w:cs="Times New Roman"/>
          <w:b/>
          <w:i/>
          <w:color w:val="000000"/>
        </w:rPr>
        <w:t>M 1.3. Consolidarea capacității umane a aparatului administrativ</w:t>
      </w:r>
      <w:r>
        <w:rPr>
          <w:rFonts w:eastAsia="Times New Roman" w:cs="Times New Roman"/>
          <w:color w:val="000000"/>
        </w:rPr>
        <w:t xml:space="preserve">, care se va realiza prin implementarea de programe pentru furnizarea de Asistență Tehnică. Prin această măsură se urmărește nu doar consolidarea capacității profesionale, ci și creșterea motivației și interesului personalului administrativ al organizațiilor implicate în MIZC. Instituția responsabilă pentru implementarea acestei măsuri va fi MMAP, iar rezultatul așteptat este creșterea semnificativă a beneficiarilor acestor programe de Asistență Tehnică. Resursele financiare și logistice necesare </w:t>
      </w:r>
      <w:r>
        <w:rPr>
          <w:rFonts w:eastAsia="Times New Roman" w:cs="Times New Roman"/>
        </w:rPr>
        <w:t>implementării</w:t>
      </w:r>
      <w:r>
        <w:rPr>
          <w:rFonts w:eastAsia="Times New Roman" w:cs="Times New Roman"/>
          <w:color w:val="000000"/>
        </w:rPr>
        <w:t xml:space="preserve"> acestei măsuri vor fi asigurate din bugetul MMAP.</w:t>
      </w:r>
    </w:p>
    <w:p w14:paraId="2C164A29" w14:textId="77777777" w:rsidR="008B1BFC" w:rsidRDefault="008B1BFC" w:rsidP="002508D3">
      <w:pPr>
        <w:spacing w:before="0"/>
        <w:rPr>
          <w:rFonts w:eastAsia="Times New Roman" w:cs="Times New Roman"/>
          <w:b/>
          <w:i/>
        </w:rPr>
      </w:pPr>
      <w:r>
        <w:rPr>
          <w:rFonts w:eastAsia="Times New Roman" w:cs="Times New Roman"/>
          <w:b/>
          <w:i/>
        </w:rPr>
        <w:t>M 1.4 Creșterea gradului de participare a tuturor factorilor implicați în gestionarea zonei costiere</w:t>
      </w:r>
    </w:p>
    <w:p w14:paraId="6E27DE09" w14:textId="77777777" w:rsidR="008B1BFC" w:rsidRDefault="008B1BFC" w:rsidP="002508D3">
      <w:pPr>
        <w:spacing w:before="0"/>
        <w:ind w:firstLine="540"/>
        <w:rPr>
          <w:rFonts w:eastAsia="Times New Roman" w:cs="Times New Roman"/>
        </w:rPr>
      </w:pPr>
      <w:r>
        <w:rPr>
          <w:rFonts w:eastAsia="Times New Roman" w:cs="Times New Roman"/>
        </w:rPr>
        <w:t>Implementarea acestei măsuri presupune elaborarea și implementarea Planului de Comunicare al Strategiei Naționale privind gospodărirea integrată a zonei costiere și a Planului de management integrat al zonei costiere, precum și promovarea și implementarea unui instrument de tip citizen-science în vederea implicării directe a cetățenilor în procesul MIZC.</w:t>
      </w:r>
    </w:p>
    <w:p w14:paraId="0A7DE2A1" w14:textId="77777777" w:rsidR="008B1BFC" w:rsidRDefault="008B1BFC" w:rsidP="002508D3">
      <w:pPr>
        <w:spacing w:before="0"/>
        <w:ind w:firstLine="540"/>
        <w:rPr>
          <w:rFonts w:eastAsia="Times New Roman" w:cs="Times New Roman"/>
        </w:rPr>
      </w:pPr>
      <w:r>
        <w:rPr>
          <w:rFonts w:eastAsia="Times New Roman" w:cs="Times New Roman"/>
        </w:rPr>
        <w:t>Necesitatea elaborării și implementării unui Plan de comunicare al Strategiei naționale pentru godpodărirea integrată al zonei costiere derivă din două dintre principiile fundamentale pe care este fundamentată această strategie, și anume:</w:t>
      </w:r>
    </w:p>
    <w:p w14:paraId="1A6BE892" w14:textId="77777777" w:rsidR="008B1BFC" w:rsidRDefault="008B1BFC" w:rsidP="002508D3">
      <w:pPr>
        <w:spacing w:before="0"/>
        <w:ind w:firstLine="540"/>
        <w:rPr>
          <w:rFonts w:eastAsia="Times New Roman" w:cs="Times New Roman"/>
        </w:rPr>
      </w:pPr>
      <w:r>
        <w:rPr>
          <w:rFonts w:eastAsia="Times New Roman" w:cs="Times New Roman"/>
        </w:rPr>
        <w:t>- principiul participării care se referă la procesele consultative ce implică autorități ale administrației publice centrale și/sau locale, organizații neguvernamentale, parteneri sociali, asociaţii profesionale, reprezentanţi ai sectorului privat;</w:t>
      </w:r>
    </w:p>
    <w:p w14:paraId="38C5F7B7" w14:textId="77777777" w:rsidR="008B1BFC" w:rsidRDefault="008B1BFC" w:rsidP="002508D3">
      <w:pPr>
        <w:spacing w:before="0"/>
        <w:ind w:firstLine="540"/>
        <w:rPr>
          <w:rFonts w:eastAsia="Times New Roman" w:cs="Times New Roman"/>
        </w:rPr>
      </w:pPr>
      <w:r>
        <w:rPr>
          <w:rFonts w:eastAsia="Times New Roman" w:cs="Times New Roman"/>
        </w:rPr>
        <w:t>- principiul transparenței.</w:t>
      </w:r>
    </w:p>
    <w:p w14:paraId="1DBCF6AF" w14:textId="77777777" w:rsidR="008B1BFC" w:rsidRDefault="008B1BFC" w:rsidP="002508D3">
      <w:pPr>
        <w:spacing w:before="0"/>
        <w:ind w:firstLine="540"/>
        <w:rPr>
          <w:rFonts w:eastAsia="Times New Roman" w:cs="Times New Roman"/>
        </w:rPr>
      </w:pPr>
      <w:r>
        <w:rPr>
          <w:rFonts w:eastAsia="Times New Roman" w:cs="Times New Roman"/>
        </w:rPr>
        <w:t>Promovarea unui instrument de tip citizen-science în vederea implicării directe a cetățenilor în acțiuni de monitorizare a stării și proceselor din zona costieră poate contribui la creșterea gradului de conștientizare și implicare a comunității locale în protejarea și gestionarea durabilă a zonei costiere. Aceasta poate genera date și informații relevante pentru luarea deciziilor și pentru îmbunătățirea gestionării zonei costiere, iar cetățenii pot astfel deveni parteneri activi în procesul de monitorizare și protecție a acestui important ecosistem. Există în prezent o disponibilitate a unei părți a publicului larg, mai educate, mai preocupate, către participarea activă în monitorizarea unor factori de mediu, ceea ce poate veni în sprijinul autorităților, acestea beneficiind astfel de date și informații suplimentare fără un efort uman și financiar considerabil.</w:t>
      </w:r>
    </w:p>
    <w:p w14:paraId="75504AD2" w14:textId="77777777" w:rsidR="008B1BFC" w:rsidRDefault="008B1BFC" w:rsidP="002508D3">
      <w:pPr>
        <w:spacing w:before="0"/>
        <w:ind w:firstLine="540"/>
        <w:rPr>
          <w:rFonts w:eastAsia="Times New Roman" w:cs="Times New Roman"/>
        </w:rPr>
      </w:pPr>
      <w:r>
        <w:rPr>
          <w:rFonts w:eastAsia="Times New Roman" w:cs="Times New Roman"/>
        </w:rPr>
        <w:t>Instituția responsabilă pentru implementarea acestei măsuri este MMAP, iar fondurile necesare vor fi asigurate în principal din bugetul propriu al MMAP, dar alte posibile surse de finanțare, în special pentru organizarea și participarea la diverse evenimente, pot fi proiectele naționale și cele europene.</w:t>
      </w:r>
    </w:p>
    <w:p w14:paraId="245363C9" w14:textId="77777777" w:rsidR="008B1BFC" w:rsidRDefault="008B1BFC" w:rsidP="002508D3">
      <w:pPr>
        <w:spacing w:before="0"/>
        <w:rPr>
          <w:rFonts w:eastAsia="Times New Roman" w:cs="Times New Roman"/>
          <w:b/>
          <w:i/>
        </w:rPr>
      </w:pPr>
      <w:r>
        <w:rPr>
          <w:rFonts w:eastAsia="Times New Roman" w:cs="Times New Roman"/>
          <w:b/>
          <w:i/>
        </w:rPr>
        <w:lastRenderedPageBreak/>
        <w:t>M 1.5 Creșterea eficienței supravegherii și controlului utilizării resurselor zonei costiere</w:t>
      </w:r>
    </w:p>
    <w:p w14:paraId="2E27D57C" w14:textId="77777777" w:rsidR="008B1BFC" w:rsidRDefault="008B1BFC" w:rsidP="002508D3">
      <w:pPr>
        <w:spacing w:before="0"/>
        <w:ind w:firstLine="540"/>
        <w:rPr>
          <w:rFonts w:eastAsia="Times New Roman" w:cs="Times New Roman"/>
          <w:color w:val="000000"/>
        </w:rPr>
      </w:pPr>
      <w:r>
        <w:rPr>
          <w:rFonts w:eastAsia="Times New Roman" w:cs="Times New Roman"/>
        </w:rPr>
        <w:t xml:space="preserve">Exploatarea resurselor zonei costiere este relativ bine reglementată, prin diverse acte normative sectoriale, în scopul asigurării sustenabilității. Totuși, sunt destul de des semnalate situații în care reglementările în vigoare nu sunt respectate datorită, pe de o parte sancțiunilor mult prea mici, iar pe de altă parte capacității (umane și tehnice) reduse a organismelor de control și supraveghere, a unei eficiențe scăzute, dar și a lipsei de interes și motivație a personalului de control din organizațiilor responsabile. Prin implementarea acestei măsuri se urmărește creșterea coordonării și cooperării între organizațiile responsabile, precum și o consolidare a capacității umane și a infrastructurii în cadrul acestor organizații. Principala instituție responsabilă pentru implementarea acestei măsuri este MMAP, dar aceasta va fi sprijinită considerabil de către MDLPA, MADR, MAI și ANMR. Finanțarea ve fi asigurată din bugetele proprii ale MMAP, MADR (ANPA), MAI și ANMR. </w:t>
      </w:r>
    </w:p>
    <w:p w14:paraId="4935CA1E" w14:textId="77777777" w:rsidR="008B1BFC" w:rsidRDefault="008B1BFC" w:rsidP="002508D3">
      <w:pPr>
        <w:pBdr>
          <w:top w:val="nil"/>
          <w:left w:val="nil"/>
          <w:bottom w:val="nil"/>
          <w:right w:val="nil"/>
          <w:between w:val="nil"/>
        </w:pBdr>
        <w:spacing w:before="0"/>
        <w:rPr>
          <w:rFonts w:eastAsia="Times New Roman" w:cs="Times New Roman"/>
          <w:b/>
          <w:i/>
          <w:color w:val="000000"/>
        </w:rPr>
      </w:pPr>
    </w:p>
    <w:p w14:paraId="2F97B319" w14:textId="77777777" w:rsidR="008B1BFC" w:rsidRDefault="008B1BFC" w:rsidP="002508D3">
      <w:pPr>
        <w:pBdr>
          <w:top w:val="nil"/>
          <w:left w:val="nil"/>
          <w:bottom w:val="nil"/>
          <w:right w:val="nil"/>
          <w:between w:val="nil"/>
        </w:pBdr>
        <w:spacing w:before="0"/>
        <w:rPr>
          <w:rFonts w:eastAsia="Times New Roman" w:cs="Times New Roman"/>
          <w:b/>
        </w:rPr>
      </w:pPr>
      <w:r>
        <w:rPr>
          <w:rFonts w:eastAsia="Times New Roman" w:cs="Times New Roman"/>
          <w:b/>
        </w:rPr>
        <w:t>M2. Măsuri de protecție și conservare a patrimoniul natural și cultural</w:t>
      </w:r>
    </w:p>
    <w:p w14:paraId="69BE8385" w14:textId="77777777" w:rsidR="008B1BFC" w:rsidRDefault="008B1BFC" w:rsidP="002508D3">
      <w:pPr>
        <w:spacing w:before="0"/>
        <w:rPr>
          <w:rFonts w:eastAsia="Times New Roman" w:cs="Times New Roman"/>
          <w:b/>
          <w:i/>
        </w:rPr>
      </w:pPr>
      <w:r>
        <w:rPr>
          <w:rFonts w:eastAsia="Times New Roman" w:cs="Times New Roman"/>
          <w:b/>
          <w:i/>
        </w:rPr>
        <w:t>M2.1 Creșterea eficienței acțiunilor de protecție și conservare a patrimoniul cultural</w:t>
      </w:r>
    </w:p>
    <w:p w14:paraId="4CC8836C" w14:textId="3437BE2E" w:rsidR="008B1BFC" w:rsidRDefault="008B1BFC" w:rsidP="002508D3">
      <w:pPr>
        <w:spacing w:before="0"/>
        <w:ind w:firstLine="561"/>
        <w:rPr>
          <w:rFonts w:eastAsia="Times New Roman" w:cs="Times New Roman"/>
        </w:rPr>
      </w:pPr>
      <w:r>
        <w:rPr>
          <w:rFonts w:eastAsia="Times New Roman" w:cs="Times New Roman"/>
          <w:color w:val="000000"/>
        </w:rPr>
        <w:t xml:space="preserve">Această măsură este menită să răspundă nevoii de a impune reglementări mai stricte privind controlul acțiunilor de protecție a patrimoniului cultural, pe de o parte, cât și în ceea ce privește implementarea măsurilor de conservare conform legislației actuale referitoare la patrimoniul cultural, pe de altă parte. La ora actuală, cu excepția zonei costiere nordice care beneficiază de protecție și conservare datorită statutului special al Deltei Dunării de Rezervație aflată în patrimoniul UNESCO (deși constant amenințată de activitățile de turism și braconaj), zona sudică suferă de un proces intens de urbanizare, care afectează atât patrimoniul cultural cât și pe cel natural. Astfel, </w:t>
      </w:r>
      <w:r>
        <w:rPr>
          <w:rFonts w:eastAsia="Times New Roman" w:cs="Times New Roman"/>
        </w:rPr>
        <w:t>această</w:t>
      </w:r>
      <w:r>
        <w:rPr>
          <w:rFonts w:eastAsia="Times New Roman" w:cs="Times New Roman"/>
          <w:color w:val="000000"/>
        </w:rPr>
        <w:t xml:space="preserve"> măsură prevede îmbunătățirea cadrului legislativ (ex. </w:t>
      </w:r>
      <w:r w:rsidR="00984066">
        <w:rPr>
          <w:rFonts w:eastAsia="Times New Roman" w:cs="Times New Roman"/>
          <w:color w:val="000000"/>
        </w:rPr>
        <w:t xml:space="preserve">Codul </w:t>
      </w:r>
      <w:r>
        <w:rPr>
          <w:rFonts w:eastAsia="Times New Roman" w:cs="Times New Roman"/>
          <w:color w:val="000000"/>
        </w:rPr>
        <w:t>Patrimoniului cultural), cât și a celui instituțional (organizarea acțiunilor de control de către autoritățile competente) și decizional (impunerea regulilor și regulamentelor de luare a măsurilor de conservare și protecție a patrimoniului și monitorizare a implementării acestora). </w:t>
      </w:r>
    </w:p>
    <w:p w14:paraId="4366949C" w14:textId="77777777" w:rsidR="008B1BFC" w:rsidRDefault="008B1BFC" w:rsidP="002508D3">
      <w:pPr>
        <w:spacing w:before="0"/>
        <w:ind w:firstLine="561"/>
        <w:rPr>
          <w:rFonts w:eastAsia="Times New Roman" w:cs="Times New Roman"/>
        </w:rPr>
      </w:pPr>
      <w:r>
        <w:rPr>
          <w:rFonts w:eastAsia="Times New Roman" w:cs="Times New Roman"/>
          <w:color w:val="000000"/>
        </w:rPr>
        <w:t>Principalele organisme responsabile de implementarea acestei măsuri sunt: MC (prin INP), Consiliul Județean Constanța (prin</w:t>
      </w:r>
      <w:hyperlink r:id="rId69">
        <w:r>
          <w:rPr>
            <w:rFonts w:eastAsia="Times New Roman" w:cs="Times New Roman"/>
            <w:color w:val="000000"/>
          </w:rPr>
          <w:t xml:space="preserve"> </w:t>
        </w:r>
      </w:hyperlink>
      <w:hyperlink r:id="rId70">
        <w:r>
          <w:rPr>
            <w:rFonts w:eastAsia="Times New Roman" w:cs="Times New Roman"/>
            <w:color w:val="000000"/>
            <w:highlight w:val="white"/>
          </w:rPr>
          <w:t>MINA</w:t>
        </w:r>
      </w:hyperlink>
      <w:hyperlink r:id="rId71">
        <w:r>
          <w:rPr>
            <w:rFonts w:eastAsia="Times New Roman" w:cs="Times New Roman"/>
            <w:highlight w:val="white"/>
          </w:rPr>
          <w:t>C</w:t>
        </w:r>
      </w:hyperlink>
      <w:r>
        <w:rPr>
          <w:rFonts w:eastAsia="Times New Roman" w:cs="Times New Roman"/>
          <w:color w:val="000000"/>
        </w:rPr>
        <w:t xml:space="preserve">), Consiliul Județean Tulcea (prin </w:t>
      </w:r>
      <w:r>
        <w:rPr>
          <w:rFonts w:eastAsia="Times New Roman" w:cs="Times New Roman"/>
          <w:color w:val="000000"/>
          <w:highlight w:val="white"/>
        </w:rPr>
        <w:t>ICEM Gavrilă Simion), MDLPA, MCID</w:t>
      </w:r>
      <w:r>
        <w:rPr>
          <w:rFonts w:eastAsia="Times New Roman" w:cs="Times New Roman"/>
          <w:color w:val="000000"/>
        </w:rPr>
        <w:t xml:space="preserve"> (INCD GeoEcoMar).</w:t>
      </w:r>
    </w:p>
    <w:p w14:paraId="515FFE5C" w14:textId="77777777" w:rsidR="008B1BFC" w:rsidRDefault="008B1BFC" w:rsidP="002508D3">
      <w:pPr>
        <w:spacing w:before="0"/>
        <w:rPr>
          <w:rFonts w:eastAsia="Times New Roman" w:cs="Times New Roman"/>
          <w:b/>
          <w:i/>
        </w:rPr>
      </w:pPr>
      <w:r>
        <w:rPr>
          <w:rFonts w:eastAsia="Times New Roman" w:cs="Times New Roman"/>
          <w:b/>
          <w:i/>
        </w:rPr>
        <w:t>M.2.2. Alcătuirea cadastrului monumentelor și siturilor arheologice</w:t>
      </w:r>
    </w:p>
    <w:p w14:paraId="6AADF985" w14:textId="77777777" w:rsidR="008B1BFC" w:rsidRDefault="008B1BFC" w:rsidP="002508D3">
      <w:pPr>
        <w:spacing w:before="0"/>
        <w:ind w:firstLine="567"/>
        <w:rPr>
          <w:rFonts w:eastAsia="Times New Roman" w:cs="Times New Roman"/>
        </w:rPr>
      </w:pPr>
      <w:r>
        <w:rPr>
          <w:rFonts w:eastAsia="Times New Roman" w:cs="Times New Roman"/>
        </w:rPr>
        <w:t>Zona costieră prezintă un potenţial patrimonial cultural cu totul remarcabil, compus din 426 de monumente, foruri publice, memorial funerare şi situri arheologice (inclusiv cel situat pe platforma continentală românească a Mării Negre), datoritǎ prezenței și dezvoltării comunităților și așezărilor umane încă din cele mai vechi timpuri, îmbinării elementelor originare cu influențe culturale rezultate din coabitarea mai multor comunități etnice, diversității stilistice și funcționale. Protecția bunurilor ce compun patrimoniul cultural trebuie impusă prin documentele de amenajare a teritoriului și urbanism, esențială fiind actualizarea PUG-urilor și preluarea informațiilor privitoare la existența și localizarea bunurilor de patrimoniu ca urmare a unor noi descoperiri sau cercetări.</w:t>
      </w:r>
    </w:p>
    <w:p w14:paraId="2F4A44F3" w14:textId="77777777" w:rsidR="008B1BFC" w:rsidRDefault="008B1BFC" w:rsidP="002508D3">
      <w:pPr>
        <w:spacing w:before="0"/>
        <w:ind w:firstLine="567"/>
        <w:rPr>
          <w:rFonts w:eastAsia="Times New Roman" w:cs="Times New Roman"/>
        </w:rPr>
      </w:pPr>
      <w:r>
        <w:rPr>
          <w:rFonts w:eastAsia="Times New Roman" w:cs="Times New Roman"/>
        </w:rPr>
        <w:lastRenderedPageBreak/>
        <w:t>Organizațiile responsabile pentru implementarea acestei măsuri sunt MC (prin INP), Consiliul Județean Constanța (prin MINAC), Consiliul Județean Tulcea (prin Institutul de Cercetări Eco-Muzeale ”Gavrilă Simion”), Consiliul local al municipiului Mangalia (prin Muzeul de arheologie Callatis Mangalia), MDLPA și ANCPI. Bugetul necesar punerii în aplicare a măsurii poate proveni din fonduri proprii ale MC și / sau prin accesarea programelor naționale, precum Programul Național de Cadastru și Carte Funciară, Programul Național de Restaurare a Monumentelor sau/și europene (Programul Regional Sud-Est).</w:t>
      </w:r>
    </w:p>
    <w:p w14:paraId="4F43EBC1" w14:textId="77777777" w:rsidR="008B1BFC" w:rsidRDefault="008B1BFC" w:rsidP="002508D3">
      <w:pPr>
        <w:spacing w:before="0"/>
        <w:rPr>
          <w:rFonts w:eastAsia="Times New Roman" w:cs="Times New Roman"/>
          <w:b/>
          <w:i/>
        </w:rPr>
      </w:pPr>
      <w:r>
        <w:rPr>
          <w:rFonts w:eastAsia="Times New Roman" w:cs="Times New Roman"/>
          <w:b/>
          <w:i/>
        </w:rPr>
        <w:t>M2.3 Inventarierea, cercetarea și punerea în valoare a patrimoniului cultural subacvatic</w:t>
      </w:r>
    </w:p>
    <w:p w14:paraId="7BB81DE8" w14:textId="77777777" w:rsidR="008B1BFC" w:rsidRDefault="008B1BFC" w:rsidP="002508D3">
      <w:pPr>
        <w:spacing w:before="0"/>
        <w:ind w:firstLine="567"/>
        <w:rPr>
          <w:rFonts w:eastAsia="Times New Roman" w:cs="Times New Roman"/>
        </w:rPr>
      </w:pPr>
      <w:r>
        <w:rPr>
          <w:rFonts w:eastAsia="Times New Roman" w:cs="Times New Roman"/>
        </w:rPr>
        <w:t xml:space="preserve">Convenția UNESCO privind protecția patrimoniului cultural subacvatic, Paris, 2001, adoptată în România prin Legea 99/2007, a stabilit un cadru legal cuprinzător pentru cercetarea, conservarea, protecția și gestionarea patrimoniului cultural subacvatic. Datele privind patrimoniul cultural subacvatic disponibile în prezent în România sunt departe de a fi complete, deoarece nu s-au efectuat anchete sistematice în zona maritimă. De a lungul timpului au fost implementate proiecte de cercetare (HERAS, Underwater routes) prin care s-a început o inventariere a patrimoniului cultural subacvatic și s-a propus o valorificare a acestuia, în special în scopuri turistice </w:t>
      </w:r>
    </w:p>
    <w:p w14:paraId="61604278" w14:textId="77777777" w:rsidR="008B1BFC" w:rsidRDefault="008B1BFC" w:rsidP="002508D3">
      <w:pPr>
        <w:spacing w:before="0"/>
        <w:ind w:firstLine="567"/>
        <w:rPr>
          <w:rFonts w:eastAsia="Times New Roman" w:cs="Times New Roman"/>
        </w:rPr>
      </w:pPr>
      <w:r>
        <w:rPr>
          <w:rFonts w:eastAsia="Times New Roman" w:cs="Times New Roman"/>
        </w:rPr>
        <w:t>Măsura propusă este în concordanță cu obiectivele și acțiunile Planului de Amenajare a Spațiului Maritim și va fi implementată de către MC (prin INP), MCID (prin INCD GeoEcoMar), autorități locale, precum și MApN (prin Centrul de Scafandri și DHM). Bugetul necesar implementării acestei măsuri va fi asigurat din fonduri proprii ale MC, precum și prin accesarea programelor europene (Horizon Europe, Programul Regional Sud-Est) și naționale (PNCDI IV).</w:t>
      </w:r>
    </w:p>
    <w:p w14:paraId="44E2D2BB" w14:textId="77777777" w:rsidR="008B1BFC" w:rsidRDefault="008B1BFC" w:rsidP="002508D3">
      <w:pPr>
        <w:spacing w:before="0"/>
        <w:rPr>
          <w:rFonts w:eastAsia="Times New Roman" w:cs="Times New Roman"/>
          <w:b/>
          <w:i/>
        </w:rPr>
      </w:pPr>
      <w:r>
        <w:rPr>
          <w:rFonts w:eastAsia="Times New Roman" w:cs="Times New Roman"/>
          <w:b/>
          <w:i/>
        </w:rPr>
        <w:t>M2.4 Inventarierea și evaluarea peisajului în zona costieră</w:t>
      </w:r>
    </w:p>
    <w:p w14:paraId="4CBB214E" w14:textId="77777777" w:rsidR="008B1BFC" w:rsidRDefault="008B1BFC" w:rsidP="002508D3">
      <w:pPr>
        <w:spacing w:before="0"/>
        <w:ind w:firstLine="567"/>
        <w:rPr>
          <w:rFonts w:eastAsia="Times New Roman" w:cs="Times New Roman"/>
        </w:rPr>
      </w:pPr>
      <w:r>
        <w:rPr>
          <w:rFonts w:eastAsia="Times New Roman" w:cs="Times New Roman"/>
        </w:rPr>
        <w:t>În ultimii ani, politicile UE privind peisajul costier au devenit mai bine definite, impunându-se necesitatea unor stabilirea unor indicatori pentru evaluarea și monitorizarea efectelor politicilor și planurilor în zona costieră. Însă peisajul reprezintă una dintre componentele dificil de măsurat folosind metode cantitative. Pentru a aborda diversele dimensiuni ale peisajului costier (a cărui complexitate este binecunoscută având în vedere interacțiunea usacat-mare), este nevoie să se solicite o implicare multidisciplinară, cu expertiză în ecologia peisajului, istoria peisajului, percepția peisajului, planificarea regională, evaluarea strategică a mediului și procedurile de evaluare a impactului asupra mediului costier și marin.</w:t>
      </w:r>
    </w:p>
    <w:p w14:paraId="41F99137" w14:textId="77777777" w:rsidR="008B1BFC" w:rsidRDefault="008B1BFC" w:rsidP="002508D3">
      <w:pPr>
        <w:spacing w:before="0"/>
        <w:ind w:firstLine="567"/>
        <w:rPr>
          <w:rFonts w:eastAsia="Times New Roman" w:cs="Times New Roman"/>
        </w:rPr>
      </w:pPr>
      <w:r>
        <w:rPr>
          <w:rFonts w:eastAsia="Times New Roman" w:cs="Times New Roman"/>
        </w:rPr>
        <w:t>Prin implementarea acestei măsuri se urmărește susținerea proceselor de elaborarea a activităților de planificare spațială a teritoriului, precum și a programelor de conservare / restaurare / reabilitare / valorificare a peisajului costier.</w:t>
      </w:r>
    </w:p>
    <w:p w14:paraId="1E44C9B1" w14:textId="77777777" w:rsidR="008B1BFC" w:rsidRDefault="008B1BFC" w:rsidP="002508D3">
      <w:pPr>
        <w:spacing w:before="0"/>
        <w:ind w:firstLine="567"/>
        <w:rPr>
          <w:rFonts w:eastAsia="Times New Roman" w:cs="Times New Roman"/>
        </w:rPr>
      </w:pPr>
      <w:r>
        <w:rPr>
          <w:rFonts w:eastAsia="Times New Roman" w:cs="Times New Roman"/>
        </w:rPr>
        <w:t>Principala organizație responsabilă este Ministerul Dezvoltării, Lucrărilor Publice și Administrației, dar contribuții semnificative se așteaptă de la MCID (prin Institutele Naționale de Cercetare-Dezvoltare) și MEC (universități). Bugetul necesar implementării măsurii va fi asigurat din fonduri proprii ale MDLPA și / sau prin accesarea programelor naționale, precum Programul Național de Cadastru și Carte Funciară, PNCDI IV și europene, precum Programul Regional Sud-Est, PNRR, etc.</w:t>
      </w:r>
    </w:p>
    <w:p w14:paraId="4FFA558E" w14:textId="77777777" w:rsidR="008B1BFC" w:rsidRDefault="008B1BFC" w:rsidP="002508D3">
      <w:pPr>
        <w:spacing w:before="0"/>
        <w:ind w:firstLine="567"/>
        <w:rPr>
          <w:rFonts w:eastAsia="Times New Roman" w:cs="Times New Roman"/>
        </w:rPr>
      </w:pPr>
    </w:p>
    <w:p w14:paraId="51B102A6" w14:textId="77777777" w:rsidR="008B1BFC" w:rsidRDefault="008B1BFC" w:rsidP="002508D3">
      <w:pPr>
        <w:spacing w:before="0"/>
        <w:rPr>
          <w:rFonts w:eastAsia="Times New Roman" w:cs="Times New Roman"/>
          <w:b/>
        </w:rPr>
      </w:pPr>
      <w:r>
        <w:rPr>
          <w:rFonts w:eastAsia="Times New Roman" w:cs="Times New Roman"/>
          <w:b/>
        </w:rPr>
        <w:t>M.3 Măsuri pentru conservarea și protecția biodiversității și habitatelor zonei costiere</w:t>
      </w:r>
    </w:p>
    <w:p w14:paraId="0EBF80E3" w14:textId="77777777" w:rsidR="008B1BFC" w:rsidRDefault="008B1BFC" w:rsidP="002508D3">
      <w:pPr>
        <w:spacing w:before="0"/>
        <w:rPr>
          <w:rFonts w:eastAsia="Times New Roman" w:cs="Times New Roman"/>
          <w:b/>
          <w:i/>
        </w:rPr>
      </w:pPr>
      <w:r>
        <w:rPr>
          <w:rFonts w:eastAsia="Times New Roman" w:cs="Times New Roman"/>
          <w:b/>
          <w:i/>
        </w:rPr>
        <w:t xml:space="preserve">M3.1 Creșterea gradului de protecție și conservare a habitatelor zonei costiere </w:t>
      </w:r>
    </w:p>
    <w:p w14:paraId="63C02B20" w14:textId="77777777" w:rsidR="008B1BFC" w:rsidRDefault="008B1BFC" w:rsidP="002508D3">
      <w:pPr>
        <w:spacing w:before="0"/>
        <w:ind w:firstLine="567"/>
        <w:rPr>
          <w:rFonts w:eastAsia="Times New Roman" w:cs="Times New Roman"/>
        </w:rPr>
      </w:pPr>
      <w:r>
        <w:rPr>
          <w:rFonts w:eastAsia="Times New Roman" w:cs="Times New Roman"/>
        </w:rPr>
        <w:t xml:space="preserve">Prin această măsură se urmărește atingerea stării ecologice bune pentru habitatele aflate în regim de protecție. În acest scop, este necesară monitorizarea atentă, investigarea cauzelor și aplicarea acțiunilor de prevenire a deteriorării stării acestora, prin reducerea presiunilor cu impact negativ (ex., habitatele costiere afectate de lucrările de înnisipare, lagunele și lacurile urbane/periurbane - ex. ROSPA0057 Siutghiol). </w:t>
      </w:r>
    </w:p>
    <w:p w14:paraId="5E436056" w14:textId="77777777" w:rsidR="008B1BFC" w:rsidRDefault="008B1BFC" w:rsidP="002508D3">
      <w:pPr>
        <w:spacing w:before="0"/>
        <w:ind w:firstLine="567"/>
        <w:rPr>
          <w:rFonts w:eastAsia="Times New Roman" w:cs="Times New Roman"/>
        </w:rPr>
      </w:pPr>
      <w:r>
        <w:rPr>
          <w:rFonts w:eastAsia="Times New Roman" w:cs="Times New Roman"/>
        </w:rPr>
        <w:t>Această măsură vine în sprijinul implementării Strategiei Naționale și Planului de Acțiune pentru conservarea biodiversității 2014-2020 (SNPACB 2014-2020) (în curs de actualizare), Strategiei Naționale pentru Dezvoltarea Durabilă a României 2030 (SNDDR), dar este în concordanță și cu țintele Politicilor Europene (Convenția pentru Diversitatea Biologică, Directiva Cadru privind Strategia pentru mediul Marin, Directiva Habitate, Directiva Păsări, etc.).</w:t>
      </w:r>
    </w:p>
    <w:p w14:paraId="59D3AACB" w14:textId="77777777" w:rsidR="008B1BFC" w:rsidRDefault="008B1BFC" w:rsidP="002508D3">
      <w:pPr>
        <w:spacing w:before="0"/>
        <w:ind w:firstLine="567"/>
        <w:rPr>
          <w:rFonts w:eastAsia="Times New Roman" w:cs="Times New Roman"/>
        </w:rPr>
      </w:pPr>
      <w:r>
        <w:rPr>
          <w:rFonts w:eastAsia="Times New Roman" w:cs="Times New Roman"/>
        </w:rPr>
        <w:t xml:space="preserve"> Instituțiile responsabile de implementarea acestei măsuri sunt MMAP (prin ANANP și ARBDD), MCID (INCD GeoEcoMar, INCDM Grigore Antipa, INCDDD) și ME (Universitatea Ovidius Constanța, Universitatea din București, Universitatea Alexandru Ioan Cuza din Iași).</w:t>
      </w:r>
      <w:r>
        <w:t xml:space="preserve"> </w:t>
      </w:r>
      <w:r>
        <w:rPr>
          <w:rFonts w:eastAsia="Times New Roman" w:cs="Times New Roman"/>
        </w:rPr>
        <w:t xml:space="preserve">Finanțarea implementării acestei măsuri poate fi asigurată atât din bugetul propriu al MMAP, dar și prin accesarea programelor europene, precum Programul de Dezvoltare Durabilă, LIFE, PNRR și Horizon Europe și programelor naționale, precum Planul Național de Cercetare Dezvoltare și Inovare 2022-2027 (PNCDI IV). </w:t>
      </w:r>
    </w:p>
    <w:p w14:paraId="284C08A3" w14:textId="77777777" w:rsidR="008B1BFC" w:rsidRDefault="008B1BFC" w:rsidP="002508D3">
      <w:pPr>
        <w:spacing w:before="0"/>
        <w:rPr>
          <w:rFonts w:eastAsia="Times New Roman" w:cs="Times New Roman"/>
          <w:b/>
          <w:i/>
        </w:rPr>
      </w:pPr>
      <w:r>
        <w:rPr>
          <w:rFonts w:eastAsia="Times New Roman" w:cs="Times New Roman"/>
          <w:b/>
          <w:i/>
        </w:rPr>
        <w:t>M3.2 Elaborarea sau actualizarea, după caz, a Planurilor de Management pentru ariile naturale protejate din zona costieră</w:t>
      </w:r>
    </w:p>
    <w:p w14:paraId="07F4155B" w14:textId="77777777" w:rsidR="008B1BFC" w:rsidRDefault="008B1BFC" w:rsidP="002508D3">
      <w:pPr>
        <w:spacing w:before="0"/>
        <w:ind w:firstLine="567"/>
        <w:rPr>
          <w:rFonts w:eastAsia="Times New Roman" w:cs="Times New Roman"/>
        </w:rPr>
      </w:pPr>
      <w:bookmarkStart w:id="142" w:name="_heading=h.25b2l0r" w:colFirst="0" w:colLast="0"/>
      <w:bookmarkEnd w:id="142"/>
      <w:r>
        <w:rPr>
          <w:rFonts w:eastAsia="Times New Roman" w:cs="Times New Roman"/>
        </w:rPr>
        <w:t>Conservarea biodiversității reprezintă obiectivul major al implementării la nivel european a rețelei Natura 2000. Datorită importanței economice a Zonei Costiere, existenței ariilor protejate terestre și marine și a poziției geografice sunt necesare, în continuarea de măsuri de management adecvate dezvoltării durabile. Existența ariilor protejate în zona costieră trebuie conștientizată ca atare, iar planificarea activităților de orice natură în zonele protejate sau în vecinătatea acestora trebuie să aibă în vedere în mod expres principiul conservării biodiversității.</w:t>
      </w:r>
    </w:p>
    <w:p w14:paraId="39E40A1E" w14:textId="77777777" w:rsidR="008B1BFC" w:rsidRDefault="008B1BFC" w:rsidP="002508D3">
      <w:pPr>
        <w:spacing w:before="0"/>
        <w:ind w:firstLine="567"/>
        <w:rPr>
          <w:rFonts w:eastAsia="Times New Roman" w:cs="Times New Roman"/>
        </w:rPr>
      </w:pPr>
      <w:r>
        <w:rPr>
          <w:rFonts w:eastAsia="Times New Roman" w:cs="Times New Roman"/>
        </w:rPr>
        <w:t>Numărul redus de evaluări ale speciilor și habitatelor cu "statutul de conservare favorabil" indică faptul că managementul actual al ariilor marine protejate nu este eficace. Până în prezent, nu există o imagine de ansamblu coerentă privind managementul eficient al Rețelei Natura 2000. Prin urmare, prin această măsură se urmărește actualizarea informațiilor privind ariile naturale protejate din zona costieră, evaluarea eficienței Rețelei Natura 2000 și anume dacă aceasta contribuie la atingerea "stării favorabile de conservare" pentru specii și habitate, dar și la "starea ecologică bună" a ecosistemului Mării Negre în general.</w:t>
      </w:r>
    </w:p>
    <w:p w14:paraId="7C64F45D" w14:textId="77777777" w:rsidR="008B1BFC" w:rsidRDefault="008B1BFC" w:rsidP="002508D3">
      <w:pPr>
        <w:spacing w:before="0"/>
        <w:ind w:firstLine="567"/>
        <w:rPr>
          <w:rFonts w:eastAsia="Times New Roman" w:cs="Times New Roman"/>
        </w:rPr>
      </w:pPr>
      <w:r>
        <w:rPr>
          <w:rFonts w:eastAsia="Times New Roman" w:cs="Times New Roman"/>
        </w:rPr>
        <w:t xml:space="preserve">Instituțiile responsabile de implementarea acestei măsuri sunt MMAP (prin ANANP și ARBDD), MCID (INCD GeoEcoMar, INCDM Grigore Antipa, INCDDD) și ME </w:t>
      </w:r>
      <w:r>
        <w:rPr>
          <w:rFonts w:eastAsia="Times New Roman" w:cs="Times New Roman"/>
        </w:rPr>
        <w:lastRenderedPageBreak/>
        <w:t xml:space="preserve">(Universitatea Ovidius Constanța, Universitatea din București, Universitatea Alexandru Ioan Cuza din Iași). Finanțarea implementării acestei măsuri poate fi asigurată atât din bugetul propriu al MMAP, dar și prin accesarea programelor europene, precum Programul de Dezvoltare Durabilă, LIFE, PNRR și Horizon Europe și programelor naționale, precum Planul Național de Cercetare Dezvoltare și Inovare 2022-2027 (PNCDI IV). </w:t>
      </w:r>
    </w:p>
    <w:p w14:paraId="47FFA153" w14:textId="77777777" w:rsidR="008B1BFC" w:rsidRDefault="008B1BFC" w:rsidP="002508D3">
      <w:pPr>
        <w:spacing w:before="0"/>
        <w:rPr>
          <w:rFonts w:eastAsia="Times New Roman" w:cs="Times New Roman"/>
          <w:b/>
          <w:i/>
        </w:rPr>
      </w:pPr>
      <w:r>
        <w:rPr>
          <w:rFonts w:eastAsia="Times New Roman" w:cs="Times New Roman"/>
          <w:b/>
          <w:i/>
        </w:rPr>
        <w:t>M3.3</w:t>
      </w:r>
      <w:r>
        <w:rPr>
          <w:b/>
          <w:i/>
        </w:rPr>
        <w:t xml:space="preserve"> </w:t>
      </w:r>
      <w:r>
        <w:rPr>
          <w:rFonts w:eastAsia="Times New Roman" w:cs="Times New Roman"/>
          <w:b/>
          <w:i/>
        </w:rPr>
        <w:t>Restabilirea/refacerea și utilizarea sustenabilă a ecosistemelor costiere utilizând soluțiile bazate pe natură</w:t>
      </w:r>
    </w:p>
    <w:p w14:paraId="34DCCBA3" w14:textId="77777777" w:rsidR="008B1BFC" w:rsidRDefault="008B1BFC" w:rsidP="002508D3">
      <w:pPr>
        <w:spacing w:before="0"/>
        <w:ind w:firstLine="567"/>
        <w:rPr>
          <w:rFonts w:eastAsia="Times New Roman" w:cs="Times New Roman"/>
        </w:rPr>
      </w:pPr>
      <w:r>
        <w:rPr>
          <w:rFonts w:eastAsia="Times New Roman" w:cs="Times New Roman"/>
        </w:rPr>
        <w:t xml:space="preserve">Restabilirea/refacerea ecosistemelor naturale reprezintă unul dintre instrumentele de bază care ar putea stimula păstrarea integrității ariilor protejate sub toate aspectele și atingerea țintelor AICHI de conservare a biodiversității. Această măsură promovează principiul conservării biodiversității, și prin implementarea ei se urmărește îmbunătățirea captării și stocării carbonului și accelerarea rezilienței ecosistemelor naturale. În prezent, lipsește un program care să combine conservarea și refacerea/restaurarea într-un cadru unificat, cu implicarea cetățenilor și a mediului economic, iar prin implementarea acestei măsuri se urmărește elaborarea acestui program. </w:t>
      </w:r>
    </w:p>
    <w:p w14:paraId="157D07EE" w14:textId="77777777" w:rsidR="008B1BFC" w:rsidRDefault="008B1BFC" w:rsidP="002508D3">
      <w:pPr>
        <w:spacing w:before="0"/>
        <w:ind w:firstLine="567"/>
        <w:rPr>
          <w:rFonts w:eastAsia="Times New Roman" w:cs="Times New Roman"/>
        </w:rPr>
      </w:pPr>
      <w:r>
        <w:rPr>
          <w:rFonts w:eastAsia="Times New Roman" w:cs="Times New Roman"/>
        </w:rPr>
        <w:t>Responsabilitatea implementării acestei măsuri îi revine MMAP (prin ANAP, ARBDD), dar o contribuție majoră o vor avea atât MADR (prin ANPA), cât și Institutele Naționale de Cercetare-Dezvoltare (INCD GeoEcoMar, INCDM Grigore Antipa, INCDDD) din zona costieră și Universitatea Ovidius Constanța. Bugetul implementării acestei măsuri va fi asigurat fie din fonduri proprii MMAP, fie prin accesarea programelor europene, precum Programul de Dezvoltare Durabilă, LIFE, PNRR și Horizon Europe, Invest EU și a programelor naționale, precum Planul Național de Cercetare Dezvoltare și Inovare 2022-2027 (PNCDI IV).</w:t>
      </w:r>
    </w:p>
    <w:p w14:paraId="78A5F586" w14:textId="77777777" w:rsidR="008B1BFC" w:rsidRDefault="008B1BFC" w:rsidP="002508D3">
      <w:pPr>
        <w:spacing w:before="0"/>
        <w:rPr>
          <w:rFonts w:eastAsia="Times New Roman" w:cs="Times New Roman"/>
          <w:b/>
          <w:i/>
        </w:rPr>
      </w:pPr>
      <w:r>
        <w:rPr>
          <w:rFonts w:eastAsia="Times New Roman" w:cs="Times New Roman"/>
          <w:b/>
          <w:i/>
        </w:rPr>
        <w:t>M3.4 Evaluarea funcțiilor și serviciilor ecosistemice prin instrumente monetare și non-monetare</w:t>
      </w:r>
    </w:p>
    <w:p w14:paraId="11C8FB23" w14:textId="77777777" w:rsidR="008B1BFC" w:rsidRDefault="008B1BFC" w:rsidP="002508D3">
      <w:pPr>
        <w:spacing w:before="0"/>
        <w:ind w:firstLine="567"/>
        <w:rPr>
          <w:rFonts w:eastAsia="Times New Roman" w:cs="Times New Roman"/>
        </w:rPr>
      </w:pPr>
      <w:r>
        <w:rPr>
          <w:rFonts w:eastAsia="Times New Roman" w:cs="Times New Roman"/>
        </w:rPr>
        <w:t xml:space="preserve">Deoarece multe dintre bunurile și serviciile ecosistemice au fost dintotdeauna la dispoziția tuturor și, de regulă, puțin prețuite pe piață, valoarea lor reală nu a fost inclusă în estimările economice. Pe lângă valoarea resurselor naturale exploatate comercial, există o valoare intrinsecă a fiecărui serviciu ecosistemic, care se referă la funcţiile prin care ecosistemele contribuie la reglarea proceselor şi fenomenelor care susţin viaţa (epurarea apelor, fixarea nutrienților şi a carbonului, fotosinteza), la funcţiile de suport, precum producţia de biomasă, de elemente esenţiale vieţii (i.e., oxigen), formarea solurilor etc, precum și la oportunităţile culturale şi estetice pe care le oferă (peisaje, experienţe spirituale etc). </w:t>
      </w:r>
    </w:p>
    <w:p w14:paraId="66571F17" w14:textId="77777777" w:rsidR="008B1BFC" w:rsidRDefault="008B1BFC" w:rsidP="002508D3">
      <w:pPr>
        <w:spacing w:before="0"/>
        <w:ind w:firstLine="567"/>
        <w:rPr>
          <w:rFonts w:eastAsia="Times New Roman" w:cs="Times New Roman"/>
        </w:rPr>
      </w:pPr>
      <w:r>
        <w:rPr>
          <w:rFonts w:eastAsia="Times New Roman" w:cs="Times New Roman"/>
        </w:rPr>
        <w:t>Neatribuirea de valori, sau subevaluarea serviciilor ecosistemice atrage o slăbire a responsabilității în procesul valorificării serviciilor ecosistemice, deoarece ponderea acestora în totalul eforturilor utilizatorului va fi subdimensionata (atunci cand un element de cheltuială are o pondere mică în totalul cheltuielii nu declanșează interesul pentru raționalizarea consumului acestuia). De aceea, evaluarea serviciilor ecosistemice în expresie fizică trebuie dublată de expresia monetară a acestora, ca posibilitate de depășire a problemei heterogenității sistemelor implicate.</w:t>
      </w:r>
    </w:p>
    <w:p w14:paraId="3750AA18" w14:textId="77777777" w:rsidR="008B1BFC" w:rsidRDefault="008B1BFC" w:rsidP="002508D3">
      <w:pPr>
        <w:spacing w:before="0"/>
        <w:ind w:firstLine="567"/>
        <w:rPr>
          <w:rFonts w:eastAsia="Times New Roman" w:cs="Times New Roman"/>
        </w:rPr>
      </w:pPr>
      <w:bookmarkStart w:id="143" w:name="_heading=h.kgcv8k" w:colFirst="0" w:colLast="0"/>
      <w:bookmarkEnd w:id="143"/>
      <w:r>
        <w:rPr>
          <w:rFonts w:eastAsia="Times New Roman" w:cs="Times New Roman"/>
        </w:rPr>
        <w:t xml:space="preserve">Valorizarea monetară și non-monetară a serviciilor ecosistemice contribuie la o utilizare îmbunătățită a resurselor naturale, în special prin creșterea gradului de informare și cunoaștere </w:t>
      </w:r>
      <w:r>
        <w:rPr>
          <w:rFonts w:eastAsia="Times New Roman" w:cs="Times New Roman"/>
        </w:rPr>
        <w:lastRenderedPageBreak/>
        <w:t xml:space="preserve">a factorilor de decizie asupra costului total al exploatării sistemelor ecologice și asupra beneficiilor potențiale pe care sistemele ecologice naturale le furnizează. Prin urmare, prin implementarea acestei activități se urmărește stabilirea mecanismelor monetare și non-monetare a serviciilor ecosistemice și integrarea costurilor de conservare și refacere a capitalului natural în realizarea politicilor și strategiilor sectoriale. Această abordare va conduce la o responsabilitate mai mare faţă de natură, precum și față de bunăstarea generațiilor viitoare. </w:t>
      </w:r>
    </w:p>
    <w:p w14:paraId="2C9A3469" w14:textId="77777777" w:rsidR="008B1BFC" w:rsidRDefault="008B1BFC" w:rsidP="002508D3">
      <w:pPr>
        <w:spacing w:before="0"/>
        <w:ind w:firstLine="567"/>
        <w:rPr>
          <w:rFonts w:eastAsia="Times New Roman" w:cs="Times New Roman"/>
        </w:rPr>
      </w:pPr>
      <w:r>
        <w:rPr>
          <w:rFonts w:eastAsia="Times New Roman" w:cs="Times New Roman"/>
        </w:rPr>
        <w:t>Responsabilitatea implementării acestei măsuri îi revine MMAP, dar o contribuție majoră o vor avea atât MCID (prin Institutele Naționale de Cercetare-Dezvoltare), cât și ME (departamentele de cercetare din universități). Bugetul necesar implementării măsurii va fi asigurat fie din fonduri proprii ale MMAP, fie accesând diferite programe europene, precum Horizon Europe, LIFE, InvestEU și / sau naționale, precum Planul Național de Cercetare Dezvoltare și Inovare 2022-2027 (PNCDI IV).</w:t>
      </w:r>
    </w:p>
    <w:p w14:paraId="32D963E1" w14:textId="77777777" w:rsidR="008B1BFC" w:rsidRDefault="008B1BFC" w:rsidP="002508D3">
      <w:pPr>
        <w:spacing w:before="0"/>
        <w:rPr>
          <w:rFonts w:eastAsia="Times New Roman" w:cs="Times New Roman"/>
          <w:b/>
          <w:i/>
        </w:rPr>
      </w:pPr>
      <w:r>
        <w:rPr>
          <w:rFonts w:eastAsia="Times New Roman" w:cs="Times New Roman"/>
          <w:b/>
          <w:i/>
        </w:rPr>
        <w:t xml:space="preserve">M3.5. Consolidarea / Întărirea managementului speciilor invazive </w:t>
      </w:r>
    </w:p>
    <w:p w14:paraId="58D9905E" w14:textId="77777777" w:rsidR="008B1BFC" w:rsidRDefault="008B1BFC" w:rsidP="002508D3">
      <w:pPr>
        <w:spacing w:before="0"/>
        <w:ind w:firstLine="567"/>
        <w:rPr>
          <w:rFonts w:eastAsia="Times New Roman" w:cs="Times New Roman"/>
        </w:rPr>
      </w:pPr>
      <w:r>
        <w:rPr>
          <w:rFonts w:eastAsia="Times New Roman" w:cs="Times New Roman"/>
        </w:rPr>
        <w:t xml:space="preserve">Speciile invazive alohtone reprezintă în perioada actuală unul din principalele motive ale alterării profunde ale habitatelor naturale, fie că este vorba de mediul terestru sau acvatic (dulcicol și marin). Marea Neagră, cu particularitățile sale unice, este deosebit de sensibilă la impactul unora din speciile alohtone invazive, care au produs modificarea radicală în special a habitatelor marine afectând inclusiv domeniul socio-economic. Aceasta acțiune ar trebui să vizeze reducerea la minimum și, dacă este posibil, eliminarea introducerii și stabilirii speciilor invazive terestre, dulcicole </w:t>
      </w:r>
      <w:sdt>
        <w:sdtPr>
          <w:tag w:val="goog_rdk_52"/>
          <w:id w:val="-889185467"/>
        </w:sdtPr>
        <w:sdtContent>
          <w:r>
            <w:rPr>
              <w:rFonts w:eastAsia="Times New Roman" w:cs="Times New Roman"/>
            </w:rPr>
            <w:t>sau</w:t>
          </w:r>
        </w:sdtContent>
      </w:sdt>
      <w:r>
        <w:rPr>
          <w:rFonts w:eastAsia="Times New Roman" w:cs="Times New Roman"/>
        </w:rPr>
        <w:t xml:space="preserve"> marine, și refacerea/restaurarea ecosistemelor naturale. </w:t>
      </w:r>
    </w:p>
    <w:p w14:paraId="2D8459FD" w14:textId="77777777" w:rsidR="008B1BFC" w:rsidRDefault="008B1BFC" w:rsidP="002508D3">
      <w:pPr>
        <w:spacing w:before="0"/>
        <w:ind w:firstLine="567"/>
        <w:rPr>
          <w:rFonts w:eastAsia="Times New Roman" w:cs="Times New Roman"/>
        </w:rPr>
      </w:pPr>
      <w:r>
        <w:rPr>
          <w:rFonts w:eastAsia="Times New Roman" w:cs="Times New Roman"/>
        </w:rPr>
        <w:t xml:space="preserve">Prin această măsură se urmărește controlul speciilor invazive prin programe de monitorizare a vectorilor și a posibilelor căi de pătrundere, precum și prin măsuri de prevenire a răspândirii acestora (detectare rapidă, inclusiv prin metode mADN). De asemenea, se urmărește reducerea la minimum și, dacă este posibil, eliminarea introducerii și stabilirii speciilor invazive terestre, dulcicole </w:t>
      </w:r>
      <w:sdt>
        <w:sdtPr>
          <w:tag w:val="goog_rdk_53"/>
          <w:id w:val="1751854168"/>
        </w:sdtPr>
        <w:sdtContent>
          <w:r>
            <w:rPr>
              <w:rFonts w:eastAsia="Times New Roman" w:cs="Times New Roman"/>
            </w:rPr>
            <w:t>sau</w:t>
          </w:r>
        </w:sdtContent>
      </w:sdt>
      <w:r>
        <w:rPr>
          <w:rFonts w:eastAsia="Times New Roman" w:cs="Times New Roman"/>
        </w:rPr>
        <w:t xml:space="preserve"> marine, și refacerea/restaurarea ecosistemelor naturale. </w:t>
      </w:r>
    </w:p>
    <w:p w14:paraId="497D11B5" w14:textId="77777777" w:rsidR="008B1BFC" w:rsidRDefault="008B1BFC" w:rsidP="002508D3">
      <w:pPr>
        <w:spacing w:before="0"/>
        <w:ind w:firstLine="567"/>
        <w:rPr>
          <w:rFonts w:eastAsia="Times New Roman" w:cs="Times New Roman"/>
        </w:rPr>
      </w:pPr>
      <w:r>
        <w:rPr>
          <w:rFonts w:eastAsia="Times New Roman" w:cs="Times New Roman"/>
        </w:rPr>
        <w:t>Responsabilitatea implementării acestei măsuri îi revine MMAP, dar o contribuție majoră o vor avea atât MCID (prin INCD GeoEcoMar, INCDM Grigore Antipa Constanța și INCDDD), cât și ME (prin UOC și UAIC). Bugetul necesar implementării măsurii va fi asigurat fie din fonduri proprii ale MMAP, fie accesând diferite programe europene, precum Horizon Europe, LIFE, PNRR și / sau naționale, precum Planul Național de Cercetare Dezvoltare și Inovare 2022-2027 (PNCDI IV).</w:t>
      </w:r>
    </w:p>
    <w:p w14:paraId="5E1D1B94" w14:textId="77777777" w:rsidR="008B1BFC" w:rsidRDefault="008B1BFC" w:rsidP="002508D3">
      <w:pPr>
        <w:spacing w:before="0"/>
        <w:ind w:firstLine="567"/>
        <w:rPr>
          <w:rFonts w:eastAsia="Times New Roman" w:cs="Times New Roman"/>
        </w:rPr>
      </w:pPr>
    </w:p>
    <w:p w14:paraId="1DB7D9E7" w14:textId="77777777" w:rsidR="008B1BFC" w:rsidRDefault="008B1BFC" w:rsidP="002508D3">
      <w:pPr>
        <w:spacing w:before="0"/>
        <w:rPr>
          <w:rFonts w:eastAsia="Times New Roman" w:cs="Times New Roman"/>
          <w:b/>
        </w:rPr>
      </w:pPr>
      <w:r>
        <w:rPr>
          <w:rFonts w:eastAsia="Times New Roman" w:cs="Times New Roman"/>
          <w:b/>
        </w:rPr>
        <w:t>M.4 Măsuri pentru prevenirea și limitarea / stoparea poluării</w:t>
      </w:r>
    </w:p>
    <w:p w14:paraId="312F444B" w14:textId="5134C1A1" w:rsidR="008B1BFC" w:rsidRDefault="008B1BFC" w:rsidP="002508D3">
      <w:pPr>
        <w:spacing w:before="0"/>
        <w:rPr>
          <w:rFonts w:eastAsia="Times New Roman" w:cs="Times New Roman"/>
          <w:b/>
          <w:i/>
        </w:rPr>
      </w:pPr>
      <w:r>
        <w:rPr>
          <w:rFonts w:eastAsia="Times New Roman" w:cs="Times New Roman"/>
          <w:b/>
          <w:i/>
        </w:rPr>
        <w:t xml:space="preserve">M4.1 Creșterea capacității de monitorizare a </w:t>
      </w:r>
      <w:r w:rsidR="00BB40D3">
        <w:rPr>
          <w:rFonts w:eastAsia="Times New Roman" w:cs="Times New Roman"/>
          <w:b/>
          <w:i/>
        </w:rPr>
        <w:t>calității aerului</w:t>
      </w:r>
      <w:r>
        <w:rPr>
          <w:rFonts w:eastAsia="Times New Roman" w:cs="Times New Roman"/>
          <w:b/>
          <w:i/>
        </w:rPr>
        <w:t>, precum și a depunerilor atmosferice</w:t>
      </w:r>
    </w:p>
    <w:p w14:paraId="7D5BAEC2" w14:textId="77777777" w:rsidR="008B1BFC" w:rsidRDefault="008B1BFC" w:rsidP="002508D3">
      <w:pPr>
        <w:spacing w:before="0"/>
        <w:ind w:firstLine="540"/>
        <w:rPr>
          <w:rFonts w:eastAsia="Times New Roman" w:cs="Times New Roman"/>
        </w:rPr>
      </w:pPr>
      <w:r>
        <w:rPr>
          <w:rFonts w:eastAsia="Times New Roman" w:cs="Times New Roman"/>
        </w:rPr>
        <w:t>În România, domeniul calitatea aerului este reglementat prin Legea nr.104/15.06.2011 privind calitatea aerului înconjurător publicată în Monitorul Oficial al României, Partea I, nr.452 din 28 iunie 2011.</w:t>
      </w:r>
      <w:r>
        <w:rPr>
          <w:rFonts w:eastAsia="Times New Roman" w:cs="Times New Roman"/>
          <w:color w:val="131313"/>
          <w:highlight w:val="white"/>
        </w:rPr>
        <w:t xml:space="preserve">Calitatea aerului este determinată de emisiile în aer provenite de la </w:t>
      </w:r>
      <w:r>
        <w:rPr>
          <w:rFonts w:eastAsia="Times New Roman" w:cs="Times New Roman"/>
          <w:color w:val="131313"/>
          <w:highlight w:val="white"/>
        </w:rPr>
        <w:lastRenderedPageBreak/>
        <w:t>sursele staţionare şi sursele mobile, cu preponderenţă în marile oraşe, precum şi de transportul pe distanţe lungi a poluanţilor atmosferici.</w:t>
      </w:r>
      <w:r>
        <w:rPr>
          <w:rFonts w:eastAsia="Times New Roman" w:cs="Times New Roman"/>
        </w:rPr>
        <w:t xml:space="preserve"> Dacă în partea sudică a zonei costiere infrastructura de monitorizare este relativ bine dezvoltată, în partea nordică a zonei costiere aceasta nu există. </w:t>
      </w:r>
    </w:p>
    <w:p w14:paraId="414C4D8D" w14:textId="7F1E23C6" w:rsidR="008B1BFC" w:rsidRDefault="008B1BFC" w:rsidP="002508D3">
      <w:pPr>
        <w:spacing w:before="0"/>
        <w:ind w:firstLine="540"/>
        <w:rPr>
          <w:rFonts w:eastAsia="Times New Roman" w:cs="Times New Roman"/>
        </w:rPr>
      </w:pPr>
      <w:r>
        <w:rPr>
          <w:rFonts w:eastAsia="Times New Roman" w:cs="Times New Roman"/>
        </w:rPr>
        <w:t>Prin implementarea acestei măsuri se urmărește atât extinderea rețelei de monitorizare a calității aerului, cu precădere în zona nordică a zonei costiere</w:t>
      </w:r>
      <w:r w:rsidR="00BB40D3">
        <w:rPr>
          <w:rFonts w:eastAsia="Times New Roman" w:cs="Times New Roman"/>
        </w:rPr>
        <w:t>. De asemenea, implementarea acestei măsuri va contribui la dezvoltarea unui program de monitorizare a</w:t>
      </w:r>
      <w:r>
        <w:rPr>
          <w:rFonts w:eastAsia="Times New Roman" w:cs="Times New Roman"/>
        </w:rPr>
        <w:t xml:space="preserve"> depunerilor atmosferice în mare, în apele de suprafață, pe soluri, care în prezent este slab dezvoltată, deși introducerea de poluanți în mediu, pe această cale, este estimată a fi semnificativă (în special pentru mediul marin).</w:t>
      </w:r>
    </w:p>
    <w:p w14:paraId="2747E47A" w14:textId="038BAF86" w:rsidR="008B1BFC" w:rsidRDefault="008B1BFC" w:rsidP="002508D3">
      <w:pPr>
        <w:spacing w:before="0"/>
        <w:ind w:firstLine="540"/>
        <w:rPr>
          <w:rFonts w:eastAsia="Times New Roman" w:cs="Times New Roman"/>
        </w:rPr>
      </w:pPr>
      <w:r>
        <w:rPr>
          <w:rFonts w:eastAsia="Times New Roman" w:cs="Times New Roman"/>
        </w:rPr>
        <w:t>Instituția responsabilă pentru implementarea acestei măsuri este MMAP, dar o contribuție semnificativă, în special în ceea ce privește monitorizarea depunerilor atmosferice o pot avea și institutele de cercetare-dezvoltare din subordinea MCID (INCD GeoEcoMar, INCDM Grigore Antipa, INCDD). Finanțarea implementării acestei măsuri poate fi asigurată atât din bugetul propriu al MMAP, dar și prin accesarea programelor europene, precum Programul Regional Sud-Est, Programul de Dezvoltare Durabilă</w:t>
      </w:r>
      <w:r>
        <w:rPr>
          <w:rFonts w:eastAsia="Times New Roman" w:cs="Times New Roman"/>
          <w:i/>
        </w:rPr>
        <w:t xml:space="preserve">, </w:t>
      </w:r>
      <w:r>
        <w:rPr>
          <w:rFonts w:eastAsia="Times New Roman" w:cs="Times New Roman"/>
        </w:rPr>
        <w:t>PNRR și Horizon Europe și programelor naționale, precum Planul Național de Cercetare Dezvoltare și Inovare 2022-2027 (PNCDI IV).</w:t>
      </w:r>
    </w:p>
    <w:p w14:paraId="0C14F663" w14:textId="77777777" w:rsidR="008B1BFC" w:rsidRDefault="008B1BFC" w:rsidP="002508D3">
      <w:pPr>
        <w:spacing w:before="0"/>
        <w:rPr>
          <w:rFonts w:eastAsia="Times New Roman" w:cs="Times New Roman"/>
          <w:b/>
          <w:i/>
        </w:rPr>
      </w:pPr>
      <w:r>
        <w:rPr>
          <w:rFonts w:eastAsia="Times New Roman" w:cs="Times New Roman"/>
          <w:b/>
          <w:i/>
        </w:rPr>
        <w:t>M4.2</w:t>
      </w:r>
      <w:r>
        <w:rPr>
          <w:rFonts w:eastAsia="Times New Roman" w:cs="Times New Roman"/>
        </w:rPr>
        <w:t xml:space="preserve"> </w:t>
      </w:r>
      <w:r>
        <w:rPr>
          <w:rFonts w:eastAsia="Times New Roman" w:cs="Times New Roman"/>
          <w:b/>
          <w:i/>
        </w:rPr>
        <w:t>Extinderea și modernizarea infrastructurii de canalizare și epurare în partea nordică a zonei costiere, aferentă Deltei Dunării</w:t>
      </w:r>
    </w:p>
    <w:p w14:paraId="1B3CF42E" w14:textId="77777777" w:rsidR="008B1BFC" w:rsidRDefault="008B1BFC" w:rsidP="002508D3">
      <w:pPr>
        <w:spacing w:before="0"/>
        <w:ind w:firstLine="540"/>
        <w:rPr>
          <w:rFonts w:eastAsia="Times New Roman" w:cs="Times New Roman"/>
        </w:rPr>
      </w:pPr>
      <w:r>
        <w:rPr>
          <w:rFonts w:eastAsia="Times New Roman" w:cs="Times New Roman"/>
        </w:rPr>
        <w:t xml:space="preserve">În partea nordică a zonei costiere, localităţile din RBDD nu au sisteme de canalizare centralizate care să colecteze apele uzate la nivelul întregii localităţi, iar staţiile de epurare existente (Sulina, Murighiol, Sfântu Gheorghe și Jurilovca) realizează epurarea mecanică și biologică a apelor menajere la un nivel și eficiență insuficiente. Astfel apare evidentă necesitatea stringentă a implementării acestei acțiuni, care este în deplină concordanță cu obiectivele și acțiunile prevăzute în mai multe strategii și planuri / programe (naționale și locale), precum: </w:t>
      </w:r>
      <w:r>
        <w:rPr>
          <w:rFonts w:eastAsia="Times New Roman" w:cs="Times New Roman"/>
          <w:color w:val="111111"/>
          <w:shd w:val="clear" w:color="auto" w:fill="FCFCFC"/>
        </w:rPr>
        <w:t xml:space="preserve">Strategia integrată de dezvoltare durabilă a Deltei Dunării 2016-2030; </w:t>
      </w:r>
      <w:r>
        <w:rPr>
          <w:rFonts w:eastAsia="Times New Roman" w:cs="Times New Roman"/>
        </w:rPr>
        <w:t>Strategia de dezvoltare teritorială a României 2035 (SDTR); Strategia Națională pentru Dezvoltarea Durabilă a României 2030 (SNDDR); Planul național de management actualizat (2021) aferent porțiunii naționale a bazinului hidrografic internațional al fluviului Dunărea, Planul de management actualizat al fluviului Dunărea, Deltei Dunării, spațiului hidrografic Dobrogea și apelor costiere, etc.</w:t>
      </w:r>
    </w:p>
    <w:p w14:paraId="0C7055BE" w14:textId="77777777" w:rsidR="008B1BFC" w:rsidRDefault="008B1BFC" w:rsidP="002508D3">
      <w:pPr>
        <w:spacing w:before="0"/>
        <w:ind w:firstLine="540"/>
        <w:rPr>
          <w:rFonts w:eastAsia="Times New Roman" w:cs="Times New Roman"/>
        </w:rPr>
      </w:pPr>
      <w:r>
        <w:rPr>
          <w:rFonts w:eastAsia="Times New Roman" w:cs="Times New Roman"/>
        </w:rPr>
        <w:t>Instituțiile responsabile pentru implementarea acestei măsuri sunt MDLPA, MMAP și autoritățile locale. Finanțarea implementării acestei măsuri poate fi asigurată atât din bugetul propriu al autorităților publice locale și al operatorilor de servicii publice de apă uzată, dar și prin accesarea programelor europene, precum Programul de Dezvoltare Durabilă</w:t>
      </w:r>
      <w:r>
        <w:rPr>
          <w:rFonts w:eastAsia="Times New Roman" w:cs="Times New Roman"/>
          <w:i/>
        </w:rPr>
        <w:t xml:space="preserve">, </w:t>
      </w:r>
      <w:r>
        <w:rPr>
          <w:rFonts w:eastAsia="Times New Roman" w:cs="Times New Roman"/>
        </w:rPr>
        <w:t>Invest EU</w:t>
      </w:r>
      <w:r>
        <w:rPr>
          <w:rFonts w:eastAsia="Times New Roman" w:cs="Times New Roman"/>
          <w:i/>
        </w:rPr>
        <w:t xml:space="preserve">, </w:t>
      </w:r>
      <w:r>
        <w:rPr>
          <w:rFonts w:eastAsia="Times New Roman" w:cs="Times New Roman"/>
        </w:rPr>
        <w:t xml:space="preserve">PNRR și programelor naționale, precum Programul Național de Investiții „Anghel Saligny”. </w:t>
      </w:r>
    </w:p>
    <w:p w14:paraId="4C960302" w14:textId="77777777" w:rsidR="008B1BFC" w:rsidRDefault="008B1BFC" w:rsidP="002508D3">
      <w:pPr>
        <w:spacing w:before="0"/>
        <w:rPr>
          <w:rFonts w:eastAsia="Times New Roman" w:cs="Times New Roman"/>
          <w:b/>
          <w:i/>
        </w:rPr>
      </w:pPr>
      <w:r>
        <w:rPr>
          <w:rFonts w:eastAsia="Times New Roman" w:cs="Times New Roman"/>
          <w:b/>
          <w:i/>
        </w:rPr>
        <w:t>M4.3 Dezvoltarea unui program pentru studierea principalelor surse, căi de transport și impactului contaminanților emergenți asupra faunei și omului, precum și dezvoltarea unui program de monitorizare a acestora</w:t>
      </w:r>
    </w:p>
    <w:p w14:paraId="31FE4B47" w14:textId="77777777" w:rsidR="008B1BFC" w:rsidRDefault="008B1BFC" w:rsidP="002508D3">
      <w:pPr>
        <w:spacing w:before="0"/>
        <w:ind w:firstLine="540"/>
        <w:rPr>
          <w:rFonts w:eastAsia="Times New Roman" w:cs="Times New Roman"/>
        </w:rPr>
      </w:pPr>
      <w:r>
        <w:rPr>
          <w:rFonts w:eastAsia="Times New Roman" w:cs="Times New Roman"/>
        </w:rPr>
        <w:t xml:space="preserve">Studierea contaminanților emergenți (surse, căi de transport, efecte, etc.) se află într-o fază incipientă în România, deși în ultimii ani tot mai multe organizații de cercetare și universități au abordat această temă. Această măsură / acțiune, deși vizează strict cercetarea, </w:t>
      </w:r>
      <w:r>
        <w:rPr>
          <w:rFonts w:eastAsia="Times New Roman" w:cs="Times New Roman"/>
        </w:rPr>
        <w:lastRenderedPageBreak/>
        <w:t>poate contribui la dezvoltarea durabilă a zonei costiere, deoarece odată cu creșterea gradului de cunoaștere a efectelor negative ale contaminanților emergenți asupra stării și funcționării ecosistemelor acvatice, a serviciilor oferite de acestea și, nu în ultimul rând, asupra sănătății omului se creează cadrul necesar pentru elaborarea măsurilor de prevenire, limitare/stopare a poluării generate de aceste clase de compuși chimici.</w:t>
      </w:r>
    </w:p>
    <w:p w14:paraId="039ABDAF" w14:textId="77777777" w:rsidR="008B1BFC" w:rsidRDefault="008B1BFC" w:rsidP="002508D3">
      <w:pPr>
        <w:spacing w:before="0"/>
        <w:ind w:firstLine="540"/>
        <w:rPr>
          <w:rFonts w:eastAsia="Times New Roman" w:cs="Times New Roman"/>
        </w:rPr>
      </w:pPr>
      <w:r>
        <w:rPr>
          <w:rFonts w:eastAsia="Times New Roman" w:cs="Times New Roman"/>
        </w:rPr>
        <w:t>Implementarea acestei măsuri poate contribui și la atingerea obiectivelor Directivei Cadru privind Strategia pentru Mediul Marin (Descriptorii 8 - Contaminanți și 9 - Contaminanți în fructe de mare), precum și ale Planului național de management actualizat (2021) aferent porțiunii naționale a bazinului hidrografic internațional al fluviului Dunărea și Planului de management actualizat al fluviului Dunărea, Deltei Dunării, spațiului hidrografic Dobrogea și apelor costiere. De asemenea această acțiune răspunde obiectivelor Strategiei Naționale de Cercetare, Inovare și Specializare Inteligentă (SNCISI) 2022-2027, obiectivelor Misiunii Starfish 2030 (Regenerarea Oceanelor și Mărilor noastre), respectiv protecția și refacere biodiversității și prevenirea și eliminarea poluării, precum și celor ale Strategiei Naționale și Planului de Acțiune pentru conservarea biodiversității 2014-2020 (SNPACB 2014-2020) (în curs de actualizare).</w:t>
      </w:r>
    </w:p>
    <w:p w14:paraId="23D737AC" w14:textId="70E9718B" w:rsidR="008B1BFC" w:rsidRPr="00D96C25" w:rsidRDefault="008B1BFC" w:rsidP="00D96C25">
      <w:pPr>
        <w:spacing w:before="0"/>
        <w:ind w:firstLine="540"/>
        <w:rPr>
          <w:rFonts w:eastAsia="Times New Roman" w:cs="Times New Roman"/>
        </w:rPr>
      </w:pPr>
      <w:r>
        <w:rPr>
          <w:rFonts w:eastAsia="Times New Roman" w:cs="Times New Roman"/>
        </w:rPr>
        <w:t>Principala instituție responsabilă pentru implementarea acestei măsuri este MCID (prin institutele de cercetare-dezvoltare din subordine), dar o contribuție semnificativă o vor avea și Academia Română (prin institutele sale de cercetare), ME (prin departamentele de cercetare din cadrul universităților) și MMAP (prin ANAR și ABADL). Finanțarea implementării acestei măsuri va fi asigurată prin accesarea fondurilor programului Planul Național de Cercetare Dezvoltare și Inovare 2022-2027 (PNCDI IV), precum și a programelor europene PNRR și Horizon Europe.</w:t>
      </w:r>
      <w:r>
        <w:rPr>
          <w:rFonts w:eastAsia="Times New Roman" w:cs="Times New Roman"/>
          <w:color w:val="000000"/>
        </w:rPr>
        <w:t xml:space="preserve"> </w:t>
      </w:r>
    </w:p>
    <w:p w14:paraId="127F963B" w14:textId="4AB480F2" w:rsidR="008B1BFC" w:rsidRDefault="008B1BFC" w:rsidP="002508D3">
      <w:pPr>
        <w:spacing w:before="0"/>
        <w:rPr>
          <w:rFonts w:eastAsia="Times New Roman" w:cs="Times New Roman"/>
          <w:b/>
          <w:i/>
        </w:rPr>
      </w:pPr>
      <w:r>
        <w:rPr>
          <w:rFonts w:eastAsia="Times New Roman" w:cs="Times New Roman"/>
          <w:b/>
          <w:i/>
        </w:rPr>
        <w:t>M4.</w:t>
      </w:r>
      <w:r w:rsidR="00D96C25">
        <w:rPr>
          <w:rFonts w:eastAsia="Times New Roman" w:cs="Times New Roman"/>
          <w:b/>
          <w:i/>
        </w:rPr>
        <w:t>4</w:t>
      </w:r>
      <w:r>
        <w:rPr>
          <w:b/>
          <w:i/>
        </w:rPr>
        <w:t xml:space="preserve"> </w:t>
      </w:r>
      <w:r>
        <w:rPr>
          <w:rFonts w:eastAsia="Times New Roman" w:cs="Times New Roman"/>
          <w:b/>
          <w:i/>
        </w:rPr>
        <w:t xml:space="preserve">Inițierea și implementarea de programe pentru îmbunătățirea infrastructurii de gestionare a deșeurilor </w:t>
      </w:r>
    </w:p>
    <w:p w14:paraId="43B3199E" w14:textId="34AC2056" w:rsidR="008B1BFC" w:rsidRDefault="008B1BFC" w:rsidP="002508D3">
      <w:pPr>
        <w:spacing w:before="0"/>
        <w:ind w:firstLine="567"/>
        <w:rPr>
          <w:rFonts w:eastAsia="Times New Roman" w:cs="Times New Roman"/>
        </w:rPr>
      </w:pPr>
      <w:r>
        <w:rPr>
          <w:rFonts w:eastAsia="Times New Roman" w:cs="Times New Roman"/>
        </w:rPr>
        <w:t xml:space="preserve">În ciuda existenței a numeroase reglementări legislative (Ordonanța de Urgență nr. 92 din 19 august 2021 privind regimul deșeurilor aprobată cu modificări prin Legea 17/2023, Legea 181/2020 privind gestionarea deșeurilor nepericuloase compostabile, H.G. nr. 1061/2008 privind transportul deseurilor periculoase si nepericuloase pe teritoriul României, Ordonanța nr. 2 </w:t>
      </w:r>
      <w:r w:rsidR="002036BB">
        <w:rPr>
          <w:rFonts w:eastAsia="Times New Roman" w:cs="Times New Roman"/>
        </w:rPr>
        <w:t>/</w:t>
      </w:r>
      <w:r>
        <w:rPr>
          <w:rFonts w:eastAsia="Times New Roman" w:cs="Times New Roman"/>
        </w:rPr>
        <w:t>2021 privind depozitarea deșeurilor, etc.), strategii și planuri de management a deșeurilor la nivel național (HG 870/2013 - Strategia Națională privind Gestionarea Deșeurilor, HG 942/2017 - Planul Național privind gestionarea deșeurilor) și local (Planurile județene de gestionare a deșeurilor - Constanța și Tulcea), problema introducerii deșeurilor în mediu încă persistă în zona costieră.</w:t>
      </w:r>
    </w:p>
    <w:p w14:paraId="48EAA77A" w14:textId="77777777" w:rsidR="008B1BFC" w:rsidRDefault="008B1BFC" w:rsidP="002508D3">
      <w:pPr>
        <w:spacing w:before="0"/>
        <w:ind w:firstLine="567"/>
        <w:rPr>
          <w:rFonts w:eastAsia="Times New Roman" w:cs="Times New Roman"/>
        </w:rPr>
      </w:pPr>
      <w:r>
        <w:rPr>
          <w:rFonts w:eastAsia="Times New Roman" w:cs="Times New Roman"/>
        </w:rPr>
        <w:t>Implementarea acestei măsuri este în concordanță cu acțiunile și obiectivele Planului Național de Gestionare a Deșeurilor și, în mod specific, cu cele ale Planurilor Județene de Gestionare a Deșeurilor (Constanța și Tulcea), vizând îmbunătățirea infrastructurii de colectare, depozitare și tratare a deșeurilor în zona costieră.</w:t>
      </w:r>
    </w:p>
    <w:p w14:paraId="6D27CE6E" w14:textId="77777777" w:rsidR="008B1BFC" w:rsidRDefault="008B1BFC" w:rsidP="002508D3">
      <w:pPr>
        <w:spacing w:before="0"/>
        <w:ind w:firstLine="567"/>
        <w:rPr>
          <w:rFonts w:eastAsia="Times New Roman" w:cs="Times New Roman"/>
        </w:rPr>
      </w:pPr>
      <w:r>
        <w:rPr>
          <w:rFonts w:eastAsia="Times New Roman" w:cs="Times New Roman"/>
        </w:rPr>
        <w:t xml:space="preserve">Instituția responsabilă pentru implementarea acestei măsuri este MMAP, dar este de așteptat ca și autoritățile locale și organizațiile de cercetare-inovare (institute naționale de cercetare-dezvoltare și departamente de cercetare din universități) să-și aducă contribuția. </w:t>
      </w:r>
      <w:r>
        <w:rPr>
          <w:rFonts w:eastAsia="Times New Roman" w:cs="Times New Roman"/>
        </w:rPr>
        <w:lastRenderedPageBreak/>
        <w:t>Finanțarea implementării acestei măsuri se poate asigura fie prin accesarea programelor europene, precum PNRR și Programul de Dezvoltare Durabilă, cât și din bugetul propriu al MMAP și bugetele locale.</w:t>
      </w:r>
    </w:p>
    <w:p w14:paraId="2B274D5F" w14:textId="2E3A814C" w:rsidR="008B1BFC" w:rsidRDefault="008B1BFC" w:rsidP="002508D3">
      <w:pPr>
        <w:spacing w:before="0"/>
        <w:rPr>
          <w:rFonts w:eastAsia="Times New Roman" w:cs="Times New Roman"/>
          <w:b/>
          <w:i/>
        </w:rPr>
      </w:pPr>
      <w:r>
        <w:rPr>
          <w:rFonts w:eastAsia="Times New Roman" w:cs="Times New Roman"/>
          <w:b/>
          <w:i/>
        </w:rPr>
        <w:t>M4.</w:t>
      </w:r>
      <w:r w:rsidR="00D96C25">
        <w:rPr>
          <w:rFonts w:eastAsia="Times New Roman" w:cs="Times New Roman"/>
          <w:b/>
          <w:i/>
        </w:rPr>
        <w:t>5</w:t>
      </w:r>
      <w:r>
        <w:rPr>
          <w:rFonts w:eastAsia="Times New Roman" w:cs="Times New Roman"/>
          <w:b/>
          <w:i/>
        </w:rPr>
        <w:t xml:space="preserve"> Dezvoltarea infrastructurii verzi în zona carierelor active de calcare și șisturi verzi (zona Tașaul-Luminița)</w:t>
      </w:r>
    </w:p>
    <w:p w14:paraId="1DCFEF49" w14:textId="77777777" w:rsidR="008B1BFC" w:rsidRDefault="008B1BFC" w:rsidP="002508D3">
      <w:pPr>
        <w:spacing w:before="0"/>
        <w:ind w:firstLine="567"/>
        <w:rPr>
          <w:rFonts w:eastAsia="Times New Roman" w:cs="Times New Roman"/>
        </w:rPr>
      </w:pPr>
      <w:r>
        <w:rPr>
          <w:rFonts w:eastAsia="Times New Roman" w:cs="Times New Roman"/>
        </w:rPr>
        <w:t>În zona Tașaul-Luminița sunt active în prezent două licențe de concesiune pentru exploatarea calcarului industrial și de construcții și un permis de exploatare a acestuia. Exploatarea calcarelor și șisturilor verzi este o activitate cu un puternic impact negativ atât asupra biodiversității, peisajului, calității aerului, apelor de suprafață (lacurile Tașaul și Corbu), solului, cât și asupra sănătății umane. Măsurile luate de către operatorii economici în vederea minimizării impactului negativ nu sunt suficiente, astfel încât se impune implementarea acestei măsuri în vederea reducerii poluării atmosferice și, indirect, a apelor de suprafață și solului, precum și a creșterii gradului de protecție a biodiversității ținând cont de faptul că această activitate se desfășoară în situl Natura 2000 ROSPA 0060 Lacurile Tașaul – Corbu.</w:t>
      </w:r>
    </w:p>
    <w:p w14:paraId="4D1B78B8" w14:textId="5AA5D56A" w:rsidR="008B1BFC" w:rsidRDefault="008B1BFC" w:rsidP="002508D3">
      <w:pPr>
        <w:spacing w:before="0"/>
        <w:ind w:firstLine="567"/>
        <w:rPr>
          <w:rFonts w:eastAsia="Times New Roman" w:cs="Times New Roman"/>
        </w:rPr>
      </w:pPr>
      <w:r>
        <w:rPr>
          <w:rFonts w:eastAsia="Times New Roman" w:cs="Times New Roman"/>
        </w:rPr>
        <w:t>Principala instituție responsabilă pentru implementarea acestei măsuri este MMAP, dar este de așteptat ca și MT și organizațiile de cercetare-inovare (institute naționale de cercetare-dezvoltare și departamente de cercetare din universități) să-și aducă contribuția. Finanțarea implementării acestei măsuri se poate asigura fie prin accesarea PNCDI IV, Programului Regional Sud-Est, Programului de Dezvoltare Durabilă, Programului InvestEU și LIFE.</w:t>
      </w:r>
    </w:p>
    <w:p w14:paraId="31F30356" w14:textId="77777777" w:rsidR="008B1BFC" w:rsidRDefault="008B1BFC" w:rsidP="002508D3">
      <w:pPr>
        <w:spacing w:before="0"/>
        <w:rPr>
          <w:rFonts w:eastAsia="Times New Roman" w:cs="Times New Roman"/>
          <w:b/>
        </w:rPr>
      </w:pPr>
    </w:p>
    <w:p w14:paraId="52D3C193" w14:textId="77777777" w:rsidR="008B1BFC" w:rsidRDefault="008B1BFC" w:rsidP="002508D3">
      <w:pPr>
        <w:spacing w:before="0"/>
        <w:rPr>
          <w:rFonts w:eastAsia="Times New Roman" w:cs="Times New Roman"/>
          <w:b/>
        </w:rPr>
      </w:pPr>
      <w:r>
        <w:rPr>
          <w:rFonts w:eastAsia="Times New Roman" w:cs="Times New Roman"/>
          <w:b/>
        </w:rPr>
        <w:t>M5. Măsuri pentru remedierea poluării</w:t>
      </w:r>
    </w:p>
    <w:p w14:paraId="20B5FB3F" w14:textId="7ABEF73A" w:rsidR="008B1BFC" w:rsidRDefault="008B1BFC" w:rsidP="002508D3">
      <w:pPr>
        <w:spacing w:before="0"/>
        <w:rPr>
          <w:rFonts w:eastAsia="Times New Roman" w:cs="Times New Roman"/>
          <w:b/>
          <w:i/>
        </w:rPr>
      </w:pPr>
      <w:r>
        <w:rPr>
          <w:rFonts w:eastAsia="Times New Roman" w:cs="Times New Roman"/>
          <w:b/>
          <w:i/>
        </w:rPr>
        <w:t xml:space="preserve">M5.1 </w:t>
      </w:r>
      <w:r w:rsidR="00B02DAD">
        <w:rPr>
          <w:rFonts w:eastAsia="Times New Roman" w:cs="Times New Roman"/>
          <w:b/>
          <w:i/>
        </w:rPr>
        <w:t>Gestionarea</w:t>
      </w:r>
      <w:r>
        <w:rPr>
          <w:rFonts w:eastAsia="Times New Roman" w:cs="Times New Roman"/>
          <w:b/>
          <w:i/>
        </w:rPr>
        <w:t xml:space="preserve"> siturilor contaminate și potențial contaminate din zona costieră </w:t>
      </w:r>
    </w:p>
    <w:p w14:paraId="0074675F" w14:textId="22D193CC" w:rsidR="008B1BFC" w:rsidRDefault="008B1BFC" w:rsidP="002508D3">
      <w:pPr>
        <w:spacing w:before="0"/>
        <w:ind w:firstLine="540"/>
        <w:rPr>
          <w:rFonts w:eastAsia="Times New Roman" w:cs="Times New Roman"/>
        </w:rPr>
      </w:pPr>
      <w:r>
        <w:rPr>
          <w:rFonts w:eastAsia="Times New Roman" w:cs="Times New Roman"/>
        </w:rPr>
        <w:t>Prin implementarea acestei măsuri /acțiuni se va realiza, într-o primă fază, o actualizare a siturilor contaminate și potențial contaminate din zona costieră, ultima actualizare în România datând din 2013. Metodologiile de remediere și monitorizare post remediere ale acestor situri, precum și criteriile de prioritizare sunt clare și sunt prevăzute în legislația în vigoare (Legea nr. 74 din 25 aprilie 2019 privind gestionarea siturilor potențial contaminate și a celor contaminate, Ordinul nr. 267/346/2021 privind aprobarea Metodologiei de remediere a siturilor contaminate), dar prin implementarea acestei acțiuni se urmărește dezvoltarea de tehnologii noi, inovative, sustenabile pentru remedierea situri</w:t>
      </w:r>
      <w:r w:rsidR="00B02DAD">
        <w:rPr>
          <w:rFonts w:eastAsia="Times New Roman" w:cs="Times New Roman"/>
        </w:rPr>
        <w:t>lor contaminate</w:t>
      </w:r>
      <w:r>
        <w:rPr>
          <w:rFonts w:eastAsia="Times New Roman" w:cs="Times New Roman"/>
        </w:rPr>
        <w:t xml:space="preserve">, precum și creșterea capacității de monitorizare post remediere prin folosirea de tehnici noi, moderne și cost-eficiente. </w:t>
      </w:r>
    </w:p>
    <w:p w14:paraId="0CAE65EE" w14:textId="0A6D75B7" w:rsidR="008B1BFC" w:rsidRDefault="008B1BFC" w:rsidP="002508D3">
      <w:pPr>
        <w:spacing w:before="0"/>
        <w:ind w:firstLine="540"/>
        <w:rPr>
          <w:rFonts w:eastAsia="Times New Roman" w:cs="Times New Roman"/>
        </w:rPr>
      </w:pPr>
      <w:r>
        <w:rPr>
          <w:rFonts w:eastAsia="Times New Roman" w:cs="Times New Roman"/>
        </w:rPr>
        <w:t>Implementarea acestei măsuri este responsabilitatea MMAP, cu sprijinul autorităților locale, institutelor de cercetare-dezvoltare (MCID) și universităților (ME). Bugetul necesar implementării măsurii poate fi asigurat atât prin accesarea programelor europene (Programul de Dezvoltare Durabilă, Programul InvestEU) și naționale (PNCDI IV, cât și din fonduri proprii ale MMAP</w:t>
      </w:r>
      <w:r w:rsidR="00B02DAD">
        <w:rPr>
          <w:rFonts w:eastAsia="Times New Roman" w:cs="Times New Roman"/>
        </w:rPr>
        <w:t xml:space="preserve"> și buhgete locale</w:t>
      </w:r>
      <w:r>
        <w:rPr>
          <w:rFonts w:eastAsia="Times New Roman" w:cs="Times New Roman"/>
        </w:rPr>
        <w:t>.</w:t>
      </w:r>
    </w:p>
    <w:p w14:paraId="19891AB4" w14:textId="77777777" w:rsidR="008B1BFC" w:rsidRDefault="008B1BFC" w:rsidP="002508D3">
      <w:pPr>
        <w:pBdr>
          <w:top w:val="nil"/>
          <w:left w:val="nil"/>
          <w:bottom w:val="nil"/>
          <w:right w:val="nil"/>
          <w:between w:val="nil"/>
        </w:pBdr>
        <w:spacing w:before="0" w:line="240" w:lineRule="auto"/>
        <w:rPr>
          <w:rFonts w:eastAsia="Times New Roman" w:cs="Times New Roman"/>
          <w:color w:val="000000"/>
        </w:rPr>
      </w:pPr>
      <w:r>
        <w:rPr>
          <w:rFonts w:eastAsia="Times New Roman" w:cs="Times New Roman"/>
          <w:b/>
          <w:i/>
          <w:color w:val="000000"/>
        </w:rPr>
        <w:t>M5.2 Restaurarea ecologică a lacurilor urbane în scopul valorificării potențialului lor natural și turistic (lacurile Tăbăcărie, Costinești, Belona, Neptun, etc.)</w:t>
      </w:r>
    </w:p>
    <w:p w14:paraId="3BD2360F" w14:textId="77777777" w:rsidR="008B1BFC" w:rsidRDefault="008B1BFC" w:rsidP="002508D3">
      <w:pPr>
        <w:pBdr>
          <w:top w:val="nil"/>
          <w:left w:val="nil"/>
          <w:bottom w:val="nil"/>
          <w:right w:val="nil"/>
          <w:between w:val="nil"/>
        </w:pBdr>
        <w:spacing w:before="0"/>
        <w:rPr>
          <w:rFonts w:eastAsia="Times New Roman" w:cs="Times New Roman"/>
          <w:color w:val="000000"/>
        </w:rPr>
      </w:pPr>
      <w:r>
        <w:rPr>
          <w:rFonts w:eastAsia="Times New Roman" w:cs="Times New Roman"/>
          <w:color w:val="000000"/>
        </w:rPr>
        <w:lastRenderedPageBreak/>
        <w:t>Lacurile urbane din zona costieră sunt ecosisteme supuse unor presiuni antropice semnificative și continue. Restaurare lor ecologică a fost în permanență un subiect fierbinte de dezbatere, în special în rândul societății civile. Totuși, de-a lungul timpul, autoritățile locale și cele centrale competente au fost relativ indiferente, măsurile și acțiunile vizând restaurarea acestor lacuri au fost destul de sporadice, de cele mai multe ori limitându-se doar la campanii de ecologizare. </w:t>
      </w:r>
    </w:p>
    <w:p w14:paraId="0A70A44C" w14:textId="77777777" w:rsidR="008B1BFC" w:rsidRDefault="008B1BFC" w:rsidP="002508D3">
      <w:pPr>
        <w:pBdr>
          <w:top w:val="nil"/>
          <w:left w:val="nil"/>
          <w:bottom w:val="nil"/>
          <w:right w:val="nil"/>
          <w:between w:val="nil"/>
        </w:pBdr>
        <w:spacing w:before="0"/>
        <w:rPr>
          <w:rFonts w:eastAsia="Times New Roman" w:cs="Times New Roman"/>
          <w:color w:val="000000"/>
        </w:rPr>
      </w:pPr>
      <w:r>
        <w:rPr>
          <w:rFonts w:eastAsia="Times New Roman" w:cs="Times New Roman"/>
          <w:color w:val="000000"/>
        </w:rPr>
        <w:t>Acțiunea propusă este în concordanță cu obiectivele Strategiei naționale de dezvoltare urbană integrată pentru orașe reziliente, verzi, incluzive și competitive 2022—2035 — Politica urbană a României, precum și cu cele ale Strategia Națională pentru Dezvoltarea Durabilă a României 2030 (SNDDR). </w:t>
      </w:r>
    </w:p>
    <w:p w14:paraId="1E5BB44E" w14:textId="77777777" w:rsidR="008B1BFC" w:rsidRDefault="008B1BFC" w:rsidP="002508D3">
      <w:pPr>
        <w:pBdr>
          <w:top w:val="nil"/>
          <w:left w:val="nil"/>
          <w:bottom w:val="nil"/>
          <w:right w:val="nil"/>
          <w:between w:val="nil"/>
        </w:pBdr>
        <w:spacing w:before="0"/>
        <w:rPr>
          <w:rFonts w:eastAsia="Times New Roman" w:cs="Times New Roman"/>
          <w:color w:val="000000"/>
        </w:rPr>
      </w:pPr>
      <w:r>
        <w:rPr>
          <w:rFonts w:eastAsia="Times New Roman" w:cs="Times New Roman"/>
          <w:color w:val="000000"/>
        </w:rPr>
        <w:t xml:space="preserve">Instituțiile responsabile pentru implementarea acestei măsuri sunt MDAR (ANPA), autoritățile locale, MCID (institute naționale de cercetare-dezvoltare) și ME (universități). Finanțarea implementării acestei măsuri va fi asigurată, în principal, prin accesarea programelor europene (PNRR, Programul de Dezvoltare Durabilă, Programul InvestEU, LIFE, etc și naționale (PNCDI IV), dar și prin parteneriate public-privat, fonduri proprii MADR (ANPA) și bugetele locale. </w:t>
      </w:r>
    </w:p>
    <w:p w14:paraId="3F20CCC2" w14:textId="77777777" w:rsidR="008B1BFC" w:rsidRDefault="008B1BFC" w:rsidP="002508D3">
      <w:pPr>
        <w:spacing w:before="0"/>
        <w:rPr>
          <w:rFonts w:eastAsia="Times New Roman" w:cs="Times New Roman"/>
          <w:b/>
          <w:i/>
        </w:rPr>
      </w:pPr>
      <w:r>
        <w:rPr>
          <w:rFonts w:eastAsia="Times New Roman" w:cs="Times New Roman"/>
          <w:b/>
          <w:i/>
        </w:rPr>
        <w:t xml:space="preserve">M5.3 Inițierea și implementarea programelor pentru îndepărtarea deșeurilor marine, din coloana de apă și de pe fundul mării </w:t>
      </w:r>
    </w:p>
    <w:p w14:paraId="685BFFB2" w14:textId="1BD81C22" w:rsidR="008B1BFC" w:rsidRDefault="008B1BFC" w:rsidP="002508D3">
      <w:pPr>
        <w:spacing w:before="0"/>
        <w:ind w:firstLine="567"/>
        <w:rPr>
          <w:rFonts w:eastAsia="Times New Roman" w:cs="Times New Roman"/>
        </w:rPr>
      </w:pPr>
      <w:r>
        <w:rPr>
          <w:rFonts w:eastAsia="Times New Roman" w:cs="Times New Roman"/>
        </w:rPr>
        <w:t>Această măsură este asociată cu respectarea cerințelor Directivei Cadru privind Strategia pentru Mediul Marin, implementarea ei eficientă conducând la atingerea, nu doar a obiectivelor prezentului plan, ci și a Directivei Cadru privind Strategia pentru Mediul Marin (referitoare la Descriptorul 10 – Deșeuri marine). Implementarea măsurii este în concordanță cu Planul de măsuri pentru atingerea stării ecologice bune a Mediului Marin</w:t>
      </w:r>
      <w:r w:rsidR="007E381E">
        <w:rPr>
          <w:rFonts w:eastAsia="Times New Roman" w:cs="Times New Roman"/>
        </w:rPr>
        <w:t>.</w:t>
      </w:r>
    </w:p>
    <w:p w14:paraId="2C6D4BF9" w14:textId="77777777" w:rsidR="008B1BFC" w:rsidRDefault="008B1BFC" w:rsidP="002508D3">
      <w:pPr>
        <w:spacing w:before="0"/>
        <w:ind w:firstLine="567"/>
        <w:rPr>
          <w:rFonts w:eastAsia="Times New Roman" w:cs="Times New Roman"/>
        </w:rPr>
      </w:pPr>
      <w:r>
        <w:rPr>
          <w:rFonts w:eastAsia="Times New Roman" w:cs="Times New Roman"/>
        </w:rPr>
        <w:t>Instituțiile responsabile pentru implementarea acestei măsuri sunt MMAP, MADR (prin ANPA), MCID (INCDM Grigore Antipa și INCDDD) și organizațiile profesionale de pescari. Finanțarea implementării acestei măsuri poate fi asigurată, în principal, prin accesarea fondurilor Programului de Pescuit și Acvacultură 2021-2027, dar și a PNCDI IV, precum și din bugetele proprii ale MMAP și MADR (ANPA).</w:t>
      </w:r>
    </w:p>
    <w:p w14:paraId="7808500B" w14:textId="77777777" w:rsidR="008B1BFC" w:rsidRDefault="008B1BFC" w:rsidP="002508D3">
      <w:pPr>
        <w:spacing w:before="0"/>
        <w:rPr>
          <w:rFonts w:eastAsia="Times New Roman" w:cs="Times New Roman"/>
          <w:b/>
          <w:i/>
        </w:rPr>
      </w:pPr>
    </w:p>
    <w:p w14:paraId="71F3A5DC" w14:textId="77777777" w:rsidR="008B1BFC" w:rsidRDefault="008B1BFC" w:rsidP="002508D3">
      <w:pPr>
        <w:spacing w:before="0"/>
        <w:rPr>
          <w:rFonts w:eastAsia="Times New Roman" w:cs="Times New Roman"/>
          <w:b/>
        </w:rPr>
      </w:pPr>
      <w:r>
        <w:rPr>
          <w:rFonts w:eastAsia="Times New Roman" w:cs="Times New Roman"/>
          <w:b/>
        </w:rPr>
        <w:t>M6. Măsuri pentru gestionarea hazardelor naturale și antropice</w:t>
      </w:r>
    </w:p>
    <w:p w14:paraId="2B2EF078" w14:textId="77777777" w:rsidR="008B1BFC" w:rsidRDefault="008B1BFC" w:rsidP="002508D3">
      <w:pPr>
        <w:spacing w:before="0"/>
        <w:ind w:firstLine="540"/>
        <w:rPr>
          <w:rFonts w:eastAsia="Times New Roman" w:cs="Times New Roman"/>
          <w:b/>
          <w:i/>
        </w:rPr>
      </w:pPr>
      <w:r>
        <w:rPr>
          <w:rFonts w:eastAsia="Times New Roman" w:cs="Times New Roman"/>
        </w:rPr>
        <w:t>Această categorie de măsuri are în vedere pe de o parte îmbunătățirea sistemelor de monitorizare a efectelor hazardelor naturale și, pe de altă parte, creșterea capacității de evaluarea a vulnerabilității zonei costiere la fenomenele extreme și a potențialelor riscuri induse de către acestea, în scopul întăririi măsurilor de prevenire, atenuare, adaptare și remediere.</w:t>
      </w:r>
    </w:p>
    <w:p w14:paraId="42CBF5B3" w14:textId="77777777" w:rsidR="008B1BFC" w:rsidRDefault="008B1BFC" w:rsidP="002508D3">
      <w:pPr>
        <w:spacing w:before="0"/>
        <w:rPr>
          <w:rFonts w:eastAsia="Times New Roman" w:cs="Times New Roman"/>
          <w:b/>
          <w:i/>
        </w:rPr>
      </w:pPr>
      <w:r>
        <w:rPr>
          <w:rFonts w:eastAsia="Times New Roman" w:cs="Times New Roman"/>
          <w:b/>
          <w:i/>
        </w:rPr>
        <w:t>M6.1 Aplicarea de soluții moderne, simple și cost-eficiente pentru monitorizarea efectelor eroziunii costiere</w:t>
      </w:r>
    </w:p>
    <w:p w14:paraId="259DA028" w14:textId="77777777" w:rsidR="008B1BFC" w:rsidRDefault="008B1BFC" w:rsidP="002508D3">
      <w:pPr>
        <w:spacing w:before="0"/>
        <w:ind w:firstLine="540"/>
        <w:rPr>
          <w:rFonts w:eastAsia="Times New Roman" w:cs="Times New Roman"/>
        </w:rPr>
      </w:pPr>
      <w:r>
        <w:rPr>
          <w:rFonts w:eastAsia="Times New Roman" w:cs="Times New Roman"/>
        </w:rPr>
        <w:t xml:space="preserve">Eroziunea costieră este rezultatul interacțiunii dintre diferiți factori naturali variabili (creșterea nivelului mării, impactul valurilor și a curenților marini sub influența schimbărilor climatice) și intervențiile antropice. Cum schimbările climatice pot modifica frecvența și </w:t>
      </w:r>
      <w:r>
        <w:rPr>
          <w:rFonts w:eastAsia="Times New Roman" w:cs="Times New Roman"/>
        </w:rPr>
        <w:lastRenderedPageBreak/>
        <w:t>magnitudinea evenimentelor extreme (furtuni costiere), precum și accelerarea creșterii nivelului mării, ne putem aștepta în viitor la dezechilibre majore în ceea ce privește eroziunea costieră. Apariția și extinderea sectoarelor de eroziune costieră înseamnă o reziliență mai scăzută în fața unor fenomene precum inundațiile cauzate de furtuni, de creșterea nivelului mării sau de efectul combinat al acestora. Totodată, se pot pierde ecosisteme importante din punct de vedere al biodiversității și putem avea efecte majore asupra turismului, infrastructurii de transport sau zonelor locuite. Astfel, este necesară dezvoltarea unor instrumente complexe, gratuite, ușor de utilizat și disponibile oricui de monitorizare continuă și automată a dinamicii liniei țărmului care să permită decizii informate și bazate pe date în cazul unor intervenții legate de combaterea eroziunii costiere și nu numai.</w:t>
      </w:r>
    </w:p>
    <w:p w14:paraId="2B15E6FD" w14:textId="7077D2A6" w:rsidR="008B1BFC" w:rsidRDefault="008B1BFC" w:rsidP="002508D3">
      <w:pPr>
        <w:spacing w:before="0"/>
        <w:ind w:firstLine="540"/>
        <w:rPr>
          <w:rFonts w:eastAsia="Times New Roman" w:cs="Times New Roman"/>
        </w:rPr>
      </w:pPr>
      <w:r>
        <w:rPr>
          <w:rFonts w:eastAsia="Times New Roman" w:cs="Times New Roman"/>
        </w:rPr>
        <w:t>Instituțiile responsabile pentru implementarea acestei măsuri sunt MMAP, MCID (INCD GeoEcoMar, INCDM Grigore Antipa) și ME (UB și UOC). Bugetul pentru realizarea acestor măsuri poate fi asigurat prin accesarea programelor europene, precum PNRR și Programul Horizon Europe și programelor naționale, precum Planul Național de Cercetare Dezvoltare și Inovare 2022-2027 (PNCDI IV).</w:t>
      </w:r>
    </w:p>
    <w:p w14:paraId="024B4431" w14:textId="77777777" w:rsidR="008B1BFC" w:rsidRDefault="008B1BFC" w:rsidP="002508D3">
      <w:pPr>
        <w:spacing w:before="0"/>
        <w:rPr>
          <w:rFonts w:eastAsia="Times New Roman" w:cs="Times New Roman"/>
          <w:b/>
          <w:i/>
        </w:rPr>
      </w:pPr>
      <w:r>
        <w:rPr>
          <w:rFonts w:eastAsia="Times New Roman" w:cs="Times New Roman"/>
          <w:b/>
          <w:i/>
        </w:rPr>
        <w:t>M6.2 Îmbunătățirea managementului sedimentelor în Delta Dunării și pe țărmul românesc al Mării Negre</w:t>
      </w:r>
    </w:p>
    <w:p w14:paraId="1C83BBD5" w14:textId="77777777" w:rsidR="008B1BFC" w:rsidRDefault="008B1BFC" w:rsidP="002508D3">
      <w:pPr>
        <w:spacing w:before="0"/>
        <w:ind w:firstLine="540"/>
        <w:rPr>
          <w:rFonts w:eastAsia="Times New Roman" w:cs="Times New Roman"/>
        </w:rPr>
      </w:pPr>
      <w:r>
        <w:rPr>
          <w:rFonts w:eastAsia="Times New Roman" w:cs="Times New Roman"/>
        </w:rPr>
        <w:t xml:space="preserve">Disponibilitatea sedimentelor în toată zona costieră românească este din ce în ce mai redusă în ultimele decenii, pe fondul intervențiile umane în cadrul bazinului Dunării și pe litoralul românesc. Existența unui flux stabil de sedimente este necesară păstrării unui echilibru al țărmului, inclusiv al dimensiunii plajelor. Ceea ce nu mai are loc acum în mod natural, sau se întâmplă insuficient, și anume </w:t>
      </w:r>
      <w:sdt>
        <w:sdtPr>
          <w:tag w:val="goog_rdk_54"/>
          <w:id w:val="-1959094490"/>
        </w:sdtPr>
        <w:sdtContent>
          <w:r>
            <w:rPr>
              <w:rFonts w:eastAsia="Times New Roman" w:cs="Times New Roman"/>
            </w:rPr>
            <w:t>înnisiparea</w:t>
          </w:r>
        </w:sdtContent>
      </w:sdt>
      <w:r>
        <w:rPr>
          <w:rFonts w:eastAsia="Times New Roman" w:cs="Times New Roman"/>
        </w:rPr>
        <w:t xml:space="preserve"> plajelor, necesită intervenția umană. În acest context, este necesară dezvoltarea unor instrumente de monitorizare și a unor mecanisme de management al sedimentelor atât în interiorul Deltei Dunării, cât și pe întreg țărmul românesc al Mării Negre.</w:t>
      </w:r>
    </w:p>
    <w:p w14:paraId="04C99E6C" w14:textId="3FD914A1" w:rsidR="008B1BFC" w:rsidRDefault="008B1BFC" w:rsidP="002508D3">
      <w:pPr>
        <w:spacing w:before="0"/>
        <w:ind w:firstLine="540"/>
        <w:rPr>
          <w:rFonts w:eastAsia="Times New Roman" w:cs="Times New Roman"/>
        </w:rPr>
      </w:pPr>
      <w:r>
        <w:rPr>
          <w:rFonts w:eastAsia="Times New Roman" w:cs="Times New Roman"/>
        </w:rPr>
        <w:t>Instituțiile responsabile pentru implementarea acestei măsuri sunt MMAP (prin ARBDD, ABADL), MCID (INCD GeoEcoMar, INCDM Grigore Antipa, INCDDD) și ME (UB). Bugetul pentru realizarea acestor măsuri poate fi asigurat prin accesarea programelor europene, precum PNRR și Programul Horizon Europe și programelor naționale, precum Planul Național de Cercetare Dezvoltare și Inovare 2022-2027 (PNCDI IV).</w:t>
      </w:r>
    </w:p>
    <w:p w14:paraId="45CF36A7" w14:textId="77777777" w:rsidR="008B1BFC" w:rsidRDefault="008B1BFC" w:rsidP="002508D3">
      <w:pPr>
        <w:spacing w:before="0"/>
        <w:rPr>
          <w:rFonts w:eastAsia="Times New Roman" w:cs="Times New Roman"/>
          <w:b/>
          <w:i/>
        </w:rPr>
      </w:pPr>
      <w:r>
        <w:rPr>
          <w:rFonts w:eastAsia="Times New Roman" w:cs="Times New Roman"/>
          <w:b/>
          <w:i/>
        </w:rPr>
        <w:t>M6.3 Realizarea unei evaluări detaliate a vulnerabilității zonei de coastă la furtuni extreme, identificarea și analizarea riscurilor potențiale și stabilirea de măsuri prioritare de prevenire, atenuare, adaptare și remediere</w:t>
      </w:r>
    </w:p>
    <w:p w14:paraId="39707EF5" w14:textId="77777777" w:rsidR="008B1BFC" w:rsidRDefault="008B1BFC" w:rsidP="002508D3">
      <w:pPr>
        <w:spacing w:before="0"/>
        <w:ind w:firstLine="567"/>
        <w:rPr>
          <w:rFonts w:eastAsia="Times New Roman" w:cs="Times New Roman"/>
        </w:rPr>
      </w:pPr>
      <w:r>
        <w:rPr>
          <w:rFonts w:eastAsia="Times New Roman" w:cs="Times New Roman"/>
        </w:rPr>
        <w:t>Instituțiile responsabile pentru implementarea acestei măsuri sunt MMAP (prin ANM, ABADL), MCID (INCD-uri), ME (departamente de cercetare din universități), MAI (IGSU) și autoritățile locale. Bugetul pentru realizarea acestor măsuri va fi asigurat die din fonduri proprii ale MMAP și bugete locale, fie prin accesarea programelor europene, precum Programul Regional Sud-Est, LIFE, InvestEU și Programul Horizon Europe și programelor naționale, precum Planul Național de Cercetare Dezvoltare și Inovare 2022-2027 (PNCDI IV).</w:t>
      </w:r>
    </w:p>
    <w:p w14:paraId="2BC35220" w14:textId="77777777" w:rsidR="008B1BFC" w:rsidRDefault="008B1BFC" w:rsidP="002508D3">
      <w:pPr>
        <w:spacing w:before="0"/>
        <w:rPr>
          <w:rFonts w:eastAsia="Times New Roman" w:cs="Times New Roman"/>
          <w:b/>
          <w:i/>
        </w:rPr>
      </w:pPr>
      <w:r>
        <w:rPr>
          <w:rFonts w:eastAsia="Times New Roman" w:cs="Times New Roman"/>
          <w:b/>
          <w:i/>
        </w:rPr>
        <w:lastRenderedPageBreak/>
        <w:t>M6.4 Realizarea unei evaluări detaliate a vulnerabilității zonei de coastă la secetă și incendii, identificarea și analizarea riscurilor potențiale și stabilirea de măsuri prioritare de prevenire, atenuare, adaptare și remediere</w:t>
      </w:r>
    </w:p>
    <w:p w14:paraId="7F325649" w14:textId="6CD35BB4" w:rsidR="008B1BFC" w:rsidRDefault="008B1BFC" w:rsidP="002508D3">
      <w:pPr>
        <w:spacing w:before="0"/>
        <w:ind w:firstLine="567"/>
        <w:rPr>
          <w:rFonts w:eastAsia="Times New Roman" w:cs="Times New Roman"/>
        </w:rPr>
      </w:pPr>
      <w:r>
        <w:rPr>
          <w:rFonts w:eastAsia="Times New Roman" w:cs="Times New Roman"/>
        </w:rPr>
        <w:t>Instituțiile responsabile pentru implementarea acestei măsuri sunt MMAP (prin ANM), MADR, MCID (INCD-uri)</w:t>
      </w:r>
      <w:r w:rsidR="00AE17D9">
        <w:rPr>
          <w:rFonts w:eastAsia="Times New Roman" w:cs="Times New Roman"/>
        </w:rPr>
        <w:t xml:space="preserve"> </w:t>
      </w:r>
      <w:r w:rsidR="00AE17D9">
        <w:rPr>
          <w:rFonts w:eastAsia="Times New Roman" w:cs="Times New Roman"/>
          <w:lang w:val="ro-RO"/>
        </w:rPr>
        <w:t>și</w:t>
      </w:r>
      <w:r>
        <w:rPr>
          <w:rFonts w:eastAsia="Times New Roman" w:cs="Times New Roman"/>
        </w:rPr>
        <w:t xml:space="preserve"> ME (departamente de cercetare din universități). Bugetul pentru realizarea acestor măsuri va fi asigurat die din fonduri proprii ale MMAP și MADR, fie prin accesarea programelor europene, precum Programul Regional Sud-Est, Programul (Interreg VI-B) NEXT Bazinul Mării Negre, PAC; LIFE, PNRR și Programul de Dezvoltare Durabilă și programelor naționale, precum Planul Național de Cercetare Dezvoltare și Inovare 2022-2027 (PNCDI IV).</w:t>
      </w:r>
    </w:p>
    <w:p w14:paraId="4925255B" w14:textId="77777777" w:rsidR="008B1BFC" w:rsidRDefault="008B1BFC" w:rsidP="002508D3">
      <w:pPr>
        <w:spacing w:before="0"/>
        <w:rPr>
          <w:rFonts w:eastAsia="Times New Roman" w:cs="Times New Roman"/>
          <w:b/>
          <w:i/>
        </w:rPr>
      </w:pPr>
      <w:r>
        <w:rPr>
          <w:rFonts w:eastAsia="Times New Roman" w:cs="Times New Roman"/>
          <w:b/>
          <w:i/>
        </w:rPr>
        <w:t>M6.5 Realizarea unei evaluări detaliate a vulnerabilității zonei de coastă la inundații, identificarea și analizarea riscurilor potențiale și stabilirea de măsuri prioritare de prevenire, atenuare, adaptare și remediere</w:t>
      </w:r>
    </w:p>
    <w:p w14:paraId="3116F132" w14:textId="77777777" w:rsidR="008B1BFC" w:rsidRDefault="008B1BFC" w:rsidP="002508D3">
      <w:pPr>
        <w:spacing w:before="0"/>
        <w:ind w:firstLine="567"/>
        <w:rPr>
          <w:rFonts w:eastAsia="Times New Roman" w:cs="Times New Roman"/>
        </w:rPr>
      </w:pPr>
      <w:r>
        <w:rPr>
          <w:rFonts w:eastAsia="Times New Roman" w:cs="Times New Roman"/>
        </w:rPr>
        <w:t>Instituțiile responsabile pentru implementarea acestei măsuri sunt MMAP (prin ANM, ABADL), MCID (INCD-uri), ME (departamente de cercetare din universități), MT, MAI (IGSU) și autoritățile locale. Bugetul pentru realizarea acestor măsuri va fi asigurat die din fonduri proprii ale MMAP și bugete locale, fie prin accesarea programelor europene, precum Programul Regional Sud-Est, Programul de Dezvoltare Durabilă, LIFE, PNRR și programelor naționale, precum Planul Național de Cercetare Dezvoltare și Inovare 2022-2027 (PNCDI IV).</w:t>
      </w:r>
    </w:p>
    <w:p w14:paraId="582FDC89" w14:textId="77777777" w:rsidR="008B1BFC" w:rsidRDefault="008B1BFC" w:rsidP="002508D3">
      <w:pPr>
        <w:spacing w:before="0"/>
        <w:rPr>
          <w:rFonts w:eastAsia="Times New Roman" w:cs="Times New Roman"/>
          <w:b/>
          <w:i/>
        </w:rPr>
      </w:pPr>
    </w:p>
    <w:p w14:paraId="3F2C57A6" w14:textId="77777777" w:rsidR="008B1BFC" w:rsidRDefault="008B1BFC" w:rsidP="002508D3">
      <w:pPr>
        <w:spacing w:before="0"/>
        <w:rPr>
          <w:rFonts w:eastAsia="Times New Roman" w:cs="Times New Roman"/>
          <w:b/>
        </w:rPr>
      </w:pPr>
      <w:r>
        <w:rPr>
          <w:rFonts w:eastAsia="Times New Roman" w:cs="Times New Roman"/>
          <w:b/>
        </w:rPr>
        <w:t>M7. Măsuri pentru dezvoltarea sustenabilă a zonei costiere</w:t>
      </w:r>
    </w:p>
    <w:p w14:paraId="232B5A04" w14:textId="77777777" w:rsidR="008B1BFC" w:rsidRDefault="008B1BFC" w:rsidP="002508D3">
      <w:pPr>
        <w:pBdr>
          <w:top w:val="nil"/>
          <w:left w:val="nil"/>
          <w:bottom w:val="nil"/>
          <w:right w:val="nil"/>
          <w:between w:val="nil"/>
        </w:pBdr>
        <w:spacing w:before="0"/>
        <w:rPr>
          <w:rFonts w:eastAsia="Times New Roman" w:cs="Times New Roman"/>
          <w:b/>
          <w:i/>
        </w:rPr>
      </w:pPr>
      <w:r>
        <w:rPr>
          <w:rFonts w:eastAsia="Times New Roman" w:cs="Times New Roman"/>
          <w:b/>
          <w:i/>
        </w:rPr>
        <w:t>M7.1 Stimularea întreprinderilor care obțin eticheta ecologică pentru activitatea de cazare turistică</w:t>
      </w:r>
    </w:p>
    <w:p w14:paraId="512915B5"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Măsura se adresează antreprenorilor locali deținători de structuri de primire turistică având funcțiuni de cazare turistică și care sunt conștienți de importanța oferirii de servicii turistice mai prietenoase cu mediul, contribuind astfel la dezvoltarea durabilă a zonei costiere.</w:t>
      </w:r>
    </w:p>
    <w:p w14:paraId="30329AD2"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Eticheta ecologică (Ecolabel) este eticheta voluntară oficială a Uniunii Europene pentru excelență privind mediul, care îndrumă consumatorii către produse și servicii durabile, printre care și serviciile de cazare turistică. Întreprinderile din turism primesc această distincție în baza investițiilor realizate, astfel încât să îndeplinească toate criteriile și care să ducă la economisirea apei și energiei, reducerea deșeurilor generate și de ameliorare a mediului, aliniindu-se astfel obiectivelor Strategiei Naționale a României pentru Dezvoltarea Turismului 2023-2035 și Strategiei Naționale pentru Dezvoltarea Durabilă a României 2030 (SNDDR).</w:t>
      </w:r>
    </w:p>
    <w:p w14:paraId="206A2A81"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Implementarea acestei măsuri va fi realizată de către MEAT și MMAP, finanțarea fiind asigurată de la bugetul propriu al MEAT, fie accesând programe europene, precum PNRR, INTERREG EUROPE 2021-2027, Programul Regional Sud-Est, etc.</w:t>
      </w:r>
    </w:p>
    <w:p w14:paraId="23ED63E4" w14:textId="77777777" w:rsidR="008B1BFC" w:rsidRDefault="008B1BFC" w:rsidP="002508D3">
      <w:pPr>
        <w:pBdr>
          <w:top w:val="nil"/>
          <w:left w:val="nil"/>
          <w:bottom w:val="nil"/>
          <w:right w:val="nil"/>
          <w:between w:val="nil"/>
        </w:pBdr>
        <w:spacing w:before="0"/>
        <w:rPr>
          <w:rFonts w:eastAsia="Times New Roman" w:cs="Times New Roman"/>
          <w:b/>
          <w:i/>
        </w:rPr>
      </w:pPr>
      <w:r>
        <w:rPr>
          <w:rFonts w:eastAsia="Times New Roman" w:cs="Times New Roman"/>
          <w:b/>
          <w:i/>
        </w:rPr>
        <w:t>M7.2 Program de stimulare a operatorilor de plaje și de porturi de agrement care reușesc să obțină distincția Blue Flag</w:t>
      </w:r>
    </w:p>
    <w:p w14:paraId="651DF12D"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lastRenderedPageBreak/>
        <w:t>Măsura se adresează antreprenorilor locali care au obținut prin licitație publică dreptul de exploatare a unor zone de plaje, pe o perioadă de timp, conform contractului, precum și administratorilor de porturi de agrement.</w:t>
      </w:r>
    </w:p>
    <w:p w14:paraId="48BA32E6"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„Blue Flag” se numără printre cele mai recunoscute etichete ecologice voluntare din lume, acordate plajelor, porturilor turistice și navelor de agrement turistic. Printre avantajele programului se numără: deţinerea unui simbol ecologic (etichetă ecologică), vizibil şi recunoscut la nivel internaţional; posibilitatea utilizării acestui simbol pentru promovare la nivel local, naţional şi internaţional a plajei; atragerea turiștilor străini care caută, cu predilecție, aceste plaje, „Blue Flag”. La nivelul anului 2023, la litoralul românesc sunt doar 6 astfel de plaje și nici un port de agrement, dar prin implementarea măsurii se urmărește creșterea numărului lor.</w:t>
      </w:r>
    </w:p>
    <w:p w14:paraId="2A3F7C72"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Implementarea acestei măsuri va fi realizată de către MMAP și MEAT, finanțarea fiind asigurată de la bugetele proprii ale MMAP și MEAT, fie accesând programe europene, precum PNRR, INTERREG EUROPE 2021-2027, Programul Regional Sud-Est, etc.</w:t>
      </w:r>
    </w:p>
    <w:p w14:paraId="6095E18D" w14:textId="77777777" w:rsidR="008B1BFC" w:rsidRDefault="008B1BFC" w:rsidP="002508D3">
      <w:pPr>
        <w:pBdr>
          <w:top w:val="nil"/>
          <w:left w:val="nil"/>
          <w:bottom w:val="nil"/>
          <w:right w:val="nil"/>
          <w:between w:val="nil"/>
        </w:pBdr>
        <w:spacing w:before="0"/>
        <w:rPr>
          <w:rFonts w:eastAsia="Times New Roman" w:cs="Times New Roman"/>
          <w:b/>
          <w:i/>
        </w:rPr>
      </w:pPr>
      <w:r>
        <w:rPr>
          <w:rFonts w:eastAsia="Times New Roman" w:cs="Times New Roman"/>
          <w:b/>
          <w:i/>
        </w:rPr>
        <w:t>M7.3 Inițierea și implementarea unui program de dezvoltare a turismului subacvatic</w:t>
      </w:r>
    </w:p>
    <w:p w14:paraId="70FACAA4"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Protejarea și conservarea patrimoniului cultural subacvatic reprezintă o prioritate pentru managementul zonei costiere. Promovarea și dezvoltarea turismului subacvatic în zona costieră românească (cu precădere în sudul zonei costiere), pe lângă o diversificare a ofertei turistice, poate asigura și o creștere a gradului de protecției patrimoniului cultural subacvatic, precum și a celui natural (habitate marine) în condițiile unei reglementări optime a cadrului legislativ referitor la acest tip de activitate turistică.</w:t>
      </w:r>
    </w:p>
    <w:p w14:paraId="603CEF69" w14:textId="3CEC8C4D"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 xml:space="preserve">Măsura propusă, complementară măsurii M2.3 Inventarierea, cercetarea și punerea în valoare a patrimoniului cultural subacvatic, este în concordanță cu obiectivele Planului de Amenajare a Spațiului Maritim și va fi implementată de către MC, </w:t>
      </w:r>
      <w:r w:rsidR="00787B4D">
        <w:rPr>
          <w:rFonts w:eastAsia="Times New Roman" w:cs="Times New Roman"/>
        </w:rPr>
        <w:t xml:space="preserve">MEAT, </w:t>
      </w:r>
      <w:r w:rsidR="003C4FA1">
        <w:rPr>
          <w:rFonts w:eastAsia="Times New Roman" w:cs="Times New Roman"/>
        </w:rPr>
        <w:t>Organizația de Management a Destinației Mamaia-Constanța</w:t>
      </w:r>
      <w:r>
        <w:rPr>
          <w:rFonts w:eastAsia="Times New Roman" w:cs="Times New Roman"/>
        </w:rPr>
        <w:t>, MCID (prin INCD GeoEcoMar), MMAP și MApN (prin Centrul de Scafandri). Bugetul necesar implementării acestei măsuri va fi asigurat din fonduri proprii ale MC și</w:t>
      </w:r>
      <w:r w:rsidR="003C4FA1">
        <w:rPr>
          <w:rFonts w:eastAsia="Times New Roman" w:cs="Times New Roman"/>
        </w:rPr>
        <w:t xml:space="preserve"> </w:t>
      </w:r>
      <w:r w:rsidR="003C4FA1" w:rsidRPr="003C4FA1">
        <w:rPr>
          <w:rFonts w:eastAsia="Times New Roman" w:cs="Times New Roman"/>
        </w:rPr>
        <w:t>Organizația de Management a Destinației Mamaia-Constanța</w:t>
      </w:r>
      <w:r w:rsidR="003C4FA1">
        <w:rPr>
          <w:rFonts w:eastAsia="Times New Roman" w:cs="Times New Roman"/>
        </w:rPr>
        <w:t xml:space="preserve"> (parteniriate public-private)</w:t>
      </w:r>
      <w:r>
        <w:rPr>
          <w:rFonts w:eastAsia="Times New Roman" w:cs="Times New Roman"/>
        </w:rPr>
        <w:t>, precum și prin accesarea programelor europene (Horizon Europe, Programul Regional Sud-Est, Programul Educație și Ocupare) și naționale (PNCDI IV,</w:t>
      </w:r>
      <w:r>
        <w:t xml:space="preserve"> </w:t>
      </w:r>
      <w:r>
        <w:rPr>
          <w:rFonts w:eastAsia="Times New Roman" w:cs="Times New Roman"/>
        </w:rPr>
        <w:t>Program vizând educaţia şi conştientizarea publicului privind protecţia mediului).</w:t>
      </w:r>
    </w:p>
    <w:p w14:paraId="1CB97679" w14:textId="77777777" w:rsidR="008B1BFC" w:rsidRDefault="008B1BFC" w:rsidP="002508D3">
      <w:pPr>
        <w:pBdr>
          <w:top w:val="nil"/>
          <w:left w:val="nil"/>
          <w:bottom w:val="nil"/>
          <w:right w:val="nil"/>
          <w:between w:val="nil"/>
        </w:pBdr>
        <w:spacing w:before="0"/>
        <w:rPr>
          <w:rFonts w:eastAsia="Times New Roman" w:cs="Times New Roman"/>
          <w:b/>
          <w:i/>
        </w:rPr>
      </w:pPr>
      <w:r>
        <w:rPr>
          <w:rFonts w:eastAsia="Times New Roman" w:cs="Times New Roman"/>
          <w:b/>
          <w:i/>
        </w:rPr>
        <w:t>M7.4 Reabilitarea stocurilor de pești cu valoare comercială, încurajarea și susținerea implementării procedurilor/tehnicilor și tehnologiilor de pescuit sustenabil prin acordarea de stimulente</w:t>
      </w:r>
    </w:p>
    <w:p w14:paraId="1202C5F1"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Reabilitarea/refacerea stocurilor de pești cu valoare ecologică și economică, dintre care unele aflate în prezent într-o stare de conservare precară (sturionii, calcanul, scrumbia, etc.), este o prioritate de nivel regional. Implementarea acestei măsuri este în concordanță cu Strategia Națională de Pescuit și Acvacultura 2020 - 2027, care recomandă dirijarea fondurilor alocate și liniile de acţiuni/măsuri de intervenţie a statului.</w:t>
      </w:r>
    </w:p>
    <w:p w14:paraId="0F707B0E"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 xml:space="preserve">Implementarea măsurii se va realiza de către MADR (ANPA), cu sprijinul MCID (INCDM Grigore Antipa și INCDDD). Finanțarea necesară implementării acestei măsuri va fi </w:t>
      </w:r>
      <w:r>
        <w:rPr>
          <w:rFonts w:eastAsia="Times New Roman" w:cs="Times New Roman"/>
        </w:rPr>
        <w:lastRenderedPageBreak/>
        <w:t xml:space="preserve">asigurată prin accesarea Programului de Pescuit și Acvacultură 2021-2027, precum și a PNCDI IV. </w:t>
      </w:r>
    </w:p>
    <w:p w14:paraId="692D8D05" w14:textId="77777777" w:rsidR="008B1BFC" w:rsidRDefault="008B1BFC" w:rsidP="002508D3">
      <w:pPr>
        <w:pBdr>
          <w:top w:val="nil"/>
          <w:left w:val="nil"/>
          <w:bottom w:val="nil"/>
          <w:right w:val="nil"/>
          <w:between w:val="nil"/>
        </w:pBdr>
        <w:spacing w:before="0"/>
        <w:rPr>
          <w:rFonts w:eastAsia="Times New Roman" w:cs="Times New Roman"/>
          <w:b/>
          <w:i/>
        </w:rPr>
      </w:pPr>
      <w:r>
        <w:rPr>
          <w:rFonts w:eastAsia="Times New Roman" w:cs="Times New Roman"/>
          <w:b/>
          <w:i/>
        </w:rPr>
        <w:t>M7.5 Dezvoltarea infrastructurii pescărești și utilizarea de mijloace de pescuit prietenoase cu mediul pentru evitarea deteriorării substratului marin și diminuarea presiunii asupra mediului</w:t>
      </w:r>
    </w:p>
    <w:p w14:paraId="1387D6DB"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Măsura, vizând îmbunătățirea infrastructurii pescărești în vederea practicării unui pescuit sustenabil, este în concordanță cu obiectivele Strategiei Naționale de Pescuit și Acvacultură 2020 - 2027. Implementarea acestei măsuri va fi realizată de către MADR (prin ANPA), cu sprijinul MCID (INCDM Grigore Antipa și INCDDD). Finanțarea implementării măsuri va fi asigurată, preponderent, prin accesarea Programului pentru Pescuit și Acvacultură 2021-2027.</w:t>
      </w:r>
    </w:p>
    <w:p w14:paraId="5D4A4176" w14:textId="77777777" w:rsidR="008B1BFC" w:rsidRDefault="008B1BFC" w:rsidP="002508D3">
      <w:pPr>
        <w:pBdr>
          <w:top w:val="nil"/>
          <w:left w:val="nil"/>
          <w:bottom w:val="nil"/>
          <w:right w:val="nil"/>
          <w:between w:val="nil"/>
        </w:pBdr>
        <w:spacing w:before="0"/>
        <w:rPr>
          <w:rFonts w:eastAsia="Times New Roman" w:cs="Times New Roman"/>
          <w:b/>
          <w:i/>
        </w:rPr>
      </w:pPr>
      <w:r>
        <w:rPr>
          <w:rFonts w:eastAsia="Times New Roman" w:cs="Times New Roman"/>
          <w:b/>
          <w:i/>
        </w:rPr>
        <w:t>M7.6 Dezvoltarea acvaculturii costiere (marine, terestre) prietenoase cu mediul</w:t>
      </w:r>
    </w:p>
    <w:p w14:paraId="04BE24A9"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Implementarea acestei acțiuni va conduce la o planificare adecvată a activităților și locațiilor pentru acvacultură în raport cu alte utilizări ale spațiului maritim aferent zonei costiere, precum și la îmbunătățirea sistemului de trasabilitate în vederea asigurării calității produselor obținute.</w:t>
      </w:r>
    </w:p>
    <w:p w14:paraId="0D91243D"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 xml:space="preserve">Implementarea măsurii va fi realizată de către MADR (ANPA), MMAP (prin ARBDD) și MCID (INCDM Grigore Antipa, INCDDD și INCD GeoecoMar). Finanțarea implementării măsurii va fi asigurată prin accesarea Programului pentru Pescuit și Acvacultură 2021- 2027, Programul Piață Unică, Programului Regional Sud-Est, precum și a PNCDI IV (pentru activități de cercetare inovare). </w:t>
      </w:r>
    </w:p>
    <w:p w14:paraId="1427FE85" w14:textId="77777777" w:rsidR="008B1BFC" w:rsidRDefault="008B1BFC" w:rsidP="002508D3">
      <w:pPr>
        <w:pBdr>
          <w:top w:val="nil"/>
          <w:left w:val="nil"/>
          <w:bottom w:val="nil"/>
          <w:right w:val="nil"/>
          <w:between w:val="nil"/>
        </w:pBdr>
        <w:spacing w:before="0"/>
        <w:rPr>
          <w:rFonts w:eastAsia="Times New Roman" w:cs="Times New Roman"/>
          <w:b/>
          <w:i/>
        </w:rPr>
      </w:pPr>
      <w:r>
        <w:rPr>
          <w:rFonts w:eastAsia="Times New Roman" w:cs="Times New Roman"/>
          <w:b/>
          <w:i/>
        </w:rPr>
        <w:t>M7.7 Reabilitarea activităților tradiționale și valorificarea resursei stuficole din Delta Dunării</w:t>
      </w:r>
    </w:p>
    <w:p w14:paraId="5D5BFD4C"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Stuful reprezintă o resursă naturală foarte importantă a Deltei Dunării, cu potențial ridicat de valorificare atât în scop comercial, cât și gospodăresc. Suprafața acoperită de stuf în Delta Dunării este de circa 173.000 ha, din aceasta, doar circa 10-20% este exploatată în scop economic (ARBDD, 2022).</w:t>
      </w:r>
    </w:p>
    <w:p w14:paraId="2D11234E"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 xml:space="preserve">Pentru prevenirea fenomenului de “îmbătrânire“ a stufăriilor, ca urmare a dezvoltării mai multor generații de suf în aceeași zonă, cu consecințe negative asupra habitatelor naturale sunt necesare promovarea unor metode variate de valorificare, atât ca biomasă, cât și ca material de construcție tradițional. </w:t>
      </w:r>
    </w:p>
    <w:p w14:paraId="058420E2" w14:textId="70D6834B"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Instituția responsabilă pentru implementarea acestei măsuri este MMAP (ARBDD), dar o contribuție semnificativă o pot avea și MCID (INCDDD) și ME (universități). Finanțarea implementării acestei măsuri va fi asigurată atât din fonduri proprii ale MMAP (ARBDD), cât și prin accesarea programelor europene Regional Sud-Est, Educație și Ocupare, PNRR și parteneriate public-privat.</w:t>
      </w:r>
    </w:p>
    <w:p w14:paraId="38EE44C2" w14:textId="77777777" w:rsidR="008B1BFC" w:rsidRDefault="008B1BFC" w:rsidP="002508D3">
      <w:pPr>
        <w:pBdr>
          <w:top w:val="nil"/>
          <w:left w:val="nil"/>
          <w:bottom w:val="nil"/>
          <w:right w:val="nil"/>
          <w:between w:val="nil"/>
        </w:pBdr>
        <w:spacing w:before="0"/>
        <w:rPr>
          <w:rFonts w:eastAsia="Times New Roman" w:cs="Times New Roman"/>
          <w:b/>
          <w:i/>
        </w:rPr>
      </w:pPr>
      <w:r>
        <w:rPr>
          <w:rFonts w:eastAsia="Times New Roman" w:cs="Times New Roman"/>
          <w:b/>
          <w:i/>
        </w:rPr>
        <w:t>M7.8 Aplicarea de către producătorii locali a noilor politici agricole</w:t>
      </w:r>
    </w:p>
    <w:p w14:paraId="27D0AB55"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 xml:space="preserve">Prin utilizarea tehnologiilor de ultimă generație, activitățile agricole din zona costieră pot reprezenta un model de bune practici privind sustenabilitatea, model ce va putea fi extrapolat la o scara mai mare. Agricultura regenerativă, adoptarea tehnologiilor propuse de agricultura </w:t>
      </w:r>
      <w:r>
        <w:rPr>
          <w:rFonts w:eastAsia="Times New Roman" w:cs="Times New Roman"/>
        </w:rPr>
        <w:lastRenderedPageBreak/>
        <w:t>de precizie, susținerea comunităților de fermieri din zona țintă în obținerea unor produse care să satisfacă standardele cele mai înalte privind calitatea și cantitatea necesară pentru acoperirea cererilor la nivel local și regional, sunt elemente esențiale pentru dezvoltarea durabilă a zonei de coastă.</w:t>
      </w:r>
    </w:p>
    <w:p w14:paraId="0B49A217"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 xml:space="preserve">Implementarea acestei măsuri va fi realizată de către MADR, dar o contribuție însemnată o pot avea și MCID (prin institutele naționale de cercetare-dezvoltare) și ME (prin universități). Finanțarea implementării măsurii va fi asigurată prin accesarea programelor europene Programul pentru Promovarea Produselor Agricole (AGRIP), Programul Piață Unică, Planul strategic al Politicii Agricole Comune (PAC), Programul Regional Sud-Est, Horizon Europe și programului național PNCDI IV. </w:t>
      </w:r>
    </w:p>
    <w:p w14:paraId="22DC0767" w14:textId="77777777" w:rsidR="008B1BFC" w:rsidRDefault="008B1BFC" w:rsidP="002508D3">
      <w:pPr>
        <w:pBdr>
          <w:top w:val="nil"/>
          <w:left w:val="nil"/>
          <w:bottom w:val="nil"/>
          <w:right w:val="nil"/>
          <w:between w:val="nil"/>
        </w:pBdr>
        <w:spacing w:before="0"/>
        <w:rPr>
          <w:rFonts w:eastAsia="Times New Roman" w:cs="Times New Roman"/>
          <w:b/>
          <w:i/>
        </w:rPr>
      </w:pPr>
      <w:r>
        <w:rPr>
          <w:rFonts w:eastAsia="Times New Roman" w:cs="Times New Roman"/>
          <w:b/>
          <w:i/>
        </w:rPr>
        <w:t>M7.9 Implementarea proiectelor de transport fluvial verde în Delta Dunării</w:t>
      </w:r>
    </w:p>
    <w:p w14:paraId="6E14B2FD"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Transportul fluvial, principala formă de transport în Delta Dunării, determină o presiune semnificativă asupra ecosistemului deltaic, în mare parte ca urmare a unei flote de ambarcațiuni învechită, uzată folosită pentru transportul de persoane, marfă, precum și în activități de agrement. În vederea reducerii poluării atmosferice, a apelor de suprafață (scurgeri de combustibil) și a poluării fonice, apare necesară orientarea către un transport verde, bazat pe surse neconvenționale de energie.</w:t>
      </w:r>
    </w:p>
    <w:p w14:paraId="2B237312"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Această măsură va fi implementată de către MMAP (ARBDD) și MT, iar bugetul necesar va fi asigurat din fonduri proprii ale celor două instituții (MT și MMAP), prin accesarea programelor Regional Sud-Est și PNRR și/sau parteneriate public-private.</w:t>
      </w:r>
    </w:p>
    <w:p w14:paraId="0A024765" w14:textId="77777777" w:rsidR="008B1BFC" w:rsidRDefault="008B1BFC" w:rsidP="002508D3">
      <w:pPr>
        <w:pBdr>
          <w:top w:val="nil"/>
          <w:left w:val="nil"/>
          <w:bottom w:val="nil"/>
          <w:right w:val="nil"/>
          <w:between w:val="nil"/>
        </w:pBdr>
        <w:spacing w:before="0"/>
        <w:rPr>
          <w:rFonts w:eastAsia="Times New Roman" w:cs="Times New Roman"/>
          <w:b/>
          <w:i/>
        </w:rPr>
      </w:pPr>
      <w:r>
        <w:rPr>
          <w:rFonts w:eastAsia="Times New Roman" w:cs="Times New Roman"/>
          <w:b/>
          <w:i/>
        </w:rPr>
        <w:t>M7.10 Dezvoltarea porturilor “verzi” la litoralul românesc al Mării Negre</w:t>
      </w:r>
    </w:p>
    <w:p w14:paraId="1479969B"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Transportul maritim și activitățile portuare, două sectoare economice foarte importante pentru dezvoltarea zonei costiere, contribuie major la emisiile de poluanți atmosferici și, implicit la poluarea apelor costiere și a solului. Implementarea acestei acțiuni presupune dezvoltarea infrastructurii verzi în porturile maritime (perdele forestiere, instalații portuare ce folosesc energie alternativă, instalații de tratare și reciclare a deșeurilor de la nave sau rezultate din activități portuare, etc.) și este în concordanță cu măsurile prevăzute în noul Master Plan al portului Constanța.</w:t>
      </w:r>
    </w:p>
    <w:p w14:paraId="17937288" w14:textId="7DA33D85"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Implementarea acestei măsuri va fi asigurată de către CN APM, dar o contribuție semnificativă o vor avea și MCID, ME și MMAP. Fondurile necesare implementării măsurii vor fi asigurate din bugetul CN APM și / sau accesând programele europene PNRR,</w:t>
      </w:r>
      <w:r>
        <w:t xml:space="preserve"> </w:t>
      </w:r>
      <w:r>
        <w:rPr>
          <w:rFonts w:eastAsia="Times New Roman" w:cs="Times New Roman"/>
        </w:rPr>
        <w:t>Programul (Interreg VI-B) NEXT Bazinul Mării Negre  și Programul INTERREG EUROPE 2021-2027.</w:t>
      </w:r>
    </w:p>
    <w:p w14:paraId="0E9D840E" w14:textId="77777777" w:rsidR="008B1BFC" w:rsidRDefault="008B1BFC" w:rsidP="002508D3">
      <w:pPr>
        <w:pBdr>
          <w:top w:val="nil"/>
          <w:left w:val="nil"/>
          <w:bottom w:val="nil"/>
          <w:right w:val="nil"/>
          <w:between w:val="nil"/>
        </w:pBdr>
        <w:spacing w:before="0"/>
        <w:rPr>
          <w:rFonts w:eastAsia="Times New Roman" w:cs="Times New Roman"/>
        </w:rPr>
      </w:pPr>
      <w:r>
        <w:rPr>
          <w:rFonts w:eastAsia="Times New Roman" w:cs="Times New Roman"/>
          <w:b/>
          <w:i/>
        </w:rPr>
        <w:t>M7.11</w:t>
      </w:r>
      <w:r>
        <w:rPr>
          <w:rFonts w:eastAsia="Times New Roman" w:cs="Times New Roman"/>
        </w:rPr>
        <w:t xml:space="preserve"> </w:t>
      </w:r>
      <w:r>
        <w:rPr>
          <w:rFonts w:eastAsia="Times New Roman" w:cs="Times New Roman"/>
          <w:b/>
          <w:i/>
        </w:rPr>
        <w:t>Evaluarea potențialului de valorificare a resurselor energetice regenerabile din zonă: energia eoliană, “inshore” și „offshore”, energia valurilor, fotovoltaică, etc.</w:t>
      </w:r>
    </w:p>
    <w:p w14:paraId="4BDFCCD9" w14:textId="2E061676" w:rsidR="008B1BFC" w:rsidRPr="001E1E15" w:rsidRDefault="008B1BFC" w:rsidP="001E1E15">
      <w:pPr>
        <w:pBdr>
          <w:top w:val="nil"/>
          <w:left w:val="nil"/>
          <w:bottom w:val="nil"/>
          <w:right w:val="nil"/>
          <w:between w:val="nil"/>
        </w:pBdr>
        <w:spacing w:before="0"/>
        <w:ind w:firstLine="567"/>
        <w:rPr>
          <w:rFonts w:eastAsia="Times New Roman" w:cs="Times New Roman"/>
          <w:lang w:val="ro-RO"/>
        </w:rPr>
      </w:pPr>
      <w:r>
        <w:rPr>
          <w:rFonts w:eastAsia="Times New Roman" w:cs="Times New Roman"/>
        </w:rPr>
        <w:t>Implementarea acestei măsuri vine în sprijinul îndeplinirii obiectivelor Planului Național Integrat în domeniul Energiei și Schimbărilor Climatice (PNIESC) 2021-2030 și Strategiei Naționale pentru Dezvoltarea Durabilă a României 2030 (SNDDR).</w:t>
      </w:r>
      <w:r w:rsidR="001E1E15">
        <w:rPr>
          <w:rFonts w:eastAsia="Times New Roman" w:cs="Times New Roman"/>
        </w:rPr>
        <w:t xml:space="preserve"> Aceast</w:t>
      </w:r>
      <w:r w:rsidR="001E1E15">
        <w:rPr>
          <w:rFonts w:eastAsia="Times New Roman" w:cs="Times New Roman"/>
          <w:lang w:val="ro-RO"/>
        </w:rPr>
        <w:t>ă măsură este sinergică cu direcțiile de acțiune / măsuri cuprinse în Planul de Amenajare a Spațiului Maritim, referitor la obiectivul specific „</w:t>
      </w:r>
      <w:r w:rsidR="001E1E15" w:rsidRPr="001E1E15">
        <w:rPr>
          <w:rFonts w:eastAsia="Times New Roman" w:cs="Times New Roman"/>
          <w:lang w:val="ro-RO"/>
        </w:rPr>
        <w:t>Dezvoltarea cadrului legislativ şi de</w:t>
      </w:r>
      <w:r w:rsidR="001E1E15">
        <w:rPr>
          <w:rFonts w:eastAsia="Times New Roman" w:cs="Times New Roman"/>
          <w:lang w:val="ro-RO"/>
        </w:rPr>
        <w:t xml:space="preserve"> </w:t>
      </w:r>
      <w:r w:rsidR="001E1E15" w:rsidRPr="001E1E15">
        <w:rPr>
          <w:rFonts w:eastAsia="Times New Roman" w:cs="Times New Roman"/>
          <w:lang w:val="ro-RO"/>
        </w:rPr>
        <w:t>reglementare în domeniul surselor</w:t>
      </w:r>
      <w:r w:rsidR="001E1E15">
        <w:rPr>
          <w:rFonts w:eastAsia="Times New Roman" w:cs="Times New Roman"/>
          <w:lang w:val="ro-RO"/>
        </w:rPr>
        <w:t xml:space="preserve"> </w:t>
      </w:r>
      <w:r w:rsidR="001E1E15" w:rsidRPr="001E1E15">
        <w:rPr>
          <w:rFonts w:eastAsia="Times New Roman" w:cs="Times New Roman"/>
          <w:lang w:val="ro-RO"/>
        </w:rPr>
        <w:t>regenerabile offshore</w:t>
      </w:r>
      <w:r w:rsidR="001E1E15">
        <w:rPr>
          <w:rFonts w:eastAsia="Times New Roman" w:cs="Times New Roman"/>
          <w:lang w:val="ro-RO"/>
        </w:rPr>
        <w:t>”.</w:t>
      </w:r>
    </w:p>
    <w:p w14:paraId="63C290C6" w14:textId="5556614B" w:rsidR="008B1BFC" w:rsidRDefault="008B1BFC" w:rsidP="00135D14">
      <w:pPr>
        <w:pBdr>
          <w:top w:val="nil"/>
          <w:left w:val="nil"/>
          <w:bottom w:val="nil"/>
          <w:right w:val="nil"/>
          <w:between w:val="nil"/>
        </w:pBdr>
        <w:spacing w:before="0"/>
        <w:ind w:firstLine="567"/>
        <w:rPr>
          <w:rFonts w:eastAsia="Times New Roman" w:cs="Times New Roman"/>
        </w:rPr>
      </w:pPr>
      <w:r>
        <w:rPr>
          <w:rFonts w:eastAsia="Times New Roman" w:cs="Times New Roman"/>
        </w:rPr>
        <w:lastRenderedPageBreak/>
        <w:t>Principala instituție responsabilă pentru implementarea acestei măsuri este M</w:t>
      </w:r>
      <w:r w:rsidR="00135D14">
        <w:rPr>
          <w:rFonts w:eastAsia="Times New Roman" w:cs="Times New Roman"/>
        </w:rPr>
        <w:t>inisterul Energiei</w:t>
      </w:r>
      <w:r>
        <w:rPr>
          <w:rFonts w:eastAsia="Times New Roman" w:cs="Times New Roman"/>
        </w:rPr>
        <w:t>, cu sprijinul</w:t>
      </w:r>
      <w:r w:rsidR="00135D14">
        <w:rPr>
          <w:rFonts w:eastAsia="Times New Roman" w:cs="Times New Roman"/>
        </w:rPr>
        <w:t xml:space="preserve"> </w:t>
      </w:r>
      <w:r>
        <w:rPr>
          <w:rFonts w:eastAsia="Times New Roman" w:cs="Times New Roman"/>
        </w:rPr>
        <w:t xml:space="preserve">MCID (institute naționale de cercetare-dezvoltare) și ME (departamentele de cercetare ale universităților). Finanțarea implementării acestei măsuri va fi asigurată atât din fonduri proprii </w:t>
      </w:r>
      <w:r w:rsidR="00135D14">
        <w:rPr>
          <w:rFonts w:eastAsia="Times New Roman" w:cs="Times New Roman"/>
        </w:rPr>
        <w:t>ale Ministrerului Energiei</w:t>
      </w:r>
      <w:r>
        <w:rPr>
          <w:rFonts w:eastAsia="Times New Roman" w:cs="Times New Roman"/>
        </w:rPr>
        <w:t xml:space="preserve"> și parteneriate public-privat, cât și prin accesare programelor europene PNRR, Programul INTERREG EUROPE 2021-2027, Programul de Dezvoltare Durabilă,</w:t>
      </w:r>
      <w:r>
        <w:t xml:space="preserve"> </w:t>
      </w:r>
      <w:r>
        <w:rPr>
          <w:rFonts w:eastAsia="Times New Roman" w:cs="Times New Roman"/>
        </w:rPr>
        <w:t>REPowerEU și Horizon Europe.</w:t>
      </w:r>
      <w:r>
        <w:rPr>
          <w:rFonts w:eastAsia="Times New Roman" w:cs="Times New Roman"/>
          <w:i/>
        </w:rPr>
        <w:t xml:space="preserve"> </w:t>
      </w:r>
    </w:p>
    <w:p w14:paraId="3A38E401" w14:textId="77777777" w:rsidR="008B1BFC" w:rsidRDefault="008B1BFC" w:rsidP="002508D3">
      <w:pPr>
        <w:pBdr>
          <w:top w:val="nil"/>
          <w:left w:val="nil"/>
          <w:bottom w:val="nil"/>
          <w:right w:val="nil"/>
          <w:between w:val="nil"/>
        </w:pBdr>
        <w:spacing w:before="0"/>
        <w:rPr>
          <w:rFonts w:eastAsia="Times New Roman" w:cs="Times New Roman"/>
          <w:b/>
          <w:i/>
        </w:rPr>
      </w:pPr>
      <w:r>
        <w:rPr>
          <w:rFonts w:eastAsia="Times New Roman" w:cs="Times New Roman"/>
          <w:b/>
          <w:i/>
        </w:rPr>
        <w:t>M7.12 Susținerea și dezvoltarea de noi instrumente (centre de excelență, proiecte pilot, servicii de extensie oferite de către universități, etc) pentru transferul cunoștințelor din cercetare spre business în sectoarele Economiei Albastre</w:t>
      </w:r>
    </w:p>
    <w:p w14:paraId="338FDFAB"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Intensificarea cercetării vizând sectoarele emergente ale Economiei Albastre a devenit, în ultimii ani, o prioritate la nivel național, având în vedere poziția codașă la nivelul UE a României în ceea ce privește contribuția Economiei Albastre la dezvoltarea economică a țării. Implementarea acestei măsuri vizează asigurarea unor instrumente de finanțare a cercetării în domeniile emergente ale Economiei Albastre (ex. acvacultura IMTA - Integrated multitrophic aquaculture - în sistem circular; diversificarea resurselor alimentare din surse marine sau agricole prin utilizarea biotehnologiilor, etc.), cât și dezvoltarea unor mecanisme de transfer tehnologic de la cercetare către business.</w:t>
      </w:r>
    </w:p>
    <w:p w14:paraId="31846CC7"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Organizația responsabilă pentru implementarea acestei măsuri este MCID (prin institutele de naționale de cercetare-dezvoltare), Academia Română, precum și ME (prin departamentele de cercetare din cadrul universităților). Principalele surse de finanțare pentru implementarea acestei măsuri sunt programul național PNCDI IV și cel european Programul Creștere Inteligentă, Digitalizare și Instrumente Financiare.</w:t>
      </w:r>
    </w:p>
    <w:p w14:paraId="404DD6F9" w14:textId="77777777" w:rsidR="008B1BFC" w:rsidRDefault="008B1BFC" w:rsidP="002508D3">
      <w:pPr>
        <w:spacing w:before="0"/>
        <w:rPr>
          <w:rFonts w:eastAsia="Times New Roman" w:cs="Times New Roman"/>
        </w:rPr>
      </w:pPr>
      <w:r>
        <w:rPr>
          <w:rFonts w:eastAsia="Times New Roman" w:cs="Times New Roman"/>
          <w:b/>
          <w:i/>
          <w:color w:val="000000"/>
        </w:rPr>
        <w:t>M7.13</w:t>
      </w:r>
      <w:r>
        <w:rPr>
          <w:rFonts w:eastAsia="Times New Roman" w:cs="Times New Roman"/>
          <w:color w:val="000000"/>
        </w:rPr>
        <w:t xml:space="preserve"> </w:t>
      </w:r>
      <w:r>
        <w:rPr>
          <w:rFonts w:eastAsia="Times New Roman" w:cs="Times New Roman"/>
          <w:b/>
          <w:i/>
          <w:color w:val="000000"/>
        </w:rPr>
        <w:t>Consolidarea infrastructurii antreprenoriale locale</w:t>
      </w:r>
    </w:p>
    <w:p w14:paraId="053CEFA5" w14:textId="77777777" w:rsidR="008B1BFC" w:rsidRDefault="008B1BFC" w:rsidP="002508D3">
      <w:pPr>
        <w:spacing w:before="0"/>
        <w:ind w:firstLine="540"/>
        <w:rPr>
          <w:rFonts w:eastAsia="Times New Roman" w:cs="Times New Roman"/>
        </w:rPr>
      </w:pPr>
      <w:r>
        <w:rPr>
          <w:rFonts w:eastAsia="Times New Roman" w:cs="Times New Roman"/>
          <w:color w:val="000000"/>
        </w:rPr>
        <w:t>Măsura se adresează antreprenorilor locali și urmărește consolidarea capacității acestora de a propune, iniția și implementa proiecte inovative, verzi / albastre, care să contribuie la dezvoltarea durabilă a zonei costiere.</w:t>
      </w:r>
    </w:p>
    <w:p w14:paraId="0DC2309C" w14:textId="77777777" w:rsidR="008B1BFC" w:rsidRDefault="008B1BFC" w:rsidP="002508D3">
      <w:pPr>
        <w:spacing w:before="0"/>
        <w:ind w:firstLine="540"/>
        <w:rPr>
          <w:rFonts w:eastAsia="Times New Roman" w:cs="Times New Roman"/>
          <w:color w:val="000000"/>
        </w:rPr>
      </w:pPr>
      <w:r>
        <w:rPr>
          <w:rFonts w:eastAsia="Times New Roman" w:cs="Times New Roman"/>
          <w:color w:val="000000"/>
        </w:rPr>
        <w:t>Instituția responsabilă pentru implementarea acestei măsuri este MEAT, iar finanțarea este asigurată fie din bugetul propriu al MEAT, fie accesând programelor europene Educație și Formare, InvestEU, INTERREG EUROPE 2021-2027, etc.</w:t>
      </w:r>
    </w:p>
    <w:p w14:paraId="6DCF95D4" w14:textId="77777777" w:rsidR="008B1BFC" w:rsidRDefault="008B1BFC" w:rsidP="002508D3">
      <w:pPr>
        <w:spacing w:before="0"/>
        <w:ind w:firstLine="540"/>
        <w:rPr>
          <w:rFonts w:eastAsia="Times New Roman" w:cs="Times New Roman"/>
        </w:rPr>
      </w:pPr>
    </w:p>
    <w:p w14:paraId="4FB3D8F4" w14:textId="77777777" w:rsidR="008B1BFC" w:rsidRDefault="008B1BFC" w:rsidP="002508D3">
      <w:pPr>
        <w:pBdr>
          <w:top w:val="nil"/>
          <w:left w:val="nil"/>
          <w:bottom w:val="nil"/>
          <w:right w:val="nil"/>
          <w:between w:val="nil"/>
        </w:pBdr>
        <w:spacing w:before="0"/>
        <w:rPr>
          <w:rFonts w:eastAsia="Times New Roman" w:cs="Times New Roman"/>
          <w:b/>
        </w:rPr>
      </w:pPr>
      <w:r>
        <w:rPr>
          <w:rFonts w:eastAsia="Times New Roman" w:cs="Times New Roman"/>
          <w:b/>
        </w:rPr>
        <w:t xml:space="preserve">M8. Măsuri vizând planificarea spațială în zona costieră </w:t>
      </w:r>
    </w:p>
    <w:p w14:paraId="4196FB0E" w14:textId="77777777" w:rsidR="008B1BFC" w:rsidRDefault="008B1BFC" w:rsidP="002508D3">
      <w:pPr>
        <w:pBdr>
          <w:top w:val="nil"/>
          <w:left w:val="nil"/>
          <w:bottom w:val="nil"/>
          <w:right w:val="nil"/>
          <w:between w:val="nil"/>
        </w:pBdr>
        <w:spacing w:before="0"/>
        <w:rPr>
          <w:rFonts w:eastAsia="Times New Roman" w:cs="Times New Roman"/>
          <w:b/>
          <w:i/>
        </w:rPr>
      </w:pPr>
      <w:r>
        <w:rPr>
          <w:rFonts w:eastAsia="Times New Roman" w:cs="Times New Roman"/>
          <w:b/>
          <w:i/>
        </w:rPr>
        <w:t>M8.1 Crearea unui cadru coerent, integrat și sinergic de planificare spațială specific pentru teritoriul transfrontalier și regional</w:t>
      </w:r>
    </w:p>
    <w:p w14:paraId="582A2FEF"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Implementarea acestei măsuri presupune, într-o primă fază, elaborarea / actualizarea metodologiei de elaborare a planurilor de amenajare a teritoriului zonal transfrontalier și interjudețean, iar pe baza acesteia, inițierea și elaborarea de strategii și planuri de dezvoltare spațială în zonele transfrontaliere și în zona costieră a Mării Negre.</w:t>
      </w:r>
    </w:p>
    <w:p w14:paraId="657DDA95"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lastRenderedPageBreak/>
        <w:t xml:space="preserve">Instituțiile responsabile pentru implementarea măsurii sunt MDLPA, autoritățile locale și MAE, iar bugetul necesar va fi asigurat din fonduri proprii și / sau prin accesarea programelor europene INTERREG EUROPE 2021-2027, ESPON 2030 și Interreg Interact IV 2021-2027. </w:t>
      </w:r>
    </w:p>
    <w:p w14:paraId="28378283" w14:textId="77777777" w:rsidR="008B1BFC" w:rsidRDefault="008B1BFC" w:rsidP="002508D3">
      <w:pPr>
        <w:pBdr>
          <w:top w:val="nil"/>
          <w:left w:val="nil"/>
          <w:bottom w:val="nil"/>
          <w:right w:val="nil"/>
          <w:between w:val="nil"/>
        </w:pBdr>
        <w:spacing w:before="0"/>
        <w:rPr>
          <w:rFonts w:eastAsia="Times New Roman" w:cs="Times New Roman"/>
          <w:b/>
          <w:i/>
        </w:rPr>
      </w:pPr>
      <w:r>
        <w:rPr>
          <w:rFonts w:eastAsia="Times New Roman" w:cs="Times New Roman"/>
          <w:b/>
          <w:i/>
        </w:rPr>
        <w:t>M.2 Crearea unui cadru coerent și integrat de planificare spațială la nivel zonal și local</w:t>
      </w:r>
    </w:p>
    <w:p w14:paraId="7496A325" w14:textId="77777777" w:rsidR="008B1BFC" w:rsidRDefault="008B1BFC" w:rsidP="002508D3">
      <w:pPr>
        <w:pBdr>
          <w:top w:val="nil"/>
          <w:left w:val="nil"/>
          <w:bottom w:val="nil"/>
          <w:right w:val="nil"/>
          <w:between w:val="nil"/>
        </w:pBdr>
        <w:spacing w:before="0"/>
        <w:ind w:firstLine="567"/>
        <w:rPr>
          <w:rFonts w:eastAsia="Times New Roman" w:cs="Times New Roman"/>
        </w:rPr>
      </w:pPr>
      <w:r>
        <w:rPr>
          <w:rFonts w:eastAsia="Times New Roman" w:cs="Times New Roman"/>
        </w:rPr>
        <w:t>Instituțiile responsabile pentru implementarea acestei măsuri sunt Ministerul Dezvoltării, Lucrărilor Publice și Administrației și autoritățile locale (prin Consilii Locale, Consiliile Județene Constanța și Tulcea). Finanțarea implementării măsurii se va asigura din fonduri proprii ale MDLPA și a autorităților locale.</w:t>
      </w:r>
    </w:p>
    <w:p w14:paraId="51FDAE30" w14:textId="77777777" w:rsidR="008B1BFC" w:rsidRDefault="008B1BFC" w:rsidP="002508D3">
      <w:pPr>
        <w:pBdr>
          <w:top w:val="nil"/>
          <w:left w:val="nil"/>
          <w:bottom w:val="nil"/>
          <w:right w:val="nil"/>
          <w:between w:val="nil"/>
        </w:pBdr>
        <w:spacing w:before="0"/>
        <w:rPr>
          <w:rFonts w:eastAsia="Times New Roman" w:cs="Times New Roman"/>
          <w:b/>
          <w:i/>
        </w:rPr>
      </w:pPr>
      <w:r>
        <w:rPr>
          <w:rFonts w:eastAsia="Times New Roman" w:cs="Times New Roman"/>
          <w:b/>
          <w:i/>
        </w:rPr>
        <w:t>M.3 Crearea unui mecanism eficient de implementare, monitorizare și verificare a instrumentelor de planificare spațială în zona costieră</w:t>
      </w:r>
    </w:p>
    <w:p w14:paraId="0C104913" w14:textId="77777777" w:rsidR="008B1BFC" w:rsidRDefault="008B1BFC" w:rsidP="002508D3">
      <w:pPr>
        <w:spacing w:before="0"/>
        <w:ind w:firstLine="540"/>
        <w:rPr>
          <w:rFonts w:eastAsia="Times New Roman" w:cs="Times New Roman"/>
        </w:rPr>
      </w:pPr>
      <w:r>
        <w:rPr>
          <w:rFonts w:eastAsia="Times New Roman" w:cs="Times New Roman"/>
          <w:color w:val="000000"/>
        </w:rPr>
        <w:t> Prin implementarea măsurii se va realiza o revizuire a procedurilor de avizare / aprobare a documentațiilor de amenajarea teritoriului și urbanism astfel încât să fie incluse prevederi referitoare la zona costieră. De asemenea, implementarea măsurii va permite tuturor celor 19 administrații locale și celor 2 consilii județene să fie permanent informate – la nivelul direcțiilor de amenajarea teritoriului și urbanism / al arhitecților șefi – asupra proiectelor de dezvoltare locală, prin realizare unui sistem de informare și comunicare digitalizat. </w:t>
      </w:r>
    </w:p>
    <w:p w14:paraId="67D00503" w14:textId="77777777" w:rsidR="008B1BFC" w:rsidRDefault="008B1BFC" w:rsidP="002508D3">
      <w:pPr>
        <w:spacing w:before="0"/>
        <w:ind w:firstLine="540"/>
        <w:rPr>
          <w:rFonts w:eastAsia="Times New Roman" w:cs="Times New Roman"/>
          <w:color w:val="000000"/>
        </w:rPr>
      </w:pPr>
      <w:r>
        <w:rPr>
          <w:rFonts w:eastAsia="Times New Roman" w:cs="Times New Roman"/>
          <w:color w:val="000000"/>
        </w:rPr>
        <w:t>Instituțiile responsabile pentru implementarea acestei măsuri sunt MDLPA, MMAP și autoritățile locale (prin Consilii Locale, Consiliile Județene Constanța și Tulcea). Finanțarea implementării măsurii se va asigura din fonduri proprii ale MDLPA, MMAP și a autorităților locale.</w:t>
      </w:r>
    </w:p>
    <w:p w14:paraId="2CA154E3" w14:textId="77777777" w:rsidR="002508D3" w:rsidRDefault="002508D3" w:rsidP="002508D3">
      <w:pPr>
        <w:spacing w:before="0"/>
        <w:ind w:firstLine="540"/>
        <w:rPr>
          <w:rFonts w:eastAsia="Times New Roman" w:cs="Times New Roman"/>
          <w:color w:val="000000"/>
        </w:rPr>
      </w:pPr>
    </w:p>
    <w:p w14:paraId="7F756CE8" w14:textId="77777777" w:rsidR="002508D3" w:rsidRDefault="002508D3" w:rsidP="002508D3">
      <w:pPr>
        <w:spacing w:before="0"/>
        <w:ind w:firstLine="540"/>
        <w:rPr>
          <w:rFonts w:eastAsia="Times New Roman" w:cs="Times New Roman"/>
          <w:color w:val="000000"/>
        </w:rPr>
      </w:pPr>
    </w:p>
    <w:p w14:paraId="090C2935" w14:textId="77777777" w:rsidR="002508D3" w:rsidRDefault="002508D3" w:rsidP="002508D3">
      <w:pPr>
        <w:spacing w:before="0"/>
        <w:ind w:firstLine="540"/>
        <w:rPr>
          <w:rFonts w:eastAsia="Times New Roman" w:cs="Times New Roman"/>
        </w:rPr>
        <w:sectPr w:rsidR="002508D3">
          <w:headerReference w:type="default" r:id="rId72"/>
          <w:footerReference w:type="default" r:id="rId73"/>
          <w:headerReference w:type="first" r:id="rId74"/>
          <w:pgSz w:w="11906" w:h="16838"/>
          <w:pgMar w:top="1440" w:right="1440" w:bottom="1440" w:left="1440" w:header="0" w:footer="0" w:gutter="0"/>
          <w:pgNumType w:start="1"/>
          <w:cols w:space="708"/>
          <w:titlePg/>
        </w:sectPr>
      </w:pPr>
    </w:p>
    <w:p w14:paraId="76A601C8" w14:textId="0EF478DE" w:rsidR="002508D3" w:rsidRDefault="002508D3" w:rsidP="002508D3">
      <w:pPr>
        <w:pStyle w:val="Heading2"/>
        <w:rPr>
          <w:sz w:val="24"/>
          <w:szCs w:val="24"/>
        </w:rPr>
      </w:pPr>
      <w:bookmarkStart w:id="144" w:name="_Toc150501476"/>
      <w:bookmarkStart w:id="145" w:name="_Toc169625154"/>
      <w:r>
        <w:lastRenderedPageBreak/>
        <w:t>2.8. Plan de activități</w:t>
      </w:r>
      <w:bookmarkEnd w:id="144"/>
      <w:bookmarkEnd w:id="145"/>
      <w:r>
        <w:t xml:space="preserve"> </w:t>
      </w:r>
    </w:p>
    <w:p w14:paraId="599F51F6" w14:textId="77777777" w:rsidR="002508D3" w:rsidRDefault="002508D3" w:rsidP="002508D3">
      <w:pPr>
        <w:spacing w:before="0"/>
        <w:rPr>
          <w:rFonts w:eastAsia="Times New Roman" w:cs="Times New Roman"/>
        </w:rPr>
      </w:pPr>
      <w:r>
        <w:rPr>
          <w:rFonts w:eastAsia="Times New Roman" w:cs="Times New Roman"/>
        </w:rPr>
        <w:t xml:space="preserve">Activitățile ce se vor realiza în vederea implementării </w:t>
      </w:r>
      <w:r>
        <w:rPr>
          <w:rFonts w:eastAsia="Times New Roman" w:cs="Times New Roman"/>
          <w:b/>
          <w:i/>
        </w:rPr>
        <w:t>Programului de Măsuri vizând cadrul legislativ și instituțional</w:t>
      </w:r>
      <w:r>
        <w:rPr>
          <w:rFonts w:eastAsia="Times New Roman" w:cs="Times New Roman"/>
        </w:rPr>
        <w:t xml:space="preserve"> sunt prezentate în Tabelul de mai jos, unde sunt indicate termenele de implementare, organizațiile responsabile pentru realizarea activităților, și implicit implementarea măsurilor, precum și posibilele surse de finanțare.</w:t>
      </w:r>
    </w:p>
    <w:tbl>
      <w:tblPr>
        <w:tblW w:w="14028" w:type="dxa"/>
        <w:tblBorders>
          <w:top w:val="nil"/>
          <w:left w:val="nil"/>
          <w:bottom w:val="nil"/>
          <w:right w:val="nil"/>
          <w:insideH w:val="nil"/>
          <w:insideV w:val="nil"/>
        </w:tblBorders>
        <w:tblLayout w:type="fixed"/>
        <w:tblLook w:val="0600" w:firstRow="0" w:lastRow="0" w:firstColumn="0" w:lastColumn="0" w:noHBand="1" w:noVBand="1"/>
      </w:tblPr>
      <w:tblGrid>
        <w:gridCol w:w="1837"/>
        <w:gridCol w:w="2126"/>
        <w:gridCol w:w="4111"/>
        <w:gridCol w:w="1418"/>
        <w:gridCol w:w="1417"/>
        <w:gridCol w:w="1418"/>
        <w:gridCol w:w="1701"/>
      </w:tblGrid>
      <w:tr w:rsidR="002508D3" w14:paraId="115E6339" w14:textId="77777777" w:rsidTr="002508D3">
        <w:trPr>
          <w:trHeight w:val="570"/>
        </w:trPr>
        <w:tc>
          <w:tcPr>
            <w:tcW w:w="1837" w:type="dxa"/>
            <w:tcBorders>
              <w:top w:val="single" w:sz="5" w:space="0" w:color="000000"/>
              <w:left w:val="single" w:sz="5" w:space="0" w:color="000000"/>
              <w:bottom w:val="single" w:sz="5" w:space="0" w:color="000000"/>
              <w:right w:val="single" w:sz="4" w:space="0" w:color="auto"/>
            </w:tcBorders>
            <w:tcMar>
              <w:top w:w="0" w:type="dxa"/>
              <w:left w:w="100" w:type="dxa"/>
              <w:bottom w:w="0" w:type="dxa"/>
              <w:right w:w="100" w:type="dxa"/>
            </w:tcMar>
          </w:tcPr>
          <w:p w14:paraId="50183165" w14:textId="77777777" w:rsidR="002508D3" w:rsidRDefault="002508D3" w:rsidP="002508D3">
            <w:pPr>
              <w:spacing w:after="0" w:line="240" w:lineRule="auto"/>
              <w:ind w:firstLine="36"/>
              <w:rPr>
                <w:rFonts w:eastAsia="Times New Roman" w:cs="Times New Roman"/>
                <w:sz w:val="20"/>
                <w:szCs w:val="20"/>
              </w:rPr>
            </w:pPr>
            <w:r>
              <w:rPr>
                <w:rFonts w:eastAsia="Times New Roman" w:cs="Times New Roman"/>
                <w:sz w:val="20"/>
                <w:szCs w:val="20"/>
              </w:rPr>
              <w:t>Masură</w:t>
            </w:r>
          </w:p>
        </w:tc>
        <w:tc>
          <w:tcPr>
            <w:tcW w:w="2126" w:type="dxa"/>
            <w:tcBorders>
              <w:top w:val="single" w:sz="4" w:space="0" w:color="auto"/>
              <w:left w:val="single" w:sz="4" w:space="0" w:color="auto"/>
              <w:bottom w:val="single" w:sz="4" w:space="0" w:color="auto"/>
              <w:right w:val="single" w:sz="4" w:space="0" w:color="auto"/>
            </w:tcBorders>
          </w:tcPr>
          <w:p w14:paraId="4B2BC02A" w14:textId="77777777" w:rsidR="002508D3" w:rsidRDefault="002508D3" w:rsidP="002508D3">
            <w:pPr>
              <w:spacing w:after="0" w:line="240" w:lineRule="auto"/>
              <w:ind w:firstLine="34"/>
              <w:rPr>
                <w:rFonts w:eastAsia="Times New Roman" w:cs="Times New Roman"/>
                <w:sz w:val="20"/>
                <w:szCs w:val="20"/>
              </w:rPr>
            </w:pPr>
            <w:r>
              <w:rPr>
                <w:rFonts w:eastAsia="Times New Roman" w:cs="Times New Roman"/>
                <w:sz w:val="20"/>
                <w:szCs w:val="20"/>
              </w:rPr>
              <w:t>Obiective vizate</w:t>
            </w:r>
          </w:p>
        </w:tc>
        <w:tc>
          <w:tcPr>
            <w:tcW w:w="4111" w:type="dxa"/>
            <w:tcBorders>
              <w:top w:val="single" w:sz="5" w:space="0" w:color="000000"/>
              <w:left w:val="single" w:sz="4" w:space="0" w:color="auto"/>
              <w:bottom w:val="single" w:sz="5" w:space="0" w:color="000000"/>
              <w:right w:val="single" w:sz="5" w:space="0" w:color="000000"/>
            </w:tcBorders>
            <w:tcMar>
              <w:top w:w="0" w:type="dxa"/>
              <w:left w:w="100" w:type="dxa"/>
              <w:bottom w:w="0" w:type="dxa"/>
              <w:right w:w="100" w:type="dxa"/>
            </w:tcMar>
          </w:tcPr>
          <w:p w14:paraId="6877E83E"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Activitate</w:t>
            </w:r>
          </w:p>
        </w:tc>
        <w:tc>
          <w:tcPr>
            <w:tcW w:w="1418"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5B157C52"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Prioritate</w:t>
            </w:r>
          </w:p>
        </w:tc>
        <w:tc>
          <w:tcPr>
            <w:tcW w:w="1417"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624F41E9"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Termen de implementare</w:t>
            </w:r>
          </w:p>
        </w:tc>
        <w:tc>
          <w:tcPr>
            <w:tcW w:w="1418"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15A0659C"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Instituții responsabile</w:t>
            </w:r>
          </w:p>
        </w:tc>
        <w:tc>
          <w:tcPr>
            <w:tcW w:w="1701"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4566BC9B"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Finanțare</w:t>
            </w:r>
          </w:p>
        </w:tc>
      </w:tr>
      <w:tr w:rsidR="002508D3" w14:paraId="78B05DC8" w14:textId="77777777" w:rsidTr="00473248">
        <w:trPr>
          <w:trHeight w:val="706"/>
        </w:trPr>
        <w:tc>
          <w:tcPr>
            <w:tcW w:w="1837" w:type="dxa"/>
            <w:vMerge w:val="restart"/>
            <w:tcBorders>
              <w:top w:val="nil"/>
              <w:left w:val="single" w:sz="6" w:space="0" w:color="000000"/>
              <w:bottom w:val="single" w:sz="5" w:space="0" w:color="000000"/>
              <w:right w:val="single" w:sz="4" w:space="0" w:color="auto"/>
            </w:tcBorders>
            <w:tcMar>
              <w:top w:w="0" w:type="dxa"/>
              <w:left w:w="100" w:type="dxa"/>
              <w:bottom w:w="0" w:type="dxa"/>
              <w:right w:w="100" w:type="dxa"/>
            </w:tcMar>
          </w:tcPr>
          <w:p w14:paraId="6D113E2C" w14:textId="77777777" w:rsidR="002508D3" w:rsidRDefault="002508D3" w:rsidP="002508D3">
            <w:pPr>
              <w:spacing w:after="0" w:line="240" w:lineRule="auto"/>
              <w:ind w:firstLine="36"/>
              <w:rPr>
                <w:rFonts w:eastAsia="Times New Roman" w:cs="Times New Roman"/>
                <w:sz w:val="20"/>
                <w:szCs w:val="20"/>
              </w:rPr>
            </w:pPr>
            <w:r>
              <w:rPr>
                <w:rFonts w:eastAsia="Times New Roman" w:cs="Times New Roman"/>
                <w:sz w:val="20"/>
                <w:szCs w:val="20"/>
              </w:rPr>
              <w:t>M1.1 Consolidarea mecanismului instituțional</w:t>
            </w:r>
          </w:p>
        </w:tc>
        <w:tc>
          <w:tcPr>
            <w:tcW w:w="2126" w:type="dxa"/>
            <w:vMerge w:val="restart"/>
            <w:tcBorders>
              <w:top w:val="single" w:sz="4" w:space="0" w:color="auto"/>
              <w:left w:val="single" w:sz="4" w:space="0" w:color="auto"/>
              <w:right w:val="single" w:sz="4" w:space="0" w:color="auto"/>
            </w:tcBorders>
          </w:tcPr>
          <w:p w14:paraId="498B0E3A" w14:textId="77777777" w:rsidR="002508D3" w:rsidRDefault="002508D3" w:rsidP="002508D3">
            <w:pPr>
              <w:spacing w:line="240" w:lineRule="auto"/>
              <w:ind w:firstLine="34"/>
              <w:rPr>
                <w:rFonts w:eastAsia="Times New Roman" w:cs="Times New Roman"/>
                <w:sz w:val="20"/>
                <w:szCs w:val="20"/>
              </w:rPr>
            </w:pPr>
            <w:r w:rsidRPr="004B4475">
              <w:rPr>
                <w:rFonts w:eastAsia="Times New Roman" w:cs="Times New Roman"/>
                <w:sz w:val="20"/>
                <w:szCs w:val="20"/>
              </w:rPr>
              <w:t>Os5.a Stabilirea / consolidarea mecanismului de coordonare a managementului integrat al zonei de coastă care să aducă împreună toate instituțiile responsabile ale statului român</w:t>
            </w:r>
            <w:r>
              <w:rPr>
                <w:rFonts w:eastAsia="Times New Roman" w:cs="Times New Roman"/>
                <w:sz w:val="20"/>
                <w:szCs w:val="20"/>
              </w:rPr>
              <w:t>;</w:t>
            </w:r>
          </w:p>
          <w:p w14:paraId="76ADA4CD" w14:textId="77777777" w:rsidR="002508D3" w:rsidRDefault="002508D3" w:rsidP="002508D3">
            <w:pPr>
              <w:spacing w:line="240" w:lineRule="auto"/>
              <w:ind w:firstLine="34"/>
              <w:rPr>
                <w:rFonts w:eastAsia="Times New Roman" w:cs="Times New Roman"/>
                <w:sz w:val="20"/>
                <w:szCs w:val="20"/>
                <w:highlight w:val="white"/>
              </w:rPr>
            </w:pPr>
            <w:r w:rsidRPr="004B4475">
              <w:rPr>
                <w:rFonts w:eastAsia="Times New Roman" w:cs="Times New Roman"/>
                <w:sz w:val="20"/>
                <w:szCs w:val="20"/>
              </w:rPr>
              <w:t>Os3.b. Stabilirea unui sistem performant de supraveghere a eficienței implementării planificării spațiale prin realizarea Geamănului Digital (Digital Twin) a litoralului românesc.</w:t>
            </w:r>
          </w:p>
        </w:tc>
        <w:tc>
          <w:tcPr>
            <w:tcW w:w="4111" w:type="dxa"/>
            <w:tcBorders>
              <w:top w:val="nil"/>
              <w:left w:val="single" w:sz="4" w:space="0" w:color="auto"/>
              <w:bottom w:val="single" w:sz="5" w:space="0" w:color="000000"/>
              <w:right w:val="single" w:sz="6" w:space="0" w:color="000000"/>
            </w:tcBorders>
            <w:tcMar>
              <w:top w:w="0" w:type="dxa"/>
              <w:left w:w="100" w:type="dxa"/>
              <w:bottom w:w="0" w:type="dxa"/>
              <w:right w:w="100" w:type="dxa"/>
            </w:tcMar>
          </w:tcPr>
          <w:p w14:paraId="7E985597" w14:textId="77777777" w:rsidR="002508D3" w:rsidRDefault="002508D3" w:rsidP="002508D3">
            <w:pPr>
              <w:spacing w:after="0" w:line="240" w:lineRule="auto"/>
              <w:ind w:firstLine="0"/>
              <w:rPr>
                <w:rFonts w:eastAsia="Times New Roman" w:cs="Times New Roman"/>
                <w:sz w:val="20"/>
                <w:szCs w:val="20"/>
                <w:highlight w:val="white"/>
              </w:rPr>
            </w:pPr>
            <w:r>
              <w:rPr>
                <w:rFonts w:eastAsia="Times New Roman" w:cs="Times New Roman"/>
                <w:sz w:val="20"/>
                <w:szCs w:val="20"/>
                <w:highlight w:val="white"/>
              </w:rPr>
              <w:t>A1.1.1 Revizuirea / completarea OUG 202/2002 cu privire la organizarea și componența CNZC</w:t>
            </w:r>
          </w:p>
          <w:p w14:paraId="35186B48"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 xml:space="preserve"> </w:t>
            </w:r>
          </w:p>
        </w:tc>
        <w:tc>
          <w:tcPr>
            <w:tcW w:w="1418" w:type="dxa"/>
            <w:tcBorders>
              <w:top w:val="nil"/>
              <w:left w:val="single" w:sz="6" w:space="0" w:color="000000"/>
              <w:bottom w:val="single" w:sz="5" w:space="0" w:color="000000"/>
              <w:right w:val="single" w:sz="5" w:space="0" w:color="000000"/>
            </w:tcBorders>
            <w:tcMar>
              <w:top w:w="0" w:type="dxa"/>
              <w:left w:w="100" w:type="dxa"/>
              <w:bottom w:w="0" w:type="dxa"/>
              <w:right w:w="100" w:type="dxa"/>
            </w:tcMar>
          </w:tcPr>
          <w:p w14:paraId="04D87284"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7" w:type="dxa"/>
            <w:tcBorders>
              <w:top w:val="nil"/>
              <w:left w:val="nil"/>
              <w:bottom w:val="single" w:sz="5" w:space="0" w:color="000000"/>
              <w:right w:val="single" w:sz="5" w:space="0" w:color="000000"/>
            </w:tcBorders>
            <w:tcMar>
              <w:top w:w="0" w:type="dxa"/>
              <w:left w:w="100" w:type="dxa"/>
              <w:bottom w:w="0" w:type="dxa"/>
              <w:right w:w="100" w:type="dxa"/>
            </w:tcMar>
          </w:tcPr>
          <w:p w14:paraId="7EADDEC2"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2025</w:t>
            </w:r>
          </w:p>
        </w:tc>
        <w:tc>
          <w:tcPr>
            <w:tcW w:w="1418" w:type="dxa"/>
            <w:vMerge w:val="restart"/>
            <w:tcBorders>
              <w:top w:val="nil"/>
              <w:left w:val="nil"/>
              <w:bottom w:val="single" w:sz="5" w:space="0" w:color="000000"/>
              <w:right w:val="single" w:sz="5" w:space="0" w:color="000000"/>
            </w:tcBorders>
            <w:tcMar>
              <w:top w:w="0" w:type="dxa"/>
              <w:left w:w="100" w:type="dxa"/>
              <w:bottom w:w="0" w:type="dxa"/>
              <w:right w:w="100" w:type="dxa"/>
            </w:tcMar>
          </w:tcPr>
          <w:p w14:paraId="6F47AA24"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 xml:space="preserve"> </w:t>
            </w:r>
          </w:p>
          <w:p w14:paraId="2B57160C"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 xml:space="preserve"> </w:t>
            </w:r>
          </w:p>
          <w:p w14:paraId="46F5A4A6"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 xml:space="preserve"> </w:t>
            </w:r>
          </w:p>
          <w:p w14:paraId="58BA496C"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 xml:space="preserve"> </w:t>
            </w:r>
          </w:p>
          <w:p w14:paraId="7D9F9B42"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 xml:space="preserve"> </w:t>
            </w:r>
          </w:p>
          <w:p w14:paraId="6F1429CF"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 xml:space="preserve"> </w:t>
            </w:r>
          </w:p>
          <w:p w14:paraId="7394EDB2"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 xml:space="preserve"> </w:t>
            </w:r>
          </w:p>
          <w:p w14:paraId="336FBD7A"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 xml:space="preserve"> </w:t>
            </w:r>
          </w:p>
          <w:p w14:paraId="60C4B5E1"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 xml:space="preserve"> </w:t>
            </w:r>
          </w:p>
          <w:p w14:paraId="75825A4B"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 xml:space="preserve"> </w:t>
            </w:r>
          </w:p>
          <w:p w14:paraId="45EF9D3F" w14:textId="4CC9E6AE" w:rsidR="002508D3" w:rsidRDefault="002508D3" w:rsidP="00EB53E0">
            <w:pPr>
              <w:spacing w:after="0" w:line="240" w:lineRule="auto"/>
              <w:ind w:firstLine="42"/>
              <w:rPr>
                <w:rFonts w:eastAsia="Times New Roman" w:cs="Times New Roman"/>
                <w:sz w:val="20"/>
                <w:szCs w:val="20"/>
              </w:rPr>
            </w:pPr>
            <w:r>
              <w:rPr>
                <w:rFonts w:eastAsia="Times New Roman" w:cs="Times New Roman"/>
                <w:sz w:val="20"/>
                <w:szCs w:val="20"/>
              </w:rPr>
              <w:t xml:space="preserve"> </w:t>
            </w:r>
          </w:p>
          <w:p w14:paraId="1470566D"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 xml:space="preserve"> </w:t>
            </w:r>
          </w:p>
          <w:p w14:paraId="34B05396"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 xml:space="preserve"> </w:t>
            </w:r>
          </w:p>
          <w:p w14:paraId="6B837FF9"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 xml:space="preserve"> </w:t>
            </w:r>
          </w:p>
          <w:p w14:paraId="2ED17589"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MMAP</w:t>
            </w:r>
          </w:p>
          <w:p w14:paraId="3496C8D6"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 xml:space="preserve"> </w:t>
            </w:r>
          </w:p>
        </w:tc>
        <w:tc>
          <w:tcPr>
            <w:tcW w:w="1701" w:type="dxa"/>
            <w:vMerge w:val="restart"/>
            <w:tcBorders>
              <w:top w:val="nil"/>
              <w:left w:val="nil"/>
              <w:bottom w:val="single" w:sz="5" w:space="0" w:color="000000"/>
              <w:right w:val="single" w:sz="5" w:space="0" w:color="000000"/>
            </w:tcBorders>
            <w:tcMar>
              <w:top w:w="0" w:type="dxa"/>
              <w:left w:w="100" w:type="dxa"/>
              <w:bottom w:w="0" w:type="dxa"/>
              <w:right w:w="100" w:type="dxa"/>
            </w:tcMar>
          </w:tcPr>
          <w:p w14:paraId="17A378D6"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 xml:space="preserve"> </w:t>
            </w:r>
          </w:p>
          <w:p w14:paraId="755F5AF8"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 xml:space="preserve"> </w:t>
            </w:r>
          </w:p>
          <w:p w14:paraId="6631C2E5"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 xml:space="preserve"> </w:t>
            </w:r>
          </w:p>
          <w:p w14:paraId="1E0EAD20"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 xml:space="preserve"> </w:t>
            </w:r>
          </w:p>
          <w:p w14:paraId="3414679D"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 xml:space="preserve"> </w:t>
            </w:r>
          </w:p>
          <w:p w14:paraId="0DD7B45A"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 xml:space="preserve"> </w:t>
            </w:r>
          </w:p>
          <w:p w14:paraId="272E8AA8"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 xml:space="preserve"> </w:t>
            </w:r>
          </w:p>
          <w:p w14:paraId="3F8A1E15"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 xml:space="preserve"> </w:t>
            </w:r>
          </w:p>
          <w:p w14:paraId="30B0D74F"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 xml:space="preserve"> </w:t>
            </w:r>
          </w:p>
          <w:p w14:paraId="0B40B6B6"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 xml:space="preserve"> </w:t>
            </w:r>
          </w:p>
          <w:p w14:paraId="4CAE22C2"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 xml:space="preserve"> </w:t>
            </w:r>
          </w:p>
          <w:p w14:paraId="4F78409F"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 xml:space="preserve"> </w:t>
            </w:r>
          </w:p>
          <w:p w14:paraId="5353ECED"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 xml:space="preserve"> </w:t>
            </w:r>
          </w:p>
          <w:p w14:paraId="55B51FC8"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 xml:space="preserve"> </w:t>
            </w:r>
          </w:p>
          <w:p w14:paraId="209113C6"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Bugetul propriu al MMAP</w:t>
            </w:r>
          </w:p>
        </w:tc>
      </w:tr>
      <w:tr w:rsidR="002508D3" w14:paraId="49D85D10" w14:textId="77777777" w:rsidTr="00473248">
        <w:trPr>
          <w:trHeight w:val="1702"/>
        </w:trPr>
        <w:tc>
          <w:tcPr>
            <w:tcW w:w="1837" w:type="dxa"/>
            <w:vMerge/>
            <w:tcBorders>
              <w:top w:val="nil"/>
              <w:left w:val="single" w:sz="6" w:space="0" w:color="000000"/>
              <w:bottom w:val="single" w:sz="5" w:space="0" w:color="000000"/>
              <w:right w:val="single" w:sz="4" w:space="0" w:color="auto"/>
            </w:tcBorders>
            <w:tcMar>
              <w:top w:w="0" w:type="dxa"/>
              <w:left w:w="100" w:type="dxa"/>
              <w:bottom w:w="0" w:type="dxa"/>
              <w:right w:w="100" w:type="dxa"/>
            </w:tcMar>
          </w:tcPr>
          <w:p w14:paraId="210AAD1B" w14:textId="77777777" w:rsidR="002508D3" w:rsidRDefault="002508D3" w:rsidP="002508D3">
            <w:pPr>
              <w:widowControl w:val="0"/>
              <w:pBdr>
                <w:top w:val="nil"/>
                <w:left w:val="nil"/>
                <w:bottom w:val="nil"/>
                <w:right w:val="nil"/>
                <w:between w:val="nil"/>
              </w:pBdr>
              <w:spacing w:after="0"/>
              <w:ind w:firstLine="36"/>
              <w:rPr>
                <w:rFonts w:eastAsia="Times New Roman" w:cs="Times New Roman"/>
                <w:sz w:val="20"/>
                <w:szCs w:val="20"/>
              </w:rPr>
            </w:pPr>
          </w:p>
        </w:tc>
        <w:tc>
          <w:tcPr>
            <w:tcW w:w="2126" w:type="dxa"/>
            <w:vMerge/>
            <w:tcBorders>
              <w:left w:val="single" w:sz="4" w:space="0" w:color="auto"/>
              <w:right w:val="single" w:sz="4" w:space="0" w:color="auto"/>
            </w:tcBorders>
          </w:tcPr>
          <w:p w14:paraId="319FAA91" w14:textId="77777777" w:rsidR="002508D3" w:rsidRDefault="002508D3" w:rsidP="002508D3">
            <w:pPr>
              <w:spacing w:after="0" w:line="240" w:lineRule="auto"/>
              <w:ind w:firstLine="34"/>
              <w:rPr>
                <w:rFonts w:eastAsia="Times New Roman" w:cs="Times New Roman"/>
                <w:sz w:val="20"/>
                <w:szCs w:val="20"/>
                <w:highlight w:val="white"/>
              </w:rPr>
            </w:pPr>
          </w:p>
        </w:tc>
        <w:tc>
          <w:tcPr>
            <w:tcW w:w="4111" w:type="dxa"/>
            <w:tcBorders>
              <w:top w:val="nil"/>
              <w:left w:val="single" w:sz="4" w:space="0" w:color="auto"/>
              <w:bottom w:val="single" w:sz="5" w:space="0" w:color="000000"/>
              <w:right w:val="single" w:sz="6" w:space="0" w:color="000000"/>
            </w:tcBorders>
            <w:shd w:val="clear" w:color="auto" w:fill="auto"/>
            <w:tcMar>
              <w:top w:w="0" w:type="dxa"/>
              <w:left w:w="100" w:type="dxa"/>
              <w:bottom w:w="0" w:type="dxa"/>
              <w:right w:w="100" w:type="dxa"/>
            </w:tcMar>
          </w:tcPr>
          <w:p w14:paraId="555F5AA3" w14:textId="77777777" w:rsidR="002508D3" w:rsidRDefault="002508D3" w:rsidP="002508D3">
            <w:pPr>
              <w:spacing w:after="0" w:line="240" w:lineRule="auto"/>
              <w:ind w:firstLine="0"/>
              <w:rPr>
                <w:rFonts w:eastAsia="Times New Roman" w:cs="Times New Roman"/>
                <w:sz w:val="20"/>
                <w:szCs w:val="20"/>
                <w:highlight w:val="white"/>
              </w:rPr>
            </w:pPr>
            <w:r>
              <w:rPr>
                <w:rFonts w:eastAsia="Times New Roman" w:cs="Times New Roman"/>
                <w:sz w:val="20"/>
                <w:szCs w:val="20"/>
                <w:highlight w:val="white"/>
              </w:rPr>
              <w:t>A 1.1.2 Revizuirea actelor normative subsecvente pentru funcționarea CNZC (pentru aprobarea regulamentului de funcționare), precum și completarea cu alte reglementări pentru aprobarea proceduri de lucru pentru grupurile de experți, cooperarea cu STA-ZC, emiterea avizelor, etc.</w:t>
            </w:r>
          </w:p>
        </w:tc>
        <w:tc>
          <w:tcPr>
            <w:tcW w:w="1418" w:type="dxa"/>
            <w:tcBorders>
              <w:top w:val="nil"/>
              <w:left w:val="single" w:sz="6" w:space="0" w:color="000000"/>
              <w:bottom w:val="single" w:sz="5" w:space="0" w:color="000000"/>
              <w:right w:val="single" w:sz="5" w:space="0" w:color="000000"/>
            </w:tcBorders>
            <w:shd w:val="clear" w:color="auto" w:fill="auto"/>
            <w:tcMar>
              <w:top w:w="0" w:type="dxa"/>
              <w:left w:w="100" w:type="dxa"/>
              <w:bottom w:w="0" w:type="dxa"/>
              <w:right w:w="100" w:type="dxa"/>
            </w:tcMar>
          </w:tcPr>
          <w:p w14:paraId="4624F083"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22BAE81"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2025</w:t>
            </w:r>
          </w:p>
        </w:tc>
        <w:tc>
          <w:tcPr>
            <w:tcW w:w="1418" w:type="dxa"/>
            <w:vMerge/>
            <w:tcBorders>
              <w:top w:val="nil"/>
              <w:left w:val="nil"/>
              <w:bottom w:val="single" w:sz="5" w:space="0" w:color="000000"/>
              <w:right w:val="single" w:sz="5" w:space="0" w:color="000000"/>
            </w:tcBorders>
            <w:tcMar>
              <w:top w:w="0" w:type="dxa"/>
              <w:left w:w="100" w:type="dxa"/>
              <w:bottom w:w="0" w:type="dxa"/>
              <w:right w:w="100" w:type="dxa"/>
            </w:tcMar>
          </w:tcPr>
          <w:p w14:paraId="30D24755" w14:textId="77777777" w:rsidR="002508D3" w:rsidRDefault="002508D3" w:rsidP="002508D3">
            <w:pPr>
              <w:widowControl w:val="0"/>
              <w:pBdr>
                <w:top w:val="nil"/>
                <w:left w:val="nil"/>
                <w:bottom w:val="nil"/>
                <w:right w:val="nil"/>
                <w:between w:val="nil"/>
              </w:pBdr>
              <w:spacing w:after="0"/>
              <w:ind w:firstLine="42"/>
              <w:rPr>
                <w:rFonts w:eastAsia="Times New Roman" w:cs="Times New Roman"/>
                <w:sz w:val="20"/>
                <w:szCs w:val="20"/>
              </w:rPr>
            </w:pPr>
          </w:p>
        </w:tc>
        <w:tc>
          <w:tcPr>
            <w:tcW w:w="1701" w:type="dxa"/>
            <w:vMerge/>
            <w:tcBorders>
              <w:top w:val="nil"/>
              <w:left w:val="nil"/>
              <w:bottom w:val="single" w:sz="5" w:space="0" w:color="000000"/>
              <w:right w:val="single" w:sz="5" w:space="0" w:color="000000"/>
            </w:tcBorders>
            <w:tcMar>
              <w:top w:w="0" w:type="dxa"/>
              <w:left w:w="100" w:type="dxa"/>
              <w:bottom w:w="0" w:type="dxa"/>
              <w:right w:w="100" w:type="dxa"/>
            </w:tcMar>
          </w:tcPr>
          <w:p w14:paraId="0E0751C3" w14:textId="77777777" w:rsidR="002508D3" w:rsidRDefault="002508D3" w:rsidP="002508D3">
            <w:pPr>
              <w:widowControl w:val="0"/>
              <w:pBdr>
                <w:top w:val="nil"/>
                <w:left w:val="nil"/>
                <w:bottom w:val="nil"/>
                <w:right w:val="nil"/>
                <w:between w:val="nil"/>
              </w:pBdr>
              <w:spacing w:after="0"/>
              <w:ind w:firstLine="41"/>
              <w:rPr>
                <w:rFonts w:eastAsia="Times New Roman" w:cs="Times New Roman"/>
                <w:sz w:val="20"/>
                <w:szCs w:val="20"/>
              </w:rPr>
            </w:pPr>
          </w:p>
        </w:tc>
      </w:tr>
      <w:tr w:rsidR="002508D3" w14:paraId="08C52A43" w14:textId="77777777" w:rsidTr="00473248">
        <w:trPr>
          <w:trHeight w:val="708"/>
        </w:trPr>
        <w:tc>
          <w:tcPr>
            <w:tcW w:w="1837" w:type="dxa"/>
            <w:vMerge/>
            <w:tcBorders>
              <w:top w:val="nil"/>
              <w:left w:val="single" w:sz="6" w:space="0" w:color="000000"/>
              <w:bottom w:val="single" w:sz="5" w:space="0" w:color="000000"/>
              <w:right w:val="single" w:sz="4" w:space="0" w:color="auto"/>
            </w:tcBorders>
            <w:tcMar>
              <w:top w:w="0" w:type="dxa"/>
              <w:left w:w="100" w:type="dxa"/>
              <w:bottom w:w="0" w:type="dxa"/>
              <w:right w:w="100" w:type="dxa"/>
            </w:tcMar>
          </w:tcPr>
          <w:p w14:paraId="0C7703A3" w14:textId="77777777" w:rsidR="002508D3" w:rsidRDefault="002508D3" w:rsidP="002508D3">
            <w:pPr>
              <w:widowControl w:val="0"/>
              <w:pBdr>
                <w:top w:val="nil"/>
                <w:left w:val="nil"/>
                <w:bottom w:val="nil"/>
                <w:right w:val="nil"/>
                <w:between w:val="nil"/>
              </w:pBdr>
              <w:spacing w:after="0"/>
              <w:ind w:firstLine="36"/>
              <w:rPr>
                <w:rFonts w:eastAsia="Times New Roman" w:cs="Times New Roman"/>
                <w:sz w:val="20"/>
                <w:szCs w:val="20"/>
              </w:rPr>
            </w:pPr>
          </w:p>
        </w:tc>
        <w:tc>
          <w:tcPr>
            <w:tcW w:w="2126" w:type="dxa"/>
            <w:vMerge/>
            <w:tcBorders>
              <w:left w:val="single" w:sz="4" w:space="0" w:color="auto"/>
              <w:right w:val="single" w:sz="4" w:space="0" w:color="auto"/>
            </w:tcBorders>
          </w:tcPr>
          <w:p w14:paraId="4CD32901" w14:textId="77777777" w:rsidR="002508D3" w:rsidRDefault="002508D3" w:rsidP="002508D3">
            <w:pPr>
              <w:spacing w:after="0" w:line="240" w:lineRule="auto"/>
              <w:ind w:firstLine="34"/>
              <w:rPr>
                <w:rFonts w:eastAsia="Times New Roman" w:cs="Times New Roman"/>
                <w:sz w:val="20"/>
                <w:szCs w:val="20"/>
                <w:highlight w:val="white"/>
              </w:rPr>
            </w:pPr>
          </w:p>
        </w:tc>
        <w:tc>
          <w:tcPr>
            <w:tcW w:w="4111" w:type="dxa"/>
            <w:tcBorders>
              <w:top w:val="nil"/>
              <w:left w:val="single" w:sz="4" w:space="0" w:color="auto"/>
              <w:bottom w:val="single" w:sz="5" w:space="0" w:color="000000"/>
              <w:right w:val="single" w:sz="6" w:space="0" w:color="000000"/>
            </w:tcBorders>
            <w:shd w:val="clear" w:color="auto" w:fill="auto"/>
            <w:tcMar>
              <w:top w:w="0" w:type="dxa"/>
              <w:left w:w="100" w:type="dxa"/>
              <w:bottom w:w="0" w:type="dxa"/>
              <w:right w:w="100" w:type="dxa"/>
            </w:tcMar>
          </w:tcPr>
          <w:p w14:paraId="5BD8EC52" w14:textId="77777777" w:rsidR="002508D3" w:rsidRDefault="002508D3" w:rsidP="002508D3">
            <w:pPr>
              <w:spacing w:after="0" w:line="240" w:lineRule="auto"/>
              <w:ind w:firstLine="0"/>
              <w:rPr>
                <w:rFonts w:eastAsia="Times New Roman" w:cs="Times New Roman"/>
                <w:sz w:val="20"/>
                <w:szCs w:val="20"/>
                <w:highlight w:val="white"/>
              </w:rPr>
            </w:pPr>
            <w:r>
              <w:rPr>
                <w:rFonts w:eastAsia="Times New Roman" w:cs="Times New Roman"/>
                <w:sz w:val="20"/>
                <w:szCs w:val="20"/>
                <w:highlight w:val="white"/>
              </w:rPr>
              <w:t>A 1.1.3 Realizarea unei liste largi cu experți în vederea selectării acestora în vederea constituirii Grupurilor de Lucru</w:t>
            </w:r>
          </w:p>
        </w:tc>
        <w:tc>
          <w:tcPr>
            <w:tcW w:w="1418" w:type="dxa"/>
            <w:tcBorders>
              <w:top w:val="nil"/>
              <w:left w:val="single" w:sz="6" w:space="0" w:color="000000"/>
              <w:bottom w:val="single" w:sz="5" w:space="0" w:color="000000"/>
              <w:right w:val="single" w:sz="5" w:space="0" w:color="000000"/>
            </w:tcBorders>
            <w:shd w:val="clear" w:color="auto" w:fill="auto"/>
            <w:tcMar>
              <w:top w:w="0" w:type="dxa"/>
              <w:left w:w="100" w:type="dxa"/>
              <w:bottom w:w="0" w:type="dxa"/>
              <w:right w:w="100" w:type="dxa"/>
            </w:tcMar>
          </w:tcPr>
          <w:p w14:paraId="2BEEE147"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6453252"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2025</w:t>
            </w:r>
          </w:p>
        </w:tc>
        <w:tc>
          <w:tcPr>
            <w:tcW w:w="1418" w:type="dxa"/>
            <w:vMerge/>
            <w:tcBorders>
              <w:top w:val="nil"/>
              <w:left w:val="nil"/>
              <w:bottom w:val="single" w:sz="5" w:space="0" w:color="000000"/>
              <w:right w:val="single" w:sz="5" w:space="0" w:color="000000"/>
            </w:tcBorders>
            <w:tcMar>
              <w:top w:w="0" w:type="dxa"/>
              <w:left w:w="100" w:type="dxa"/>
              <w:bottom w:w="0" w:type="dxa"/>
              <w:right w:w="100" w:type="dxa"/>
            </w:tcMar>
          </w:tcPr>
          <w:p w14:paraId="27A818E1" w14:textId="77777777" w:rsidR="002508D3" w:rsidRDefault="002508D3" w:rsidP="002508D3">
            <w:pPr>
              <w:widowControl w:val="0"/>
              <w:pBdr>
                <w:top w:val="nil"/>
                <w:left w:val="nil"/>
                <w:bottom w:val="nil"/>
                <w:right w:val="nil"/>
                <w:between w:val="nil"/>
              </w:pBdr>
              <w:spacing w:after="0"/>
              <w:ind w:firstLine="42"/>
              <w:rPr>
                <w:rFonts w:eastAsia="Times New Roman" w:cs="Times New Roman"/>
                <w:sz w:val="20"/>
                <w:szCs w:val="20"/>
              </w:rPr>
            </w:pPr>
          </w:p>
        </w:tc>
        <w:tc>
          <w:tcPr>
            <w:tcW w:w="1701" w:type="dxa"/>
            <w:vMerge/>
            <w:tcBorders>
              <w:top w:val="nil"/>
              <w:left w:val="nil"/>
              <w:bottom w:val="single" w:sz="5" w:space="0" w:color="000000"/>
              <w:right w:val="single" w:sz="5" w:space="0" w:color="000000"/>
            </w:tcBorders>
            <w:tcMar>
              <w:top w:w="0" w:type="dxa"/>
              <w:left w:w="100" w:type="dxa"/>
              <w:bottom w:w="0" w:type="dxa"/>
              <w:right w:w="100" w:type="dxa"/>
            </w:tcMar>
          </w:tcPr>
          <w:p w14:paraId="76CF4634" w14:textId="77777777" w:rsidR="002508D3" w:rsidRDefault="002508D3" w:rsidP="002508D3">
            <w:pPr>
              <w:widowControl w:val="0"/>
              <w:pBdr>
                <w:top w:val="nil"/>
                <w:left w:val="nil"/>
                <w:bottom w:val="nil"/>
                <w:right w:val="nil"/>
                <w:between w:val="nil"/>
              </w:pBdr>
              <w:spacing w:after="0"/>
              <w:ind w:firstLine="41"/>
              <w:rPr>
                <w:rFonts w:eastAsia="Times New Roman" w:cs="Times New Roman"/>
                <w:sz w:val="20"/>
                <w:szCs w:val="20"/>
              </w:rPr>
            </w:pPr>
          </w:p>
        </w:tc>
      </w:tr>
      <w:tr w:rsidR="002508D3" w14:paraId="7D14475C" w14:textId="77777777" w:rsidTr="00473248">
        <w:trPr>
          <w:trHeight w:val="1034"/>
        </w:trPr>
        <w:tc>
          <w:tcPr>
            <w:tcW w:w="1837" w:type="dxa"/>
            <w:vMerge/>
            <w:tcBorders>
              <w:top w:val="nil"/>
              <w:left w:val="single" w:sz="6" w:space="0" w:color="000000"/>
              <w:bottom w:val="single" w:sz="5" w:space="0" w:color="000000"/>
              <w:right w:val="single" w:sz="4" w:space="0" w:color="auto"/>
            </w:tcBorders>
            <w:tcMar>
              <w:top w:w="0" w:type="dxa"/>
              <w:left w:w="100" w:type="dxa"/>
              <w:bottom w:w="0" w:type="dxa"/>
              <w:right w:w="100" w:type="dxa"/>
            </w:tcMar>
          </w:tcPr>
          <w:p w14:paraId="0EF2F913" w14:textId="77777777" w:rsidR="002508D3" w:rsidRDefault="002508D3" w:rsidP="002508D3">
            <w:pPr>
              <w:widowControl w:val="0"/>
              <w:pBdr>
                <w:top w:val="nil"/>
                <w:left w:val="nil"/>
                <w:bottom w:val="nil"/>
                <w:right w:val="nil"/>
                <w:between w:val="nil"/>
              </w:pBdr>
              <w:spacing w:after="0"/>
              <w:ind w:firstLine="36"/>
              <w:rPr>
                <w:rFonts w:eastAsia="Times New Roman" w:cs="Times New Roman"/>
                <w:sz w:val="20"/>
                <w:szCs w:val="20"/>
              </w:rPr>
            </w:pPr>
          </w:p>
        </w:tc>
        <w:tc>
          <w:tcPr>
            <w:tcW w:w="2126" w:type="dxa"/>
            <w:vMerge/>
            <w:tcBorders>
              <w:left w:val="single" w:sz="4" w:space="0" w:color="auto"/>
              <w:right w:val="single" w:sz="4" w:space="0" w:color="auto"/>
            </w:tcBorders>
          </w:tcPr>
          <w:p w14:paraId="1A4A123D" w14:textId="77777777" w:rsidR="002508D3" w:rsidRDefault="002508D3" w:rsidP="002508D3">
            <w:pPr>
              <w:spacing w:after="0" w:line="240" w:lineRule="auto"/>
              <w:ind w:firstLine="34"/>
              <w:rPr>
                <w:rFonts w:eastAsia="Times New Roman" w:cs="Times New Roman"/>
                <w:sz w:val="20"/>
                <w:szCs w:val="20"/>
              </w:rPr>
            </w:pPr>
          </w:p>
        </w:tc>
        <w:tc>
          <w:tcPr>
            <w:tcW w:w="4111" w:type="dxa"/>
            <w:tcBorders>
              <w:top w:val="nil"/>
              <w:left w:val="single" w:sz="4" w:space="0" w:color="auto"/>
              <w:bottom w:val="single" w:sz="5" w:space="0" w:color="000000"/>
              <w:right w:val="single" w:sz="6" w:space="0" w:color="000000"/>
            </w:tcBorders>
            <w:shd w:val="clear" w:color="auto" w:fill="auto"/>
            <w:tcMar>
              <w:top w:w="0" w:type="dxa"/>
              <w:left w:w="100" w:type="dxa"/>
              <w:bottom w:w="0" w:type="dxa"/>
              <w:right w:w="100" w:type="dxa"/>
            </w:tcMar>
          </w:tcPr>
          <w:p w14:paraId="26AA7AD0"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1.1.4 Elaborarea unui studiu pentru stabilirea structurii bazei de date a Observatorului zonei costiere și a soluțiilor instituționale pentru gestionare</w:t>
            </w:r>
          </w:p>
        </w:tc>
        <w:tc>
          <w:tcPr>
            <w:tcW w:w="1418" w:type="dxa"/>
            <w:tcBorders>
              <w:top w:val="nil"/>
              <w:left w:val="single" w:sz="6" w:space="0" w:color="000000"/>
              <w:bottom w:val="single" w:sz="5" w:space="0" w:color="000000"/>
              <w:right w:val="single" w:sz="5" w:space="0" w:color="000000"/>
            </w:tcBorders>
            <w:shd w:val="clear" w:color="auto" w:fill="auto"/>
            <w:tcMar>
              <w:top w:w="0" w:type="dxa"/>
              <w:left w:w="100" w:type="dxa"/>
              <w:bottom w:w="0" w:type="dxa"/>
              <w:right w:w="100" w:type="dxa"/>
            </w:tcMar>
          </w:tcPr>
          <w:p w14:paraId="7536506E"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FB8881E"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2025</w:t>
            </w:r>
          </w:p>
        </w:tc>
        <w:tc>
          <w:tcPr>
            <w:tcW w:w="1418" w:type="dxa"/>
            <w:vMerge/>
            <w:tcBorders>
              <w:top w:val="nil"/>
              <w:left w:val="nil"/>
              <w:bottom w:val="single" w:sz="5" w:space="0" w:color="000000"/>
              <w:right w:val="single" w:sz="5" w:space="0" w:color="000000"/>
            </w:tcBorders>
            <w:tcMar>
              <w:top w:w="0" w:type="dxa"/>
              <w:left w:w="100" w:type="dxa"/>
              <w:bottom w:w="0" w:type="dxa"/>
              <w:right w:w="100" w:type="dxa"/>
            </w:tcMar>
          </w:tcPr>
          <w:p w14:paraId="254ABFFD" w14:textId="77777777" w:rsidR="002508D3" w:rsidRDefault="002508D3" w:rsidP="002508D3">
            <w:pPr>
              <w:widowControl w:val="0"/>
              <w:pBdr>
                <w:top w:val="nil"/>
                <w:left w:val="nil"/>
                <w:bottom w:val="nil"/>
                <w:right w:val="nil"/>
                <w:between w:val="nil"/>
              </w:pBdr>
              <w:spacing w:after="0"/>
              <w:ind w:firstLine="42"/>
              <w:rPr>
                <w:rFonts w:eastAsia="Times New Roman" w:cs="Times New Roman"/>
                <w:sz w:val="20"/>
                <w:szCs w:val="20"/>
              </w:rPr>
            </w:pPr>
          </w:p>
        </w:tc>
        <w:tc>
          <w:tcPr>
            <w:tcW w:w="1701" w:type="dxa"/>
            <w:vMerge/>
            <w:tcBorders>
              <w:top w:val="nil"/>
              <w:left w:val="nil"/>
              <w:bottom w:val="single" w:sz="5" w:space="0" w:color="000000"/>
              <w:right w:val="single" w:sz="5" w:space="0" w:color="000000"/>
            </w:tcBorders>
            <w:tcMar>
              <w:top w:w="0" w:type="dxa"/>
              <w:left w:w="100" w:type="dxa"/>
              <w:bottom w:w="0" w:type="dxa"/>
              <w:right w:w="100" w:type="dxa"/>
            </w:tcMar>
          </w:tcPr>
          <w:p w14:paraId="3FB425A0" w14:textId="77777777" w:rsidR="002508D3" w:rsidRDefault="002508D3" w:rsidP="002508D3">
            <w:pPr>
              <w:widowControl w:val="0"/>
              <w:pBdr>
                <w:top w:val="nil"/>
                <w:left w:val="nil"/>
                <w:bottom w:val="nil"/>
                <w:right w:val="nil"/>
                <w:between w:val="nil"/>
              </w:pBdr>
              <w:spacing w:after="0"/>
              <w:ind w:firstLine="41"/>
              <w:rPr>
                <w:rFonts w:eastAsia="Times New Roman" w:cs="Times New Roman"/>
                <w:sz w:val="20"/>
                <w:szCs w:val="20"/>
              </w:rPr>
            </w:pPr>
          </w:p>
        </w:tc>
      </w:tr>
      <w:tr w:rsidR="002508D3" w14:paraId="19EC15E2" w14:textId="77777777" w:rsidTr="00473248">
        <w:trPr>
          <w:trHeight w:val="629"/>
        </w:trPr>
        <w:tc>
          <w:tcPr>
            <w:tcW w:w="1837" w:type="dxa"/>
            <w:vMerge/>
            <w:tcBorders>
              <w:top w:val="nil"/>
              <w:left w:val="single" w:sz="6" w:space="0" w:color="000000"/>
              <w:bottom w:val="single" w:sz="5" w:space="0" w:color="000000"/>
              <w:right w:val="single" w:sz="4" w:space="0" w:color="auto"/>
            </w:tcBorders>
            <w:tcMar>
              <w:top w:w="0" w:type="dxa"/>
              <w:left w:w="100" w:type="dxa"/>
              <w:bottom w:w="0" w:type="dxa"/>
              <w:right w:w="100" w:type="dxa"/>
            </w:tcMar>
          </w:tcPr>
          <w:p w14:paraId="0E028544" w14:textId="77777777" w:rsidR="002508D3" w:rsidRDefault="002508D3" w:rsidP="002508D3">
            <w:pPr>
              <w:widowControl w:val="0"/>
              <w:pBdr>
                <w:top w:val="nil"/>
                <w:left w:val="nil"/>
                <w:bottom w:val="nil"/>
                <w:right w:val="nil"/>
                <w:between w:val="nil"/>
              </w:pBdr>
              <w:spacing w:after="0"/>
              <w:ind w:firstLine="36"/>
              <w:rPr>
                <w:rFonts w:eastAsia="Times New Roman" w:cs="Times New Roman"/>
                <w:sz w:val="20"/>
                <w:szCs w:val="20"/>
              </w:rPr>
            </w:pPr>
          </w:p>
        </w:tc>
        <w:tc>
          <w:tcPr>
            <w:tcW w:w="2126" w:type="dxa"/>
            <w:vMerge/>
            <w:tcBorders>
              <w:left w:val="single" w:sz="4" w:space="0" w:color="auto"/>
              <w:right w:val="single" w:sz="4" w:space="0" w:color="auto"/>
            </w:tcBorders>
          </w:tcPr>
          <w:p w14:paraId="11BF4A76" w14:textId="77777777" w:rsidR="002508D3" w:rsidRDefault="002508D3" w:rsidP="002508D3">
            <w:pPr>
              <w:spacing w:after="0" w:line="240" w:lineRule="auto"/>
              <w:ind w:firstLine="34"/>
              <w:rPr>
                <w:rFonts w:eastAsia="Times New Roman" w:cs="Times New Roman"/>
                <w:sz w:val="20"/>
                <w:szCs w:val="20"/>
              </w:rPr>
            </w:pPr>
          </w:p>
        </w:tc>
        <w:tc>
          <w:tcPr>
            <w:tcW w:w="4111" w:type="dxa"/>
            <w:tcBorders>
              <w:top w:val="nil"/>
              <w:left w:val="single" w:sz="4" w:space="0" w:color="auto"/>
              <w:bottom w:val="single" w:sz="5" w:space="0" w:color="000000"/>
              <w:right w:val="single" w:sz="6" w:space="0" w:color="000000"/>
            </w:tcBorders>
            <w:shd w:val="clear" w:color="auto" w:fill="auto"/>
            <w:tcMar>
              <w:top w:w="0" w:type="dxa"/>
              <w:left w:w="100" w:type="dxa"/>
              <w:bottom w:w="0" w:type="dxa"/>
              <w:right w:w="100" w:type="dxa"/>
            </w:tcMar>
          </w:tcPr>
          <w:p w14:paraId="729852A7"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1.1.5 Elaborarea și aprobarea reglementărilor necesare înființării și funcționării</w:t>
            </w:r>
          </w:p>
        </w:tc>
        <w:tc>
          <w:tcPr>
            <w:tcW w:w="1418" w:type="dxa"/>
            <w:tcBorders>
              <w:top w:val="nil"/>
              <w:left w:val="single" w:sz="6" w:space="0" w:color="000000"/>
              <w:bottom w:val="single" w:sz="5" w:space="0" w:color="000000"/>
              <w:right w:val="single" w:sz="5" w:space="0" w:color="000000"/>
            </w:tcBorders>
            <w:shd w:val="clear" w:color="auto" w:fill="auto"/>
            <w:tcMar>
              <w:top w:w="0" w:type="dxa"/>
              <w:left w:w="100" w:type="dxa"/>
              <w:bottom w:w="0" w:type="dxa"/>
              <w:right w:w="100" w:type="dxa"/>
            </w:tcMar>
          </w:tcPr>
          <w:p w14:paraId="58A7BCF0"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6082F29"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2025</w:t>
            </w:r>
          </w:p>
        </w:tc>
        <w:tc>
          <w:tcPr>
            <w:tcW w:w="1418" w:type="dxa"/>
            <w:vMerge/>
            <w:tcBorders>
              <w:top w:val="nil"/>
              <w:left w:val="nil"/>
              <w:bottom w:val="single" w:sz="5" w:space="0" w:color="000000"/>
              <w:right w:val="single" w:sz="5" w:space="0" w:color="000000"/>
            </w:tcBorders>
            <w:tcMar>
              <w:top w:w="0" w:type="dxa"/>
              <w:left w:w="100" w:type="dxa"/>
              <w:bottom w:w="0" w:type="dxa"/>
              <w:right w:w="100" w:type="dxa"/>
            </w:tcMar>
          </w:tcPr>
          <w:p w14:paraId="730607EA" w14:textId="77777777" w:rsidR="002508D3" w:rsidRDefault="002508D3" w:rsidP="002508D3">
            <w:pPr>
              <w:widowControl w:val="0"/>
              <w:pBdr>
                <w:top w:val="nil"/>
                <w:left w:val="nil"/>
                <w:bottom w:val="nil"/>
                <w:right w:val="nil"/>
                <w:between w:val="nil"/>
              </w:pBdr>
              <w:spacing w:after="0"/>
              <w:ind w:firstLine="42"/>
              <w:rPr>
                <w:rFonts w:eastAsia="Times New Roman" w:cs="Times New Roman"/>
                <w:sz w:val="20"/>
                <w:szCs w:val="20"/>
              </w:rPr>
            </w:pPr>
          </w:p>
        </w:tc>
        <w:tc>
          <w:tcPr>
            <w:tcW w:w="1701" w:type="dxa"/>
            <w:vMerge/>
            <w:tcBorders>
              <w:top w:val="nil"/>
              <w:left w:val="nil"/>
              <w:bottom w:val="single" w:sz="5" w:space="0" w:color="000000"/>
              <w:right w:val="single" w:sz="5" w:space="0" w:color="000000"/>
            </w:tcBorders>
            <w:tcMar>
              <w:top w:w="0" w:type="dxa"/>
              <w:left w:w="100" w:type="dxa"/>
              <w:bottom w:w="0" w:type="dxa"/>
              <w:right w:w="100" w:type="dxa"/>
            </w:tcMar>
          </w:tcPr>
          <w:p w14:paraId="496A9BE9" w14:textId="77777777" w:rsidR="002508D3" w:rsidRDefault="002508D3" w:rsidP="002508D3">
            <w:pPr>
              <w:widowControl w:val="0"/>
              <w:pBdr>
                <w:top w:val="nil"/>
                <w:left w:val="nil"/>
                <w:bottom w:val="nil"/>
                <w:right w:val="nil"/>
                <w:between w:val="nil"/>
              </w:pBdr>
              <w:spacing w:after="0"/>
              <w:ind w:firstLine="41"/>
              <w:rPr>
                <w:rFonts w:eastAsia="Times New Roman" w:cs="Times New Roman"/>
                <w:sz w:val="20"/>
                <w:szCs w:val="20"/>
              </w:rPr>
            </w:pPr>
          </w:p>
        </w:tc>
      </w:tr>
      <w:tr w:rsidR="002508D3" w14:paraId="41AC75F1" w14:textId="77777777" w:rsidTr="00EB53E0">
        <w:trPr>
          <w:trHeight w:val="420"/>
        </w:trPr>
        <w:tc>
          <w:tcPr>
            <w:tcW w:w="1837" w:type="dxa"/>
            <w:vMerge/>
            <w:tcBorders>
              <w:top w:val="nil"/>
              <w:left w:val="single" w:sz="6" w:space="0" w:color="000000"/>
              <w:bottom w:val="single" w:sz="4" w:space="0" w:color="auto"/>
              <w:right w:val="single" w:sz="4" w:space="0" w:color="auto"/>
            </w:tcBorders>
            <w:tcMar>
              <w:top w:w="0" w:type="dxa"/>
              <w:left w:w="100" w:type="dxa"/>
              <w:bottom w:w="0" w:type="dxa"/>
              <w:right w:w="100" w:type="dxa"/>
            </w:tcMar>
          </w:tcPr>
          <w:p w14:paraId="11104995" w14:textId="77777777" w:rsidR="002508D3" w:rsidRDefault="002508D3" w:rsidP="002508D3">
            <w:pPr>
              <w:widowControl w:val="0"/>
              <w:pBdr>
                <w:top w:val="nil"/>
                <w:left w:val="nil"/>
                <w:bottom w:val="nil"/>
                <w:right w:val="nil"/>
                <w:between w:val="nil"/>
              </w:pBdr>
              <w:spacing w:after="0"/>
              <w:ind w:firstLine="36"/>
              <w:rPr>
                <w:rFonts w:eastAsia="Times New Roman" w:cs="Times New Roman"/>
                <w:sz w:val="20"/>
                <w:szCs w:val="20"/>
              </w:rPr>
            </w:pPr>
          </w:p>
        </w:tc>
        <w:tc>
          <w:tcPr>
            <w:tcW w:w="2126" w:type="dxa"/>
            <w:vMerge/>
            <w:tcBorders>
              <w:left w:val="single" w:sz="4" w:space="0" w:color="auto"/>
              <w:bottom w:val="single" w:sz="4" w:space="0" w:color="auto"/>
              <w:right w:val="single" w:sz="4" w:space="0" w:color="auto"/>
            </w:tcBorders>
          </w:tcPr>
          <w:p w14:paraId="38E3A1BC" w14:textId="77777777" w:rsidR="002508D3" w:rsidRDefault="002508D3" w:rsidP="002508D3">
            <w:pPr>
              <w:spacing w:after="0" w:line="240" w:lineRule="auto"/>
              <w:ind w:firstLine="34"/>
              <w:rPr>
                <w:rFonts w:eastAsia="Times New Roman" w:cs="Times New Roman"/>
                <w:sz w:val="20"/>
                <w:szCs w:val="20"/>
              </w:rPr>
            </w:pPr>
          </w:p>
        </w:tc>
        <w:tc>
          <w:tcPr>
            <w:tcW w:w="4111" w:type="dxa"/>
            <w:tcBorders>
              <w:top w:val="nil"/>
              <w:left w:val="single" w:sz="4" w:space="0" w:color="auto"/>
              <w:bottom w:val="single" w:sz="4" w:space="0" w:color="auto"/>
              <w:right w:val="single" w:sz="6" w:space="0" w:color="000000"/>
            </w:tcBorders>
            <w:shd w:val="clear" w:color="auto" w:fill="auto"/>
            <w:tcMar>
              <w:top w:w="0" w:type="dxa"/>
              <w:left w:w="100" w:type="dxa"/>
              <w:bottom w:w="0" w:type="dxa"/>
              <w:right w:w="100" w:type="dxa"/>
            </w:tcMar>
          </w:tcPr>
          <w:p w14:paraId="0FC08384"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1.1.6 Programe de instruire a operatorilor de baze de date</w:t>
            </w:r>
          </w:p>
        </w:tc>
        <w:tc>
          <w:tcPr>
            <w:tcW w:w="1418" w:type="dxa"/>
            <w:tcBorders>
              <w:top w:val="nil"/>
              <w:left w:val="single" w:sz="6" w:space="0" w:color="000000"/>
              <w:bottom w:val="single" w:sz="4" w:space="0" w:color="auto"/>
              <w:right w:val="single" w:sz="5" w:space="0" w:color="000000"/>
            </w:tcBorders>
            <w:shd w:val="clear" w:color="auto" w:fill="auto"/>
            <w:tcMar>
              <w:top w:w="0" w:type="dxa"/>
              <w:left w:w="100" w:type="dxa"/>
              <w:bottom w:w="0" w:type="dxa"/>
              <w:right w:w="100" w:type="dxa"/>
            </w:tcMar>
          </w:tcPr>
          <w:p w14:paraId="678206BD"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7"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02496BD0"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2030</w:t>
            </w:r>
          </w:p>
        </w:tc>
        <w:tc>
          <w:tcPr>
            <w:tcW w:w="1418" w:type="dxa"/>
            <w:vMerge/>
            <w:tcBorders>
              <w:top w:val="nil"/>
              <w:left w:val="nil"/>
              <w:bottom w:val="single" w:sz="5" w:space="0" w:color="000000"/>
              <w:right w:val="single" w:sz="5" w:space="0" w:color="000000"/>
            </w:tcBorders>
            <w:tcMar>
              <w:top w:w="0" w:type="dxa"/>
              <w:left w:w="100" w:type="dxa"/>
              <w:bottom w:w="0" w:type="dxa"/>
              <w:right w:w="100" w:type="dxa"/>
            </w:tcMar>
          </w:tcPr>
          <w:p w14:paraId="55B9B44C" w14:textId="77777777" w:rsidR="002508D3" w:rsidRDefault="002508D3" w:rsidP="002508D3">
            <w:pPr>
              <w:widowControl w:val="0"/>
              <w:pBdr>
                <w:top w:val="nil"/>
                <w:left w:val="nil"/>
                <w:bottom w:val="nil"/>
                <w:right w:val="nil"/>
                <w:between w:val="nil"/>
              </w:pBdr>
              <w:spacing w:after="0"/>
              <w:ind w:firstLine="42"/>
              <w:rPr>
                <w:rFonts w:eastAsia="Times New Roman" w:cs="Times New Roman"/>
                <w:sz w:val="20"/>
                <w:szCs w:val="20"/>
              </w:rPr>
            </w:pPr>
          </w:p>
        </w:tc>
        <w:tc>
          <w:tcPr>
            <w:tcW w:w="1701" w:type="dxa"/>
            <w:vMerge/>
            <w:tcBorders>
              <w:top w:val="nil"/>
              <w:left w:val="nil"/>
              <w:bottom w:val="single" w:sz="5" w:space="0" w:color="000000"/>
              <w:right w:val="single" w:sz="5" w:space="0" w:color="000000"/>
            </w:tcBorders>
            <w:tcMar>
              <w:top w:w="0" w:type="dxa"/>
              <w:left w:w="100" w:type="dxa"/>
              <w:bottom w:w="0" w:type="dxa"/>
              <w:right w:w="100" w:type="dxa"/>
            </w:tcMar>
          </w:tcPr>
          <w:p w14:paraId="5046A81E" w14:textId="77777777" w:rsidR="002508D3" w:rsidRDefault="002508D3" w:rsidP="002508D3">
            <w:pPr>
              <w:widowControl w:val="0"/>
              <w:pBdr>
                <w:top w:val="nil"/>
                <w:left w:val="nil"/>
                <w:bottom w:val="nil"/>
                <w:right w:val="nil"/>
                <w:between w:val="nil"/>
              </w:pBdr>
              <w:spacing w:after="0"/>
              <w:ind w:firstLine="41"/>
              <w:rPr>
                <w:rFonts w:eastAsia="Times New Roman" w:cs="Times New Roman"/>
                <w:sz w:val="20"/>
                <w:szCs w:val="20"/>
              </w:rPr>
            </w:pPr>
          </w:p>
        </w:tc>
      </w:tr>
      <w:tr w:rsidR="002508D3" w14:paraId="271AF372" w14:textId="77777777" w:rsidTr="00EB53E0">
        <w:trPr>
          <w:trHeight w:val="981"/>
        </w:trPr>
        <w:tc>
          <w:tcPr>
            <w:tcW w:w="1837" w:type="dxa"/>
            <w:vMerge/>
            <w:tcBorders>
              <w:top w:val="single" w:sz="4" w:space="0" w:color="auto"/>
              <w:left w:val="single" w:sz="5" w:space="0" w:color="000000"/>
              <w:bottom w:val="single" w:sz="4" w:space="0" w:color="auto"/>
              <w:right w:val="single" w:sz="4" w:space="0" w:color="auto"/>
            </w:tcBorders>
            <w:tcMar>
              <w:top w:w="0" w:type="dxa"/>
              <w:left w:w="100" w:type="dxa"/>
              <w:bottom w:w="0" w:type="dxa"/>
              <w:right w:w="100" w:type="dxa"/>
            </w:tcMar>
          </w:tcPr>
          <w:p w14:paraId="10357FBC" w14:textId="77777777" w:rsidR="002508D3" w:rsidRDefault="002508D3" w:rsidP="002508D3">
            <w:pPr>
              <w:widowControl w:val="0"/>
              <w:pBdr>
                <w:top w:val="nil"/>
                <w:left w:val="nil"/>
                <w:bottom w:val="nil"/>
                <w:right w:val="nil"/>
                <w:between w:val="nil"/>
              </w:pBdr>
              <w:spacing w:after="0"/>
              <w:ind w:firstLine="36"/>
              <w:rPr>
                <w:rFonts w:eastAsia="Times New Roman" w:cs="Times New Roman"/>
                <w:sz w:val="20"/>
                <w:szCs w:val="20"/>
              </w:rPr>
            </w:pPr>
          </w:p>
        </w:tc>
        <w:tc>
          <w:tcPr>
            <w:tcW w:w="2126" w:type="dxa"/>
            <w:vMerge/>
            <w:tcBorders>
              <w:top w:val="single" w:sz="4" w:space="0" w:color="auto"/>
              <w:left w:val="single" w:sz="4" w:space="0" w:color="auto"/>
              <w:bottom w:val="single" w:sz="4" w:space="0" w:color="auto"/>
              <w:right w:val="single" w:sz="4" w:space="0" w:color="auto"/>
            </w:tcBorders>
          </w:tcPr>
          <w:p w14:paraId="6F721953" w14:textId="77777777" w:rsidR="002508D3" w:rsidRDefault="002508D3" w:rsidP="002508D3">
            <w:pPr>
              <w:spacing w:after="0" w:line="240" w:lineRule="auto"/>
              <w:ind w:firstLine="34"/>
              <w:rPr>
                <w:rFonts w:eastAsia="Times New Roman" w:cs="Times New Roman"/>
                <w:sz w:val="20"/>
                <w:szCs w:val="20"/>
              </w:rPr>
            </w:pPr>
          </w:p>
        </w:tc>
        <w:tc>
          <w:tcPr>
            <w:tcW w:w="4111" w:type="dxa"/>
            <w:tcBorders>
              <w:top w:val="single" w:sz="4" w:space="0" w:color="auto"/>
              <w:left w:val="single" w:sz="4" w:space="0" w:color="auto"/>
              <w:bottom w:val="single" w:sz="4" w:space="0" w:color="auto"/>
              <w:right w:val="single" w:sz="6" w:space="0" w:color="000000"/>
            </w:tcBorders>
            <w:shd w:val="clear" w:color="auto" w:fill="auto"/>
            <w:tcMar>
              <w:top w:w="0" w:type="dxa"/>
              <w:left w:w="100" w:type="dxa"/>
              <w:bottom w:w="0" w:type="dxa"/>
              <w:right w:w="100" w:type="dxa"/>
            </w:tcMar>
          </w:tcPr>
          <w:p w14:paraId="074270AE"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1.1.7 Realizarea legăturilor instituționale pentru asigurarea schimbului de date și informații cu alte sisteme de date, aparținând altor instituții (de exemplu MDLPA, MCID, MT, etc.</w:t>
            </w:r>
          </w:p>
        </w:tc>
        <w:tc>
          <w:tcPr>
            <w:tcW w:w="1418" w:type="dxa"/>
            <w:tcBorders>
              <w:top w:val="single" w:sz="4" w:space="0" w:color="auto"/>
              <w:left w:val="single" w:sz="6" w:space="0" w:color="000000"/>
              <w:bottom w:val="single" w:sz="4" w:space="0" w:color="auto"/>
              <w:right w:val="single" w:sz="6" w:space="0" w:color="000000"/>
            </w:tcBorders>
            <w:shd w:val="clear" w:color="auto" w:fill="auto"/>
            <w:tcMar>
              <w:top w:w="0" w:type="dxa"/>
              <w:left w:w="100" w:type="dxa"/>
              <w:bottom w:w="0" w:type="dxa"/>
              <w:right w:w="100" w:type="dxa"/>
            </w:tcMar>
          </w:tcPr>
          <w:p w14:paraId="1AE96980"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7" w:type="dxa"/>
            <w:tcBorders>
              <w:top w:val="single" w:sz="4" w:space="0" w:color="auto"/>
              <w:left w:val="single" w:sz="6" w:space="0" w:color="000000"/>
              <w:bottom w:val="single" w:sz="4" w:space="0" w:color="auto"/>
              <w:right w:val="single" w:sz="6" w:space="0" w:color="000000"/>
            </w:tcBorders>
            <w:shd w:val="clear" w:color="auto" w:fill="auto"/>
            <w:tcMar>
              <w:top w:w="0" w:type="dxa"/>
              <w:left w:w="100" w:type="dxa"/>
              <w:bottom w:w="0" w:type="dxa"/>
              <w:right w:w="100" w:type="dxa"/>
            </w:tcMar>
          </w:tcPr>
          <w:p w14:paraId="07812660"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2025</w:t>
            </w:r>
          </w:p>
        </w:tc>
        <w:tc>
          <w:tcPr>
            <w:tcW w:w="1418" w:type="dxa"/>
            <w:vMerge/>
            <w:tcBorders>
              <w:top w:val="nil"/>
              <w:left w:val="single" w:sz="6" w:space="0" w:color="000000"/>
              <w:bottom w:val="single" w:sz="4" w:space="0" w:color="auto"/>
              <w:right w:val="single" w:sz="5" w:space="0" w:color="000000"/>
            </w:tcBorders>
            <w:tcMar>
              <w:top w:w="0" w:type="dxa"/>
              <w:left w:w="100" w:type="dxa"/>
              <w:bottom w:w="0" w:type="dxa"/>
              <w:right w:w="100" w:type="dxa"/>
            </w:tcMar>
          </w:tcPr>
          <w:p w14:paraId="00A9E04F" w14:textId="77777777" w:rsidR="002508D3" w:rsidRDefault="002508D3" w:rsidP="002508D3">
            <w:pPr>
              <w:widowControl w:val="0"/>
              <w:pBdr>
                <w:top w:val="nil"/>
                <w:left w:val="nil"/>
                <w:bottom w:val="nil"/>
                <w:right w:val="nil"/>
                <w:between w:val="nil"/>
              </w:pBdr>
              <w:spacing w:after="0"/>
              <w:ind w:firstLine="42"/>
              <w:rPr>
                <w:rFonts w:eastAsia="Times New Roman" w:cs="Times New Roman"/>
                <w:sz w:val="20"/>
                <w:szCs w:val="20"/>
              </w:rPr>
            </w:pPr>
          </w:p>
        </w:tc>
        <w:tc>
          <w:tcPr>
            <w:tcW w:w="1701" w:type="dxa"/>
            <w:vMerge/>
            <w:tcBorders>
              <w:top w:val="nil"/>
              <w:left w:val="nil"/>
              <w:bottom w:val="single" w:sz="4" w:space="0" w:color="auto"/>
              <w:right w:val="single" w:sz="5" w:space="0" w:color="000000"/>
            </w:tcBorders>
            <w:tcMar>
              <w:top w:w="0" w:type="dxa"/>
              <w:left w:w="100" w:type="dxa"/>
              <w:bottom w:w="0" w:type="dxa"/>
              <w:right w:w="100" w:type="dxa"/>
            </w:tcMar>
          </w:tcPr>
          <w:p w14:paraId="100EE95B" w14:textId="77777777" w:rsidR="002508D3" w:rsidRDefault="002508D3" w:rsidP="002508D3">
            <w:pPr>
              <w:widowControl w:val="0"/>
              <w:pBdr>
                <w:top w:val="nil"/>
                <w:left w:val="nil"/>
                <w:bottom w:val="nil"/>
                <w:right w:val="nil"/>
                <w:between w:val="nil"/>
              </w:pBdr>
              <w:spacing w:after="0"/>
              <w:ind w:firstLine="41"/>
              <w:rPr>
                <w:rFonts w:eastAsia="Times New Roman" w:cs="Times New Roman"/>
                <w:sz w:val="20"/>
                <w:szCs w:val="20"/>
              </w:rPr>
            </w:pPr>
          </w:p>
        </w:tc>
      </w:tr>
      <w:tr w:rsidR="002508D3" w14:paraId="72C7EC91" w14:textId="77777777" w:rsidTr="002508D3">
        <w:trPr>
          <w:trHeight w:val="788"/>
        </w:trPr>
        <w:tc>
          <w:tcPr>
            <w:tcW w:w="1837" w:type="dxa"/>
            <w:vMerge w:val="restart"/>
            <w:tcBorders>
              <w:top w:val="single" w:sz="4" w:space="0" w:color="auto"/>
              <w:left w:val="single" w:sz="6" w:space="0" w:color="000000"/>
              <w:bottom w:val="single" w:sz="5" w:space="0" w:color="000000"/>
              <w:right w:val="single" w:sz="4" w:space="0" w:color="auto"/>
            </w:tcBorders>
            <w:shd w:val="clear" w:color="auto" w:fill="auto"/>
            <w:tcMar>
              <w:top w:w="0" w:type="dxa"/>
              <w:left w:w="100" w:type="dxa"/>
              <w:bottom w:w="0" w:type="dxa"/>
              <w:right w:w="100" w:type="dxa"/>
            </w:tcMar>
          </w:tcPr>
          <w:p w14:paraId="4FFA21E9" w14:textId="77777777" w:rsidR="002508D3" w:rsidRDefault="002508D3" w:rsidP="002508D3">
            <w:pPr>
              <w:spacing w:after="0" w:line="240" w:lineRule="auto"/>
              <w:ind w:firstLine="36"/>
              <w:rPr>
                <w:rFonts w:eastAsia="Times New Roman" w:cs="Times New Roman"/>
                <w:sz w:val="20"/>
                <w:szCs w:val="20"/>
              </w:rPr>
            </w:pPr>
            <w:r>
              <w:rPr>
                <w:rFonts w:eastAsia="Times New Roman" w:cs="Times New Roman"/>
                <w:sz w:val="20"/>
                <w:szCs w:val="20"/>
              </w:rPr>
              <w:t>M1.2</w:t>
            </w:r>
            <w:r>
              <w:rPr>
                <w:rFonts w:eastAsia="Times New Roman" w:cs="Times New Roman"/>
                <w:b/>
                <w:i/>
                <w:sz w:val="20"/>
                <w:szCs w:val="20"/>
              </w:rPr>
              <w:t xml:space="preserve"> </w:t>
            </w:r>
            <w:r>
              <w:rPr>
                <w:rFonts w:eastAsia="Times New Roman" w:cs="Times New Roman"/>
                <w:sz w:val="20"/>
                <w:szCs w:val="20"/>
              </w:rPr>
              <w:t>Revizuirea cadrului legislativ referitor la delimitarea zonei costiere</w:t>
            </w:r>
          </w:p>
        </w:tc>
        <w:tc>
          <w:tcPr>
            <w:tcW w:w="2126" w:type="dxa"/>
            <w:vMerge w:val="restart"/>
            <w:tcBorders>
              <w:top w:val="single" w:sz="4" w:space="0" w:color="auto"/>
              <w:left w:val="single" w:sz="4" w:space="0" w:color="auto"/>
              <w:right w:val="single" w:sz="4" w:space="0" w:color="auto"/>
            </w:tcBorders>
          </w:tcPr>
          <w:p w14:paraId="49F3C066" w14:textId="77777777" w:rsidR="002508D3" w:rsidRDefault="002508D3" w:rsidP="002508D3">
            <w:pPr>
              <w:spacing w:after="0" w:line="240" w:lineRule="auto"/>
              <w:ind w:firstLine="34"/>
              <w:rPr>
                <w:rFonts w:eastAsia="Times New Roman" w:cs="Times New Roman"/>
                <w:sz w:val="20"/>
                <w:szCs w:val="20"/>
              </w:rPr>
            </w:pPr>
            <w:r w:rsidRPr="004B4475">
              <w:rPr>
                <w:rFonts w:eastAsia="Times New Roman" w:cs="Times New Roman"/>
                <w:sz w:val="20"/>
                <w:szCs w:val="20"/>
              </w:rPr>
              <w:t>Os5.a Stabilirea / consolidarea mecanismului de coordonare a managementului integrat al zonei de coastă care să aducă împreună toate instituțiile responsabile ale statului român</w:t>
            </w:r>
            <w:r>
              <w:rPr>
                <w:rFonts w:eastAsia="Times New Roman" w:cs="Times New Roman"/>
                <w:sz w:val="20"/>
                <w:szCs w:val="20"/>
              </w:rPr>
              <w:t>.</w:t>
            </w:r>
          </w:p>
        </w:tc>
        <w:tc>
          <w:tcPr>
            <w:tcW w:w="4111" w:type="dxa"/>
            <w:tcBorders>
              <w:top w:val="single" w:sz="4" w:space="0" w:color="auto"/>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2728D5A2"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1.2.1 Elaborarea unui studiu centralizat pentru toată zona costieră pentru stabilirea spațiilor critice din zona costieră</w:t>
            </w:r>
          </w:p>
        </w:tc>
        <w:tc>
          <w:tcPr>
            <w:tcW w:w="1418"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649873C1"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7"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479D8D07"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2025</w:t>
            </w:r>
          </w:p>
        </w:tc>
        <w:tc>
          <w:tcPr>
            <w:tcW w:w="1418"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02381E30"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MMAP</w:t>
            </w:r>
          </w:p>
        </w:tc>
        <w:tc>
          <w:tcPr>
            <w:tcW w:w="1701" w:type="dxa"/>
            <w:tcBorders>
              <w:top w:val="single" w:sz="4" w:space="0" w:color="auto"/>
              <w:left w:val="nil"/>
              <w:bottom w:val="single" w:sz="5" w:space="0" w:color="000000"/>
              <w:right w:val="single" w:sz="6" w:space="0" w:color="000000"/>
            </w:tcBorders>
            <w:shd w:val="clear" w:color="auto" w:fill="auto"/>
            <w:tcMar>
              <w:top w:w="0" w:type="dxa"/>
              <w:left w:w="100" w:type="dxa"/>
              <w:bottom w:w="0" w:type="dxa"/>
              <w:right w:w="100" w:type="dxa"/>
            </w:tcMar>
          </w:tcPr>
          <w:p w14:paraId="3DEAC658"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Buget MMAP</w:t>
            </w:r>
          </w:p>
        </w:tc>
      </w:tr>
      <w:tr w:rsidR="002508D3" w14:paraId="3E791B3F" w14:textId="77777777" w:rsidTr="002508D3">
        <w:trPr>
          <w:trHeight w:val="740"/>
        </w:trPr>
        <w:tc>
          <w:tcPr>
            <w:tcW w:w="1837" w:type="dxa"/>
            <w:vMerge/>
            <w:tcBorders>
              <w:top w:val="nil"/>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7ACB7C45" w14:textId="77777777" w:rsidR="002508D3" w:rsidRDefault="002508D3" w:rsidP="002508D3">
            <w:pPr>
              <w:widowControl w:val="0"/>
              <w:pBdr>
                <w:top w:val="nil"/>
                <w:left w:val="nil"/>
                <w:bottom w:val="nil"/>
                <w:right w:val="nil"/>
                <w:between w:val="nil"/>
              </w:pBdr>
              <w:spacing w:after="0"/>
              <w:ind w:firstLine="36"/>
              <w:rPr>
                <w:rFonts w:eastAsia="Times New Roman" w:cs="Times New Roman"/>
                <w:sz w:val="20"/>
                <w:szCs w:val="20"/>
              </w:rPr>
            </w:pPr>
          </w:p>
        </w:tc>
        <w:tc>
          <w:tcPr>
            <w:tcW w:w="2126" w:type="dxa"/>
            <w:vMerge/>
            <w:tcBorders>
              <w:left w:val="single" w:sz="4" w:space="0" w:color="auto"/>
              <w:right w:val="single" w:sz="4" w:space="0" w:color="auto"/>
            </w:tcBorders>
          </w:tcPr>
          <w:p w14:paraId="6B6B5E2C" w14:textId="77777777" w:rsidR="002508D3" w:rsidRDefault="002508D3" w:rsidP="002508D3">
            <w:pPr>
              <w:spacing w:after="0" w:line="240" w:lineRule="auto"/>
              <w:ind w:firstLine="34"/>
              <w:rPr>
                <w:rFonts w:eastAsia="Times New Roman" w:cs="Times New Roman"/>
                <w:sz w:val="20"/>
                <w:szCs w:val="20"/>
              </w:rPr>
            </w:pPr>
          </w:p>
        </w:tc>
        <w:tc>
          <w:tcPr>
            <w:tcW w:w="4111"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1108A89C"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1.2.2 Stabilirea criteriilor de delimitare a spațiilor sensibile / critice / vulnerabile din zona costieră</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4392E6F"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0B70FEB"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2025</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9EAA208"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MMAP și MDLPA</w:t>
            </w:r>
          </w:p>
        </w:tc>
        <w:tc>
          <w:tcPr>
            <w:tcW w:w="1701"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956E9E4"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Buget MMAP</w:t>
            </w:r>
          </w:p>
          <w:p w14:paraId="1657B9A1"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 xml:space="preserve">Buget MDLPA </w:t>
            </w:r>
          </w:p>
        </w:tc>
      </w:tr>
      <w:tr w:rsidR="002508D3" w14:paraId="1723D670" w14:textId="77777777" w:rsidTr="002508D3">
        <w:trPr>
          <w:trHeight w:val="1175"/>
        </w:trPr>
        <w:tc>
          <w:tcPr>
            <w:tcW w:w="1837" w:type="dxa"/>
            <w:vMerge/>
            <w:tcBorders>
              <w:top w:val="nil"/>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47171DD9" w14:textId="77777777" w:rsidR="002508D3" w:rsidRDefault="002508D3" w:rsidP="002508D3">
            <w:pPr>
              <w:widowControl w:val="0"/>
              <w:pBdr>
                <w:top w:val="nil"/>
                <w:left w:val="nil"/>
                <w:bottom w:val="nil"/>
                <w:right w:val="nil"/>
                <w:between w:val="nil"/>
              </w:pBdr>
              <w:spacing w:after="0"/>
              <w:ind w:firstLine="36"/>
              <w:rPr>
                <w:rFonts w:eastAsia="Times New Roman" w:cs="Times New Roman"/>
                <w:sz w:val="20"/>
                <w:szCs w:val="20"/>
              </w:rPr>
            </w:pPr>
          </w:p>
        </w:tc>
        <w:tc>
          <w:tcPr>
            <w:tcW w:w="2126" w:type="dxa"/>
            <w:vMerge/>
            <w:tcBorders>
              <w:left w:val="single" w:sz="4" w:space="0" w:color="auto"/>
              <w:bottom w:val="single" w:sz="4" w:space="0" w:color="auto"/>
              <w:right w:val="single" w:sz="4" w:space="0" w:color="auto"/>
            </w:tcBorders>
          </w:tcPr>
          <w:p w14:paraId="5CE0DF21" w14:textId="77777777" w:rsidR="002508D3" w:rsidRDefault="002508D3" w:rsidP="002508D3">
            <w:pPr>
              <w:spacing w:after="0" w:line="240" w:lineRule="auto"/>
              <w:ind w:firstLine="34"/>
              <w:rPr>
                <w:rFonts w:eastAsia="Times New Roman" w:cs="Times New Roman"/>
                <w:sz w:val="20"/>
                <w:szCs w:val="20"/>
              </w:rPr>
            </w:pPr>
          </w:p>
        </w:tc>
        <w:tc>
          <w:tcPr>
            <w:tcW w:w="4111"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39DCD1E6"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1.2.3 Elaborarea și aprobarea proiectelor de revizuire a OUG 202/2002, precum și a actelor normative subsecvente Legea 597/31.10.2001, H.G. nr. 546/07.04.2004 și H.G. nr. 749/14.05.2004</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76D4762"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6586AD8"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2027</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907BE0D"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MMAP</w:t>
            </w:r>
          </w:p>
        </w:tc>
        <w:tc>
          <w:tcPr>
            <w:tcW w:w="1701"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912F3E7"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Buget MMAP</w:t>
            </w:r>
          </w:p>
        </w:tc>
      </w:tr>
      <w:tr w:rsidR="002508D3" w14:paraId="6323E853" w14:textId="77777777" w:rsidTr="002508D3">
        <w:trPr>
          <w:trHeight w:val="570"/>
        </w:trPr>
        <w:tc>
          <w:tcPr>
            <w:tcW w:w="1837" w:type="dxa"/>
            <w:vMerge w:val="restart"/>
            <w:tcBorders>
              <w:top w:val="nil"/>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54E64148" w14:textId="77777777" w:rsidR="002508D3" w:rsidRDefault="002508D3" w:rsidP="002508D3">
            <w:pPr>
              <w:spacing w:after="0" w:line="240" w:lineRule="auto"/>
              <w:ind w:firstLine="36"/>
              <w:rPr>
                <w:rFonts w:eastAsia="Times New Roman" w:cs="Times New Roman"/>
                <w:sz w:val="20"/>
                <w:szCs w:val="20"/>
              </w:rPr>
            </w:pPr>
            <w:r>
              <w:rPr>
                <w:rFonts w:eastAsia="Times New Roman" w:cs="Times New Roman"/>
                <w:sz w:val="20"/>
                <w:szCs w:val="20"/>
              </w:rPr>
              <w:t>M1.3. Consolidarea capacității umane a aparatului administrativ</w:t>
            </w:r>
          </w:p>
        </w:tc>
        <w:tc>
          <w:tcPr>
            <w:tcW w:w="2126" w:type="dxa"/>
            <w:vMerge w:val="restart"/>
            <w:tcBorders>
              <w:top w:val="single" w:sz="4" w:space="0" w:color="auto"/>
              <w:left w:val="single" w:sz="4" w:space="0" w:color="auto"/>
              <w:right w:val="single" w:sz="4" w:space="0" w:color="auto"/>
            </w:tcBorders>
          </w:tcPr>
          <w:p w14:paraId="206342A5" w14:textId="77777777" w:rsidR="002508D3" w:rsidRDefault="002508D3" w:rsidP="002508D3">
            <w:pPr>
              <w:spacing w:after="0" w:line="240" w:lineRule="auto"/>
              <w:ind w:firstLine="34"/>
              <w:rPr>
                <w:rFonts w:eastAsia="Times New Roman" w:cs="Times New Roman"/>
                <w:sz w:val="20"/>
                <w:szCs w:val="20"/>
              </w:rPr>
            </w:pPr>
            <w:r w:rsidRPr="004B4475">
              <w:rPr>
                <w:rFonts w:eastAsia="Times New Roman" w:cs="Times New Roman"/>
                <w:sz w:val="20"/>
                <w:szCs w:val="20"/>
              </w:rPr>
              <w:t>Os5.b Consolidarea capacităţii administrației publice</w:t>
            </w:r>
            <w:r>
              <w:rPr>
                <w:rFonts w:eastAsia="Times New Roman" w:cs="Times New Roman"/>
                <w:sz w:val="20"/>
                <w:szCs w:val="20"/>
              </w:rPr>
              <w:t>.</w:t>
            </w:r>
          </w:p>
        </w:tc>
        <w:tc>
          <w:tcPr>
            <w:tcW w:w="4111"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1B008577"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1.3.1 Identificarea beneficiarilor instituționali potențiali și a nevoii acestora de asistență tehnică</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E0CF1AE"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1A09D0A"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2025</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9B57A27"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MMAP</w:t>
            </w:r>
          </w:p>
        </w:tc>
        <w:tc>
          <w:tcPr>
            <w:tcW w:w="1701"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21BE4C3"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Buget MMAP</w:t>
            </w:r>
          </w:p>
        </w:tc>
      </w:tr>
      <w:tr w:rsidR="002508D3" w14:paraId="3721AA50" w14:textId="77777777" w:rsidTr="002508D3">
        <w:trPr>
          <w:trHeight w:val="285"/>
        </w:trPr>
        <w:tc>
          <w:tcPr>
            <w:tcW w:w="1837" w:type="dxa"/>
            <w:vMerge/>
            <w:tcBorders>
              <w:top w:val="nil"/>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7394B009" w14:textId="77777777" w:rsidR="002508D3" w:rsidRDefault="002508D3" w:rsidP="002508D3">
            <w:pPr>
              <w:widowControl w:val="0"/>
              <w:pBdr>
                <w:top w:val="nil"/>
                <w:left w:val="nil"/>
                <w:bottom w:val="nil"/>
                <w:right w:val="nil"/>
                <w:between w:val="nil"/>
              </w:pBdr>
              <w:spacing w:after="0"/>
              <w:ind w:firstLine="36"/>
              <w:rPr>
                <w:rFonts w:eastAsia="Times New Roman" w:cs="Times New Roman"/>
                <w:sz w:val="20"/>
                <w:szCs w:val="20"/>
              </w:rPr>
            </w:pPr>
          </w:p>
        </w:tc>
        <w:tc>
          <w:tcPr>
            <w:tcW w:w="2126" w:type="dxa"/>
            <w:vMerge/>
            <w:tcBorders>
              <w:left w:val="single" w:sz="4" w:space="0" w:color="auto"/>
              <w:right w:val="single" w:sz="4" w:space="0" w:color="auto"/>
            </w:tcBorders>
          </w:tcPr>
          <w:p w14:paraId="2A323B16" w14:textId="77777777" w:rsidR="002508D3" w:rsidRDefault="002508D3" w:rsidP="002508D3">
            <w:pPr>
              <w:spacing w:after="0" w:line="240" w:lineRule="auto"/>
              <w:ind w:firstLine="34"/>
              <w:rPr>
                <w:rFonts w:eastAsia="Times New Roman" w:cs="Times New Roman"/>
                <w:sz w:val="20"/>
                <w:szCs w:val="20"/>
              </w:rPr>
            </w:pPr>
          </w:p>
        </w:tc>
        <w:tc>
          <w:tcPr>
            <w:tcW w:w="4111"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64119188"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1.3.2 Elaborarea planului de acțiuni de asistență tehnică</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10906BF"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25475ED"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2025</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D3CC2D7"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MMAP</w:t>
            </w:r>
          </w:p>
        </w:tc>
        <w:tc>
          <w:tcPr>
            <w:tcW w:w="1701"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F0B7F5B"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Buget MMAP</w:t>
            </w:r>
          </w:p>
        </w:tc>
      </w:tr>
      <w:tr w:rsidR="002508D3" w14:paraId="0A33FE11" w14:textId="77777777" w:rsidTr="002508D3">
        <w:trPr>
          <w:trHeight w:val="1318"/>
        </w:trPr>
        <w:tc>
          <w:tcPr>
            <w:tcW w:w="1837" w:type="dxa"/>
            <w:vMerge/>
            <w:tcBorders>
              <w:top w:val="nil"/>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218F9A41" w14:textId="77777777" w:rsidR="002508D3" w:rsidRDefault="002508D3" w:rsidP="002508D3">
            <w:pPr>
              <w:widowControl w:val="0"/>
              <w:pBdr>
                <w:top w:val="nil"/>
                <w:left w:val="nil"/>
                <w:bottom w:val="nil"/>
                <w:right w:val="nil"/>
                <w:between w:val="nil"/>
              </w:pBdr>
              <w:spacing w:after="0"/>
              <w:ind w:firstLine="36"/>
              <w:rPr>
                <w:rFonts w:eastAsia="Times New Roman" w:cs="Times New Roman"/>
                <w:sz w:val="20"/>
                <w:szCs w:val="20"/>
              </w:rPr>
            </w:pPr>
          </w:p>
        </w:tc>
        <w:tc>
          <w:tcPr>
            <w:tcW w:w="2126" w:type="dxa"/>
            <w:vMerge/>
            <w:tcBorders>
              <w:left w:val="single" w:sz="4" w:space="0" w:color="auto"/>
              <w:bottom w:val="single" w:sz="4" w:space="0" w:color="auto"/>
              <w:right w:val="single" w:sz="4" w:space="0" w:color="auto"/>
            </w:tcBorders>
          </w:tcPr>
          <w:p w14:paraId="1D1D6544" w14:textId="77777777" w:rsidR="002508D3" w:rsidRDefault="002508D3" w:rsidP="002508D3">
            <w:pPr>
              <w:spacing w:after="0" w:line="240" w:lineRule="auto"/>
              <w:ind w:firstLine="34"/>
              <w:rPr>
                <w:rFonts w:eastAsia="Times New Roman" w:cs="Times New Roman"/>
                <w:sz w:val="20"/>
                <w:szCs w:val="20"/>
              </w:rPr>
            </w:pPr>
          </w:p>
        </w:tc>
        <w:tc>
          <w:tcPr>
            <w:tcW w:w="4111" w:type="dxa"/>
            <w:tcBorders>
              <w:top w:val="nil"/>
              <w:left w:val="single" w:sz="4" w:space="0" w:color="auto"/>
              <w:bottom w:val="single" w:sz="4" w:space="0" w:color="auto"/>
              <w:right w:val="single" w:sz="5" w:space="0" w:color="000000"/>
            </w:tcBorders>
            <w:shd w:val="clear" w:color="auto" w:fill="auto"/>
            <w:tcMar>
              <w:top w:w="0" w:type="dxa"/>
              <w:left w:w="100" w:type="dxa"/>
              <w:bottom w:w="0" w:type="dxa"/>
              <w:right w:w="100" w:type="dxa"/>
            </w:tcMar>
          </w:tcPr>
          <w:p w14:paraId="0BC29748"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1.3.3 Implementarea planului de acțiuni de Asistență Tehnică</w:t>
            </w:r>
          </w:p>
        </w:tc>
        <w:tc>
          <w:tcPr>
            <w:tcW w:w="1418"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433253C3"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7"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7CC438ED"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2030</w:t>
            </w:r>
          </w:p>
        </w:tc>
        <w:tc>
          <w:tcPr>
            <w:tcW w:w="1418"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0EC8DB2E"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MMAP</w:t>
            </w:r>
          </w:p>
        </w:tc>
        <w:tc>
          <w:tcPr>
            <w:tcW w:w="1701"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4A8D2996"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Buget MMAP*</w:t>
            </w:r>
          </w:p>
          <w:p w14:paraId="248129F9"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Programul de cooperare ESPON 2030, Rețeaua europeană de observare a dezvoltării și coeziunii teritoriale</w:t>
            </w:r>
          </w:p>
        </w:tc>
      </w:tr>
      <w:tr w:rsidR="002508D3" w14:paraId="2780BD99" w14:textId="77777777" w:rsidTr="00473248">
        <w:trPr>
          <w:trHeight w:val="818"/>
        </w:trPr>
        <w:tc>
          <w:tcPr>
            <w:tcW w:w="1837" w:type="dxa"/>
            <w:vMerge w:val="restart"/>
            <w:tcBorders>
              <w:top w:val="nil"/>
              <w:left w:val="single" w:sz="6" w:space="0" w:color="000000"/>
              <w:bottom w:val="single" w:sz="4" w:space="0" w:color="auto"/>
              <w:right w:val="single" w:sz="4" w:space="0" w:color="auto"/>
            </w:tcBorders>
            <w:shd w:val="clear" w:color="auto" w:fill="auto"/>
            <w:tcMar>
              <w:top w:w="0" w:type="dxa"/>
              <w:left w:w="100" w:type="dxa"/>
              <w:bottom w:w="0" w:type="dxa"/>
              <w:right w:w="100" w:type="dxa"/>
            </w:tcMar>
          </w:tcPr>
          <w:p w14:paraId="07A68608" w14:textId="77777777" w:rsidR="002508D3" w:rsidRDefault="002508D3" w:rsidP="002508D3">
            <w:pPr>
              <w:spacing w:after="0" w:line="240" w:lineRule="auto"/>
              <w:ind w:firstLine="36"/>
              <w:rPr>
                <w:rFonts w:eastAsia="Times New Roman" w:cs="Times New Roman"/>
                <w:sz w:val="20"/>
                <w:szCs w:val="20"/>
              </w:rPr>
            </w:pPr>
            <w:r>
              <w:rPr>
                <w:rFonts w:eastAsia="Times New Roman" w:cs="Times New Roman"/>
                <w:sz w:val="20"/>
                <w:szCs w:val="20"/>
              </w:rPr>
              <w:t xml:space="preserve">M1.4 Creșterea gradului de participare a tuturor </w:t>
            </w:r>
            <w:r>
              <w:rPr>
                <w:rFonts w:eastAsia="Times New Roman" w:cs="Times New Roman"/>
                <w:sz w:val="20"/>
                <w:szCs w:val="20"/>
              </w:rPr>
              <w:lastRenderedPageBreak/>
              <w:t>factorilor implicați în gestionarea zonei costiere</w:t>
            </w:r>
          </w:p>
        </w:tc>
        <w:tc>
          <w:tcPr>
            <w:tcW w:w="2126" w:type="dxa"/>
            <w:vMerge w:val="restart"/>
            <w:tcBorders>
              <w:top w:val="single" w:sz="4" w:space="0" w:color="auto"/>
              <w:left w:val="single" w:sz="4" w:space="0" w:color="auto"/>
              <w:bottom w:val="single" w:sz="4" w:space="0" w:color="auto"/>
              <w:right w:val="single" w:sz="4" w:space="0" w:color="auto"/>
            </w:tcBorders>
          </w:tcPr>
          <w:p w14:paraId="1A7088B2" w14:textId="77777777" w:rsidR="002508D3" w:rsidRDefault="002508D3" w:rsidP="002508D3">
            <w:pPr>
              <w:spacing w:line="240" w:lineRule="auto"/>
              <w:ind w:firstLine="34"/>
              <w:rPr>
                <w:rFonts w:eastAsia="Times New Roman" w:cs="Times New Roman"/>
                <w:sz w:val="20"/>
                <w:szCs w:val="20"/>
              </w:rPr>
            </w:pPr>
            <w:r w:rsidRPr="004B4475">
              <w:rPr>
                <w:rFonts w:eastAsia="Times New Roman" w:cs="Times New Roman"/>
                <w:sz w:val="20"/>
                <w:szCs w:val="20"/>
              </w:rPr>
              <w:lastRenderedPageBreak/>
              <w:t xml:space="preserve">Os6.a Crearea unui proces real participativ </w:t>
            </w:r>
            <w:r w:rsidRPr="004B4475">
              <w:rPr>
                <w:rFonts w:eastAsia="Times New Roman" w:cs="Times New Roman"/>
                <w:sz w:val="20"/>
                <w:szCs w:val="20"/>
              </w:rPr>
              <w:lastRenderedPageBreak/>
              <w:t>în gestionarea integrată a zonei costiere</w:t>
            </w:r>
            <w:r>
              <w:rPr>
                <w:rFonts w:eastAsia="Times New Roman" w:cs="Times New Roman"/>
                <w:sz w:val="20"/>
                <w:szCs w:val="20"/>
              </w:rPr>
              <w:t>;</w:t>
            </w:r>
          </w:p>
          <w:p w14:paraId="6A38D972" w14:textId="77777777" w:rsidR="002508D3" w:rsidRPr="004B4475" w:rsidRDefault="002508D3" w:rsidP="002508D3">
            <w:pPr>
              <w:spacing w:line="240" w:lineRule="auto"/>
              <w:ind w:firstLine="34"/>
              <w:rPr>
                <w:rFonts w:eastAsia="Times New Roman" w:cs="Times New Roman"/>
                <w:sz w:val="20"/>
                <w:szCs w:val="20"/>
              </w:rPr>
            </w:pPr>
            <w:r w:rsidRPr="004B4475">
              <w:rPr>
                <w:rFonts w:eastAsia="Times New Roman" w:cs="Times New Roman"/>
                <w:sz w:val="20"/>
                <w:szCs w:val="20"/>
              </w:rPr>
              <w:t>Os6.b Creșterea gradului de conștientizare cu privire la necesitatea de a păstra și îmbunătăți resursele zonei de coastă;</w:t>
            </w:r>
          </w:p>
          <w:p w14:paraId="21FAE0E1" w14:textId="77777777" w:rsidR="002508D3" w:rsidRDefault="002508D3" w:rsidP="002508D3">
            <w:pPr>
              <w:spacing w:line="240" w:lineRule="auto"/>
              <w:ind w:firstLine="34"/>
              <w:rPr>
                <w:rFonts w:eastAsia="Times New Roman" w:cs="Times New Roman"/>
                <w:sz w:val="20"/>
                <w:szCs w:val="20"/>
              </w:rPr>
            </w:pPr>
            <w:r w:rsidRPr="004B4475">
              <w:rPr>
                <w:rFonts w:eastAsia="Times New Roman" w:cs="Times New Roman"/>
                <w:sz w:val="20"/>
                <w:szCs w:val="20"/>
              </w:rPr>
              <w:t>Os6.c Implicarea cetățenilor în monitorizarea stării de sănătate a med</w:t>
            </w:r>
            <w:r>
              <w:rPr>
                <w:rFonts w:eastAsia="Times New Roman" w:cs="Times New Roman"/>
                <w:sz w:val="20"/>
                <w:szCs w:val="20"/>
              </w:rPr>
              <w:t>iului costier (Citizen-science).</w:t>
            </w:r>
          </w:p>
        </w:tc>
        <w:tc>
          <w:tcPr>
            <w:tcW w:w="4111" w:type="dxa"/>
            <w:tcBorders>
              <w:top w:val="single" w:sz="4" w:space="0" w:color="auto"/>
              <w:left w:val="single" w:sz="4" w:space="0" w:color="auto"/>
              <w:bottom w:val="single" w:sz="4" w:space="0" w:color="auto"/>
              <w:right w:val="single" w:sz="6" w:space="0" w:color="000000"/>
            </w:tcBorders>
            <w:shd w:val="clear" w:color="auto" w:fill="auto"/>
            <w:tcMar>
              <w:top w:w="0" w:type="dxa"/>
              <w:left w:w="100" w:type="dxa"/>
              <w:bottom w:w="0" w:type="dxa"/>
              <w:right w:w="100" w:type="dxa"/>
            </w:tcMar>
          </w:tcPr>
          <w:p w14:paraId="3091D1E2"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lastRenderedPageBreak/>
              <w:t>A 1.4.1 Elaborarea unui Plan de comunicare al Strategiei naționale pentru managementul integrat a zonei costiere</w:t>
            </w:r>
          </w:p>
        </w:tc>
        <w:tc>
          <w:tcPr>
            <w:tcW w:w="1418" w:type="dxa"/>
            <w:tcBorders>
              <w:top w:val="single" w:sz="4" w:space="0" w:color="auto"/>
              <w:left w:val="single" w:sz="6" w:space="0" w:color="000000"/>
              <w:bottom w:val="single" w:sz="5" w:space="0" w:color="000000"/>
              <w:right w:val="single" w:sz="5" w:space="0" w:color="000000"/>
            </w:tcBorders>
            <w:shd w:val="clear" w:color="auto" w:fill="auto"/>
            <w:tcMar>
              <w:top w:w="0" w:type="dxa"/>
              <w:left w:w="100" w:type="dxa"/>
              <w:bottom w:w="0" w:type="dxa"/>
              <w:right w:w="100" w:type="dxa"/>
            </w:tcMar>
          </w:tcPr>
          <w:p w14:paraId="652DA324"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7"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22D88654"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2025</w:t>
            </w:r>
          </w:p>
        </w:tc>
        <w:tc>
          <w:tcPr>
            <w:tcW w:w="1418"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67A60DB8"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MMAP</w:t>
            </w:r>
          </w:p>
        </w:tc>
        <w:tc>
          <w:tcPr>
            <w:tcW w:w="1701" w:type="dxa"/>
            <w:tcBorders>
              <w:top w:val="single" w:sz="4" w:space="0" w:color="auto"/>
              <w:left w:val="nil"/>
              <w:bottom w:val="single" w:sz="5" w:space="0" w:color="000000"/>
              <w:right w:val="single" w:sz="6" w:space="0" w:color="000000"/>
            </w:tcBorders>
            <w:shd w:val="clear" w:color="auto" w:fill="auto"/>
            <w:tcMar>
              <w:top w:w="0" w:type="dxa"/>
              <w:left w:w="100" w:type="dxa"/>
              <w:bottom w:w="0" w:type="dxa"/>
              <w:right w:w="100" w:type="dxa"/>
            </w:tcMar>
          </w:tcPr>
          <w:p w14:paraId="68693770"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Buget MMAP</w:t>
            </w:r>
          </w:p>
        </w:tc>
      </w:tr>
      <w:tr w:rsidR="002508D3" w14:paraId="2316EFCD" w14:textId="77777777" w:rsidTr="00473248">
        <w:trPr>
          <w:trHeight w:val="742"/>
        </w:trPr>
        <w:tc>
          <w:tcPr>
            <w:tcW w:w="1837" w:type="dxa"/>
            <w:vMerge/>
            <w:tcBorders>
              <w:top w:val="single" w:sz="4" w:space="0" w:color="auto"/>
              <w:left w:val="single" w:sz="6" w:space="0" w:color="000000"/>
              <w:bottom w:val="single" w:sz="5" w:space="0" w:color="000000"/>
              <w:right w:val="single" w:sz="4" w:space="0" w:color="auto"/>
            </w:tcBorders>
            <w:shd w:val="clear" w:color="auto" w:fill="auto"/>
            <w:tcMar>
              <w:top w:w="0" w:type="dxa"/>
              <w:left w:w="100" w:type="dxa"/>
              <w:bottom w:w="0" w:type="dxa"/>
              <w:right w:w="100" w:type="dxa"/>
            </w:tcMar>
          </w:tcPr>
          <w:p w14:paraId="10F65E5E" w14:textId="77777777" w:rsidR="002508D3" w:rsidRDefault="002508D3" w:rsidP="002508D3">
            <w:pPr>
              <w:widowControl w:val="0"/>
              <w:pBdr>
                <w:top w:val="nil"/>
                <w:left w:val="nil"/>
                <w:bottom w:val="nil"/>
                <w:right w:val="nil"/>
                <w:between w:val="nil"/>
              </w:pBdr>
              <w:spacing w:after="0"/>
              <w:ind w:firstLine="36"/>
              <w:rPr>
                <w:rFonts w:eastAsia="Times New Roman" w:cs="Times New Roman"/>
                <w:sz w:val="20"/>
                <w:szCs w:val="20"/>
              </w:rPr>
            </w:pPr>
          </w:p>
        </w:tc>
        <w:tc>
          <w:tcPr>
            <w:tcW w:w="2126" w:type="dxa"/>
            <w:vMerge/>
            <w:tcBorders>
              <w:top w:val="single" w:sz="4" w:space="0" w:color="auto"/>
              <w:left w:val="single" w:sz="4" w:space="0" w:color="auto"/>
              <w:right w:val="single" w:sz="4" w:space="0" w:color="auto"/>
            </w:tcBorders>
          </w:tcPr>
          <w:p w14:paraId="568EF013" w14:textId="77777777" w:rsidR="002508D3" w:rsidRDefault="002508D3" w:rsidP="002508D3">
            <w:pPr>
              <w:spacing w:after="0" w:line="240" w:lineRule="auto"/>
              <w:ind w:firstLine="34"/>
              <w:rPr>
                <w:rFonts w:eastAsia="Times New Roman" w:cs="Times New Roman"/>
                <w:sz w:val="20"/>
                <w:szCs w:val="20"/>
              </w:rPr>
            </w:pPr>
          </w:p>
        </w:tc>
        <w:tc>
          <w:tcPr>
            <w:tcW w:w="4111" w:type="dxa"/>
            <w:tcBorders>
              <w:top w:val="single" w:sz="4" w:space="0" w:color="auto"/>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449CDE05"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1.4. 2 Implementarea Planului de comunicare al Strategiei naționale pentru managementul integrat a zonei costiere</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0FE4CD8"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6D6CAF1"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2030</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9345C8A"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MMAP</w:t>
            </w:r>
          </w:p>
        </w:tc>
        <w:tc>
          <w:tcPr>
            <w:tcW w:w="1701" w:type="dxa"/>
            <w:tcBorders>
              <w:top w:val="nil"/>
              <w:left w:val="nil"/>
              <w:bottom w:val="single" w:sz="5" w:space="0" w:color="000000"/>
              <w:right w:val="single" w:sz="6" w:space="0" w:color="000000"/>
            </w:tcBorders>
            <w:shd w:val="clear" w:color="auto" w:fill="auto"/>
            <w:tcMar>
              <w:top w:w="0" w:type="dxa"/>
              <w:left w:w="100" w:type="dxa"/>
              <w:bottom w:w="0" w:type="dxa"/>
              <w:right w:w="100" w:type="dxa"/>
            </w:tcMar>
          </w:tcPr>
          <w:p w14:paraId="28CEDD92"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Buget MMAP</w:t>
            </w:r>
          </w:p>
        </w:tc>
      </w:tr>
      <w:tr w:rsidR="002508D3" w14:paraId="01C27B1D" w14:textId="77777777" w:rsidTr="002508D3">
        <w:trPr>
          <w:trHeight w:val="1110"/>
        </w:trPr>
        <w:tc>
          <w:tcPr>
            <w:tcW w:w="1837" w:type="dxa"/>
            <w:vMerge/>
            <w:tcBorders>
              <w:top w:val="nil"/>
              <w:left w:val="single" w:sz="6" w:space="0" w:color="000000"/>
              <w:bottom w:val="single" w:sz="4" w:space="0" w:color="auto"/>
              <w:right w:val="single" w:sz="4" w:space="0" w:color="auto"/>
            </w:tcBorders>
            <w:shd w:val="clear" w:color="auto" w:fill="auto"/>
            <w:tcMar>
              <w:top w:w="0" w:type="dxa"/>
              <w:left w:w="100" w:type="dxa"/>
              <w:bottom w:w="0" w:type="dxa"/>
              <w:right w:w="100" w:type="dxa"/>
            </w:tcMar>
          </w:tcPr>
          <w:p w14:paraId="41FA4312" w14:textId="77777777" w:rsidR="002508D3" w:rsidRDefault="002508D3" w:rsidP="002508D3">
            <w:pPr>
              <w:widowControl w:val="0"/>
              <w:pBdr>
                <w:top w:val="nil"/>
                <w:left w:val="nil"/>
                <w:bottom w:val="nil"/>
                <w:right w:val="nil"/>
                <w:between w:val="nil"/>
              </w:pBdr>
              <w:spacing w:after="0"/>
              <w:ind w:firstLine="36"/>
              <w:rPr>
                <w:rFonts w:eastAsia="Times New Roman" w:cs="Times New Roman"/>
                <w:sz w:val="20"/>
                <w:szCs w:val="20"/>
              </w:rPr>
            </w:pPr>
          </w:p>
        </w:tc>
        <w:tc>
          <w:tcPr>
            <w:tcW w:w="2126" w:type="dxa"/>
            <w:vMerge/>
            <w:tcBorders>
              <w:left w:val="single" w:sz="4" w:space="0" w:color="auto"/>
              <w:bottom w:val="single" w:sz="4" w:space="0" w:color="auto"/>
              <w:right w:val="single" w:sz="4" w:space="0" w:color="auto"/>
            </w:tcBorders>
          </w:tcPr>
          <w:p w14:paraId="38EBDAD6" w14:textId="77777777" w:rsidR="002508D3" w:rsidRDefault="002508D3" w:rsidP="002508D3">
            <w:pPr>
              <w:spacing w:after="0" w:line="240" w:lineRule="auto"/>
              <w:ind w:firstLine="34"/>
              <w:rPr>
                <w:rFonts w:eastAsia="Times New Roman" w:cs="Times New Roman"/>
                <w:sz w:val="20"/>
                <w:szCs w:val="20"/>
              </w:rPr>
            </w:pPr>
          </w:p>
        </w:tc>
        <w:tc>
          <w:tcPr>
            <w:tcW w:w="4111" w:type="dxa"/>
            <w:tcBorders>
              <w:top w:val="nil"/>
              <w:left w:val="single" w:sz="4" w:space="0" w:color="auto"/>
              <w:bottom w:val="single" w:sz="4" w:space="0" w:color="auto"/>
              <w:right w:val="single" w:sz="5" w:space="0" w:color="000000"/>
            </w:tcBorders>
            <w:shd w:val="clear" w:color="auto" w:fill="auto"/>
            <w:tcMar>
              <w:top w:w="0" w:type="dxa"/>
              <w:left w:w="100" w:type="dxa"/>
              <w:bottom w:w="0" w:type="dxa"/>
              <w:right w:w="100" w:type="dxa"/>
            </w:tcMar>
          </w:tcPr>
          <w:p w14:paraId="4B3720A7"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1.4.3 Promovarea, prin campanii de conștientizare, a unui instrument de tip citizen-science în vederea implicării directe a cetățenilor, pe bază de voluntariat, în procesul de management integrat al zonei costiere</w:t>
            </w:r>
          </w:p>
        </w:tc>
        <w:tc>
          <w:tcPr>
            <w:tcW w:w="1418"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1CEC8980"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Medie</w:t>
            </w:r>
          </w:p>
        </w:tc>
        <w:tc>
          <w:tcPr>
            <w:tcW w:w="1417"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3963BD61"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2030</w:t>
            </w:r>
          </w:p>
        </w:tc>
        <w:tc>
          <w:tcPr>
            <w:tcW w:w="1418"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42650FD3"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MMAP</w:t>
            </w:r>
          </w:p>
        </w:tc>
        <w:tc>
          <w:tcPr>
            <w:tcW w:w="1701" w:type="dxa"/>
            <w:tcBorders>
              <w:top w:val="nil"/>
              <w:left w:val="nil"/>
              <w:bottom w:val="single" w:sz="4" w:space="0" w:color="auto"/>
              <w:right w:val="single" w:sz="6" w:space="0" w:color="000000"/>
            </w:tcBorders>
            <w:shd w:val="clear" w:color="auto" w:fill="auto"/>
            <w:tcMar>
              <w:top w:w="0" w:type="dxa"/>
              <w:left w:w="100" w:type="dxa"/>
              <w:bottom w:w="0" w:type="dxa"/>
              <w:right w:w="100" w:type="dxa"/>
            </w:tcMar>
          </w:tcPr>
          <w:p w14:paraId="3A1CE679"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Buget MMAP</w:t>
            </w:r>
          </w:p>
        </w:tc>
      </w:tr>
      <w:tr w:rsidR="002508D3" w14:paraId="7BAE7A07" w14:textId="77777777" w:rsidTr="002508D3">
        <w:trPr>
          <w:trHeight w:val="636"/>
        </w:trPr>
        <w:tc>
          <w:tcPr>
            <w:tcW w:w="1837" w:type="dxa"/>
            <w:vMerge/>
            <w:tcBorders>
              <w:top w:val="single" w:sz="4" w:space="0" w:color="auto"/>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1CF9C222" w14:textId="77777777" w:rsidR="002508D3" w:rsidRDefault="002508D3" w:rsidP="002508D3">
            <w:pPr>
              <w:widowControl w:val="0"/>
              <w:pBdr>
                <w:top w:val="nil"/>
                <w:left w:val="nil"/>
                <w:bottom w:val="nil"/>
                <w:right w:val="nil"/>
                <w:between w:val="nil"/>
              </w:pBdr>
              <w:spacing w:after="0"/>
              <w:ind w:firstLine="36"/>
              <w:rPr>
                <w:rFonts w:eastAsia="Times New Roman" w:cs="Times New Roman"/>
                <w:sz w:val="20"/>
                <w:szCs w:val="20"/>
              </w:rPr>
            </w:pPr>
          </w:p>
        </w:tc>
        <w:tc>
          <w:tcPr>
            <w:tcW w:w="2126" w:type="dxa"/>
            <w:vMerge/>
            <w:tcBorders>
              <w:top w:val="single" w:sz="4" w:space="0" w:color="auto"/>
              <w:left w:val="single" w:sz="4" w:space="0" w:color="auto"/>
              <w:right w:val="single" w:sz="4" w:space="0" w:color="auto"/>
            </w:tcBorders>
          </w:tcPr>
          <w:p w14:paraId="3499477B" w14:textId="77777777" w:rsidR="002508D3" w:rsidRDefault="002508D3" w:rsidP="002508D3">
            <w:pPr>
              <w:spacing w:after="0" w:line="240" w:lineRule="auto"/>
              <w:ind w:firstLine="34"/>
              <w:rPr>
                <w:rFonts w:eastAsia="Times New Roman" w:cs="Times New Roman"/>
                <w:sz w:val="20"/>
                <w:szCs w:val="20"/>
              </w:rPr>
            </w:pPr>
          </w:p>
        </w:tc>
        <w:tc>
          <w:tcPr>
            <w:tcW w:w="4111" w:type="dxa"/>
            <w:tcBorders>
              <w:top w:val="single" w:sz="4" w:space="0" w:color="auto"/>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7757FBD8"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1.4.4 Organizare de cursuri periodice de instruire a voluntarilor în aplicarea tehnicilor de monitoring</w:t>
            </w:r>
          </w:p>
        </w:tc>
        <w:tc>
          <w:tcPr>
            <w:tcW w:w="1418"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05657639"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Medie</w:t>
            </w:r>
          </w:p>
        </w:tc>
        <w:tc>
          <w:tcPr>
            <w:tcW w:w="1417"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207519CA"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2030</w:t>
            </w:r>
          </w:p>
        </w:tc>
        <w:tc>
          <w:tcPr>
            <w:tcW w:w="1418"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476B0CE2"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MMAP, MCID (INCD-uri), ME (universități)</w:t>
            </w:r>
          </w:p>
        </w:tc>
        <w:tc>
          <w:tcPr>
            <w:tcW w:w="1701"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70DA2446"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Buget MMAP*</w:t>
            </w:r>
          </w:p>
        </w:tc>
      </w:tr>
      <w:tr w:rsidR="002508D3" w14:paraId="10D4236D" w14:textId="77777777" w:rsidTr="002508D3">
        <w:trPr>
          <w:trHeight w:val="748"/>
        </w:trPr>
        <w:tc>
          <w:tcPr>
            <w:tcW w:w="1837" w:type="dxa"/>
            <w:vMerge/>
            <w:tcBorders>
              <w:top w:val="nil"/>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6F8C4E42" w14:textId="77777777" w:rsidR="002508D3" w:rsidRDefault="002508D3" w:rsidP="002508D3">
            <w:pPr>
              <w:widowControl w:val="0"/>
              <w:pBdr>
                <w:top w:val="nil"/>
                <w:left w:val="nil"/>
                <w:bottom w:val="nil"/>
                <w:right w:val="nil"/>
                <w:between w:val="nil"/>
              </w:pBdr>
              <w:spacing w:after="0"/>
              <w:ind w:firstLine="36"/>
              <w:rPr>
                <w:rFonts w:eastAsia="Times New Roman" w:cs="Times New Roman"/>
                <w:sz w:val="20"/>
                <w:szCs w:val="20"/>
              </w:rPr>
            </w:pPr>
          </w:p>
        </w:tc>
        <w:tc>
          <w:tcPr>
            <w:tcW w:w="2126" w:type="dxa"/>
            <w:vMerge/>
            <w:tcBorders>
              <w:left w:val="single" w:sz="4" w:space="0" w:color="auto"/>
              <w:bottom w:val="single" w:sz="4" w:space="0" w:color="auto"/>
              <w:right w:val="single" w:sz="4" w:space="0" w:color="auto"/>
            </w:tcBorders>
          </w:tcPr>
          <w:p w14:paraId="74A33395" w14:textId="77777777" w:rsidR="002508D3" w:rsidRDefault="002508D3" w:rsidP="002508D3">
            <w:pPr>
              <w:spacing w:after="0" w:line="240" w:lineRule="auto"/>
              <w:ind w:firstLine="34"/>
              <w:rPr>
                <w:rFonts w:eastAsia="Times New Roman" w:cs="Times New Roman"/>
                <w:sz w:val="20"/>
                <w:szCs w:val="20"/>
              </w:rPr>
            </w:pPr>
          </w:p>
        </w:tc>
        <w:tc>
          <w:tcPr>
            <w:tcW w:w="4111"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33FED3D7"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1.4..5 Realizarea unui mecanism care să permită accesul voluntarilor la infrastructura de monitorizare a organizațiilor specializate</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211AA8F"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Medie</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AC9066C"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2025</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D0801DF"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MMAP, MCID (INCD-uri), ME (universități)</w:t>
            </w:r>
          </w:p>
        </w:tc>
        <w:tc>
          <w:tcPr>
            <w:tcW w:w="1701"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73CC166"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Buget MMAP*</w:t>
            </w:r>
          </w:p>
        </w:tc>
      </w:tr>
      <w:tr w:rsidR="002508D3" w14:paraId="459478C7" w14:textId="77777777" w:rsidTr="002508D3">
        <w:trPr>
          <w:trHeight w:val="1395"/>
        </w:trPr>
        <w:tc>
          <w:tcPr>
            <w:tcW w:w="1837" w:type="dxa"/>
            <w:vMerge w:val="restart"/>
            <w:tcBorders>
              <w:top w:val="nil"/>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355FB702" w14:textId="77777777" w:rsidR="002508D3" w:rsidRDefault="002508D3" w:rsidP="002508D3">
            <w:pPr>
              <w:spacing w:after="0" w:line="240" w:lineRule="auto"/>
              <w:ind w:firstLine="36"/>
              <w:rPr>
                <w:rFonts w:eastAsia="Times New Roman" w:cs="Times New Roman"/>
                <w:sz w:val="20"/>
                <w:szCs w:val="20"/>
              </w:rPr>
            </w:pPr>
            <w:r>
              <w:rPr>
                <w:rFonts w:eastAsia="Times New Roman" w:cs="Times New Roman"/>
                <w:sz w:val="20"/>
                <w:szCs w:val="20"/>
              </w:rPr>
              <w:t>M1.5 Creșterea eficienței supravegherii și controlului utilizării resurselor zonei costiere</w:t>
            </w:r>
          </w:p>
          <w:p w14:paraId="33FC9A39" w14:textId="77777777" w:rsidR="002508D3" w:rsidRDefault="002508D3" w:rsidP="002508D3">
            <w:pPr>
              <w:spacing w:after="0" w:line="240" w:lineRule="auto"/>
              <w:ind w:firstLine="36"/>
              <w:rPr>
                <w:rFonts w:eastAsia="Times New Roman" w:cs="Times New Roman"/>
                <w:sz w:val="20"/>
                <w:szCs w:val="20"/>
              </w:rPr>
            </w:pPr>
            <w:r>
              <w:rPr>
                <w:rFonts w:eastAsia="Times New Roman" w:cs="Times New Roman"/>
                <w:sz w:val="20"/>
                <w:szCs w:val="20"/>
              </w:rPr>
              <w:t xml:space="preserve"> </w:t>
            </w:r>
          </w:p>
        </w:tc>
        <w:tc>
          <w:tcPr>
            <w:tcW w:w="2126" w:type="dxa"/>
            <w:vMerge w:val="restart"/>
            <w:tcBorders>
              <w:top w:val="single" w:sz="4" w:space="0" w:color="auto"/>
              <w:left w:val="single" w:sz="4" w:space="0" w:color="auto"/>
              <w:right w:val="single" w:sz="4" w:space="0" w:color="auto"/>
            </w:tcBorders>
          </w:tcPr>
          <w:p w14:paraId="7CB55605" w14:textId="77777777" w:rsidR="002508D3" w:rsidRDefault="002508D3" w:rsidP="002508D3">
            <w:pPr>
              <w:spacing w:line="240" w:lineRule="auto"/>
              <w:ind w:firstLine="34"/>
              <w:rPr>
                <w:rFonts w:eastAsia="Times New Roman" w:cs="Times New Roman"/>
                <w:sz w:val="20"/>
                <w:szCs w:val="20"/>
              </w:rPr>
            </w:pPr>
            <w:r w:rsidRPr="00820F4E">
              <w:rPr>
                <w:rFonts w:eastAsia="Times New Roman" w:cs="Times New Roman"/>
                <w:sz w:val="20"/>
                <w:szCs w:val="20"/>
              </w:rPr>
              <w:t>Os5.c Întărirea aplicării normelor specifice sectoarelor economice din zona costieră</w:t>
            </w:r>
            <w:r>
              <w:rPr>
                <w:rFonts w:eastAsia="Times New Roman" w:cs="Times New Roman"/>
                <w:sz w:val="20"/>
                <w:szCs w:val="20"/>
              </w:rPr>
              <w:t>;</w:t>
            </w:r>
          </w:p>
          <w:p w14:paraId="53B1EB70" w14:textId="77777777" w:rsidR="002508D3" w:rsidRPr="00820F4E" w:rsidRDefault="002508D3" w:rsidP="002508D3">
            <w:pPr>
              <w:spacing w:line="240" w:lineRule="auto"/>
              <w:ind w:firstLine="34"/>
              <w:rPr>
                <w:rFonts w:eastAsia="Times New Roman" w:cs="Times New Roman"/>
                <w:sz w:val="20"/>
                <w:szCs w:val="20"/>
              </w:rPr>
            </w:pPr>
            <w:r w:rsidRPr="00820F4E">
              <w:rPr>
                <w:rFonts w:eastAsia="Times New Roman" w:cs="Times New Roman"/>
                <w:sz w:val="20"/>
                <w:szCs w:val="20"/>
              </w:rPr>
              <w:t>Os4.a Gestionarea durabi</w:t>
            </w:r>
            <w:r>
              <w:rPr>
                <w:rFonts w:eastAsia="Times New Roman" w:cs="Times New Roman"/>
                <w:sz w:val="20"/>
                <w:szCs w:val="20"/>
              </w:rPr>
              <w:t>lă a resurselor zonei de coastă.</w:t>
            </w:r>
          </w:p>
          <w:p w14:paraId="6BA1F7A2" w14:textId="77777777" w:rsidR="002508D3" w:rsidRDefault="002508D3" w:rsidP="002508D3">
            <w:pPr>
              <w:spacing w:line="240" w:lineRule="auto"/>
              <w:ind w:firstLine="34"/>
              <w:rPr>
                <w:rFonts w:eastAsia="Times New Roman" w:cs="Times New Roman"/>
                <w:sz w:val="20"/>
                <w:szCs w:val="20"/>
              </w:rPr>
            </w:pPr>
          </w:p>
        </w:tc>
        <w:tc>
          <w:tcPr>
            <w:tcW w:w="4111"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3FA5FAC9"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1.5.1 Dezvoltarea unor mecanisme pentru îmbunătățirea coordonării acțiunilor entităților/organizațiilor responsabile pentru supravegherea și controlul activităților de pescuit, poluării apelor subterane și de suprafață, poluării solului, construcțiilor ilegale, etc.</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D92D173"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47A2036"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2025</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C32A5FD"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MMAP</w:t>
            </w:r>
          </w:p>
        </w:tc>
        <w:tc>
          <w:tcPr>
            <w:tcW w:w="1701"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E16A3BD"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buget propriu MMAP</w:t>
            </w:r>
          </w:p>
        </w:tc>
      </w:tr>
      <w:tr w:rsidR="002508D3" w14:paraId="5EBC793E" w14:textId="77777777" w:rsidTr="002508D3">
        <w:trPr>
          <w:trHeight w:val="570"/>
        </w:trPr>
        <w:tc>
          <w:tcPr>
            <w:tcW w:w="1837" w:type="dxa"/>
            <w:vMerge/>
            <w:tcBorders>
              <w:top w:val="nil"/>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6BEA5284" w14:textId="77777777" w:rsidR="002508D3" w:rsidRDefault="002508D3" w:rsidP="002508D3">
            <w:pPr>
              <w:widowControl w:val="0"/>
              <w:pBdr>
                <w:top w:val="nil"/>
                <w:left w:val="nil"/>
                <w:bottom w:val="nil"/>
                <w:right w:val="nil"/>
                <w:between w:val="nil"/>
              </w:pBdr>
              <w:spacing w:after="0"/>
              <w:rPr>
                <w:rFonts w:eastAsia="Times New Roman" w:cs="Times New Roman"/>
                <w:sz w:val="20"/>
                <w:szCs w:val="20"/>
              </w:rPr>
            </w:pPr>
          </w:p>
        </w:tc>
        <w:tc>
          <w:tcPr>
            <w:tcW w:w="2126" w:type="dxa"/>
            <w:vMerge/>
            <w:tcBorders>
              <w:left w:val="single" w:sz="4" w:space="0" w:color="auto"/>
              <w:right w:val="single" w:sz="4" w:space="0" w:color="auto"/>
            </w:tcBorders>
          </w:tcPr>
          <w:p w14:paraId="176C8532" w14:textId="77777777" w:rsidR="002508D3" w:rsidRDefault="002508D3" w:rsidP="002508D3">
            <w:pPr>
              <w:spacing w:after="0" w:line="240" w:lineRule="auto"/>
              <w:rPr>
                <w:rFonts w:eastAsia="Times New Roman" w:cs="Times New Roman"/>
                <w:sz w:val="20"/>
                <w:szCs w:val="20"/>
              </w:rPr>
            </w:pPr>
          </w:p>
        </w:tc>
        <w:tc>
          <w:tcPr>
            <w:tcW w:w="4111"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393E90BA"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1.5.2 Realizarea periodică de programe de instruire a personalului de control</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04306F0"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Medie</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66DF716"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2030</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3ACCEED"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MMAP</w:t>
            </w:r>
          </w:p>
        </w:tc>
        <w:tc>
          <w:tcPr>
            <w:tcW w:w="1701"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78B1BF5"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buget propriu MMAP</w:t>
            </w:r>
          </w:p>
        </w:tc>
      </w:tr>
      <w:tr w:rsidR="002508D3" w14:paraId="307D98BC" w14:textId="77777777" w:rsidTr="002508D3">
        <w:trPr>
          <w:trHeight w:val="2108"/>
        </w:trPr>
        <w:tc>
          <w:tcPr>
            <w:tcW w:w="1837" w:type="dxa"/>
            <w:vMerge/>
            <w:tcBorders>
              <w:top w:val="nil"/>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7F84274C" w14:textId="77777777" w:rsidR="002508D3" w:rsidRDefault="002508D3" w:rsidP="002508D3">
            <w:pPr>
              <w:widowControl w:val="0"/>
              <w:pBdr>
                <w:top w:val="nil"/>
                <w:left w:val="nil"/>
                <w:bottom w:val="nil"/>
                <w:right w:val="nil"/>
                <w:between w:val="nil"/>
              </w:pBdr>
              <w:spacing w:after="0"/>
              <w:rPr>
                <w:rFonts w:eastAsia="Times New Roman" w:cs="Times New Roman"/>
                <w:sz w:val="20"/>
                <w:szCs w:val="20"/>
              </w:rPr>
            </w:pPr>
          </w:p>
        </w:tc>
        <w:tc>
          <w:tcPr>
            <w:tcW w:w="2126" w:type="dxa"/>
            <w:vMerge/>
            <w:tcBorders>
              <w:left w:val="single" w:sz="4" w:space="0" w:color="auto"/>
              <w:bottom w:val="single" w:sz="4" w:space="0" w:color="auto"/>
              <w:right w:val="single" w:sz="4" w:space="0" w:color="auto"/>
            </w:tcBorders>
          </w:tcPr>
          <w:p w14:paraId="0BE47E68" w14:textId="77777777" w:rsidR="002508D3" w:rsidRDefault="002508D3" w:rsidP="002508D3">
            <w:pPr>
              <w:spacing w:after="0" w:line="240" w:lineRule="auto"/>
              <w:rPr>
                <w:rFonts w:eastAsia="Times New Roman" w:cs="Times New Roman"/>
                <w:sz w:val="20"/>
                <w:szCs w:val="20"/>
              </w:rPr>
            </w:pPr>
          </w:p>
        </w:tc>
        <w:tc>
          <w:tcPr>
            <w:tcW w:w="4111"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57D20F8E"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1.5.3 Realizarea de programe de consolidare a capacităților tehnice (utilizarea unor mijloace moderne de supraveghere și control, în special din perspectiva prevenirii utilizării mijloacelor interzise în pescuit, introducerii interzise de specii invazive, construcţiilor ilegale, valorificării comerciale a patrimoniului natural şi cultural de pe uscat şi pe mare, poluării</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0ABA822"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Medie</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45DE942"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2030</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1CA58B3" w14:textId="754DD679" w:rsidR="002508D3" w:rsidRDefault="002508D3" w:rsidP="00BA434A">
            <w:pPr>
              <w:spacing w:after="0" w:line="240" w:lineRule="auto"/>
              <w:ind w:firstLine="42"/>
              <w:rPr>
                <w:rFonts w:eastAsia="Times New Roman" w:cs="Times New Roman"/>
                <w:sz w:val="20"/>
                <w:szCs w:val="20"/>
              </w:rPr>
            </w:pPr>
            <w:r>
              <w:rPr>
                <w:rFonts w:eastAsia="Times New Roman" w:cs="Times New Roman"/>
                <w:sz w:val="20"/>
                <w:szCs w:val="20"/>
              </w:rPr>
              <w:t>MMAP (prin ARBDD, ANANP, GNM), MADR (prin ANPA), MAI și ANRM.</w:t>
            </w:r>
          </w:p>
        </w:tc>
        <w:tc>
          <w:tcPr>
            <w:tcW w:w="1701"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AB9AF0F" w14:textId="77777777" w:rsidR="002508D3" w:rsidRDefault="002508D3" w:rsidP="002508D3">
            <w:pPr>
              <w:spacing w:after="0" w:line="240" w:lineRule="auto"/>
              <w:ind w:firstLine="41"/>
              <w:rPr>
                <w:rFonts w:eastAsia="Times New Roman" w:cs="Times New Roman"/>
                <w:sz w:val="20"/>
                <w:szCs w:val="20"/>
              </w:rPr>
            </w:pPr>
            <w:r>
              <w:rPr>
                <w:rFonts w:eastAsia="Times New Roman" w:cs="Times New Roman"/>
                <w:sz w:val="20"/>
                <w:szCs w:val="20"/>
              </w:rPr>
              <w:t>Bugetele proprii ale organizațiilor responsabile pentru control și supraveghere</w:t>
            </w:r>
          </w:p>
        </w:tc>
      </w:tr>
    </w:tbl>
    <w:p w14:paraId="5D59264F" w14:textId="77777777" w:rsidR="002508D3" w:rsidRDefault="002508D3" w:rsidP="002508D3">
      <w:pPr>
        <w:rPr>
          <w:rFonts w:eastAsia="Times New Roman" w:cs="Times New Roman"/>
        </w:rPr>
      </w:pPr>
    </w:p>
    <w:p w14:paraId="401F7F83" w14:textId="77777777" w:rsidR="002508D3" w:rsidRDefault="002508D3" w:rsidP="002508D3">
      <w:pPr>
        <w:spacing w:before="0"/>
        <w:ind w:firstLine="720"/>
        <w:rPr>
          <w:rFonts w:eastAsia="Times New Roman" w:cs="Times New Roman"/>
        </w:rPr>
      </w:pPr>
      <w:r>
        <w:rPr>
          <w:rFonts w:eastAsia="Times New Roman" w:cs="Times New Roman"/>
        </w:rPr>
        <w:lastRenderedPageBreak/>
        <w:t xml:space="preserve">Activitățile ce se vor realiza în vederea implementării </w:t>
      </w:r>
      <w:r>
        <w:rPr>
          <w:rFonts w:eastAsia="Times New Roman" w:cs="Times New Roman"/>
          <w:b/>
          <w:i/>
        </w:rPr>
        <w:t>Programului de Măsuri</w:t>
      </w:r>
      <w:r>
        <w:rPr>
          <w:b/>
          <w:color w:val="000000"/>
        </w:rPr>
        <w:t xml:space="preserve"> </w:t>
      </w:r>
      <w:r>
        <w:rPr>
          <w:rFonts w:eastAsia="Times New Roman" w:cs="Times New Roman"/>
          <w:b/>
          <w:i/>
          <w:color w:val="000000"/>
        </w:rPr>
        <w:t>de protecție și conservare a patrimoniul cultural și peisajului</w:t>
      </w:r>
      <w:r>
        <w:rPr>
          <w:b/>
          <w:color w:val="000000"/>
        </w:rPr>
        <w:t xml:space="preserve"> </w:t>
      </w:r>
      <w:r>
        <w:rPr>
          <w:rFonts w:eastAsia="Times New Roman" w:cs="Times New Roman"/>
        </w:rPr>
        <w:t>sunt prezentate în Tabelul de mai jos, unde sunt indicate termenele de implementare, organizațiile responsabile pentru realizarea activităților, și implicit implementarea măsurilor, precum și posibilele surse de finanțare.</w:t>
      </w:r>
    </w:p>
    <w:tbl>
      <w:tblPr>
        <w:tblW w:w="14043" w:type="dxa"/>
        <w:tblInd w:w="-19" w:type="dxa"/>
        <w:tblBorders>
          <w:top w:val="nil"/>
          <w:left w:val="nil"/>
          <w:bottom w:val="nil"/>
          <w:right w:val="nil"/>
          <w:insideH w:val="nil"/>
          <w:insideV w:val="nil"/>
        </w:tblBorders>
        <w:tblLayout w:type="fixed"/>
        <w:tblLook w:val="0600" w:firstRow="0" w:lastRow="0" w:firstColumn="0" w:lastColumn="0" w:noHBand="1" w:noVBand="1"/>
      </w:tblPr>
      <w:tblGrid>
        <w:gridCol w:w="1875"/>
        <w:gridCol w:w="2098"/>
        <w:gridCol w:w="4112"/>
        <w:gridCol w:w="1419"/>
        <w:gridCol w:w="1418"/>
        <w:gridCol w:w="1419"/>
        <w:gridCol w:w="1702"/>
      </w:tblGrid>
      <w:tr w:rsidR="002508D3" w14:paraId="48C1ECE2" w14:textId="77777777" w:rsidTr="002508D3">
        <w:trPr>
          <w:trHeight w:val="570"/>
        </w:trPr>
        <w:tc>
          <w:tcPr>
            <w:tcW w:w="1875" w:type="dxa"/>
            <w:tcBorders>
              <w:top w:val="single" w:sz="5" w:space="0" w:color="000000"/>
              <w:left w:val="single" w:sz="5" w:space="0" w:color="000000"/>
              <w:bottom w:val="single" w:sz="4" w:space="0" w:color="000000"/>
              <w:right w:val="single" w:sz="4" w:space="0" w:color="auto"/>
            </w:tcBorders>
            <w:tcMar>
              <w:top w:w="0" w:type="dxa"/>
              <w:left w:w="100" w:type="dxa"/>
              <w:bottom w:w="0" w:type="dxa"/>
              <w:right w:w="100" w:type="dxa"/>
            </w:tcMar>
          </w:tcPr>
          <w:p w14:paraId="136BA420"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Masură</w:t>
            </w:r>
          </w:p>
        </w:tc>
        <w:tc>
          <w:tcPr>
            <w:tcW w:w="2098" w:type="dxa"/>
            <w:tcBorders>
              <w:top w:val="single" w:sz="4" w:space="0" w:color="auto"/>
              <w:left w:val="single" w:sz="4" w:space="0" w:color="auto"/>
              <w:bottom w:val="single" w:sz="4" w:space="0" w:color="auto"/>
              <w:right w:val="single" w:sz="4" w:space="0" w:color="auto"/>
            </w:tcBorders>
          </w:tcPr>
          <w:p w14:paraId="238429CE" w14:textId="77777777" w:rsidR="002508D3" w:rsidRDefault="002508D3" w:rsidP="002508D3">
            <w:pPr>
              <w:spacing w:after="0" w:line="240" w:lineRule="auto"/>
              <w:ind w:firstLine="16"/>
              <w:rPr>
                <w:rFonts w:eastAsia="Times New Roman" w:cs="Times New Roman"/>
                <w:sz w:val="20"/>
                <w:szCs w:val="20"/>
              </w:rPr>
            </w:pPr>
            <w:r>
              <w:rPr>
                <w:rFonts w:eastAsia="Times New Roman" w:cs="Times New Roman"/>
                <w:sz w:val="20"/>
                <w:szCs w:val="20"/>
              </w:rPr>
              <w:t>Obiective vizate</w:t>
            </w:r>
          </w:p>
        </w:tc>
        <w:tc>
          <w:tcPr>
            <w:tcW w:w="4112" w:type="dxa"/>
            <w:tcBorders>
              <w:top w:val="single" w:sz="5" w:space="0" w:color="000000"/>
              <w:left w:val="single" w:sz="4" w:space="0" w:color="auto"/>
              <w:bottom w:val="single" w:sz="4" w:space="0" w:color="000000"/>
              <w:right w:val="single" w:sz="5" w:space="0" w:color="000000"/>
            </w:tcBorders>
            <w:tcMar>
              <w:top w:w="0" w:type="dxa"/>
              <w:left w:w="100" w:type="dxa"/>
              <w:bottom w:w="0" w:type="dxa"/>
              <w:right w:w="100" w:type="dxa"/>
            </w:tcMar>
          </w:tcPr>
          <w:p w14:paraId="204496EF"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Activitate</w:t>
            </w:r>
          </w:p>
        </w:tc>
        <w:tc>
          <w:tcPr>
            <w:tcW w:w="1419" w:type="dxa"/>
            <w:tcBorders>
              <w:top w:val="single" w:sz="5" w:space="0" w:color="000000"/>
              <w:left w:val="nil"/>
              <w:bottom w:val="single" w:sz="4" w:space="0" w:color="000000"/>
              <w:right w:val="single" w:sz="5" w:space="0" w:color="000000"/>
            </w:tcBorders>
            <w:tcMar>
              <w:top w:w="0" w:type="dxa"/>
              <w:left w:w="100" w:type="dxa"/>
              <w:bottom w:w="0" w:type="dxa"/>
              <w:right w:w="100" w:type="dxa"/>
            </w:tcMar>
          </w:tcPr>
          <w:p w14:paraId="025F132A"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Prioritate</w:t>
            </w:r>
          </w:p>
        </w:tc>
        <w:tc>
          <w:tcPr>
            <w:tcW w:w="1418" w:type="dxa"/>
            <w:tcBorders>
              <w:top w:val="single" w:sz="5" w:space="0" w:color="000000"/>
              <w:left w:val="nil"/>
              <w:bottom w:val="single" w:sz="4" w:space="0" w:color="000000"/>
              <w:right w:val="single" w:sz="5" w:space="0" w:color="000000"/>
            </w:tcBorders>
            <w:tcMar>
              <w:top w:w="0" w:type="dxa"/>
              <w:left w:w="100" w:type="dxa"/>
              <w:bottom w:w="0" w:type="dxa"/>
              <w:right w:w="100" w:type="dxa"/>
            </w:tcMar>
          </w:tcPr>
          <w:p w14:paraId="146ED88D"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Termen de implementare</w:t>
            </w:r>
          </w:p>
        </w:tc>
        <w:tc>
          <w:tcPr>
            <w:tcW w:w="1419" w:type="dxa"/>
            <w:tcBorders>
              <w:top w:val="single" w:sz="5" w:space="0" w:color="000000"/>
              <w:left w:val="nil"/>
              <w:bottom w:val="single" w:sz="4" w:space="0" w:color="000000"/>
              <w:right w:val="single" w:sz="5" w:space="0" w:color="000000"/>
            </w:tcBorders>
            <w:tcMar>
              <w:top w:w="0" w:type="dxa"/>
              <w:left w:w="100" w:type="dxa"/>
              <w:bottom w:w="0" w:type="dxa"/>
              <w:right w:w="100" w:type="dxa"/>
            </w:tcMar>
          </w:tcPr>
          <w:p w14:paraId="7B7645BB"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Instituții responsabile</w:t>
            </w:r>
          </w:p>
        </w:tc>
        <w:tc>
          <w:tcPr>
            <w:tcW w:w="1702" w:type="dxa"/>
            <w:tcBorders>
              <w:top w:val="single" w:sz="5" w:space="0" w:color="000000"/>
              <w:left w:val="nil"/>
              <w:bottom w:val="single" w:sz="4" w:space="0" w:color="000000"/>
              <w:right w:val="single" w:sz="5" w:space="0" w:color="000000"/>
            </w:tcBorders>
            <w:tcMar>
              <w:top w:w="0" w:type="dxa"/>
              <w:left w:w="100" w:type="dxa"/>
              <w:bottom w:w="0" w:type="dxa"/>
              <w:right w:w="100" w:type="dxa"/>
            </w:tcMar>
          </w:tcPr>
          <w:p w14:paraId="035E03BC"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Finanțare</w:t>
            </w:r>
          </w:p>
        </w:tc>
      </w:tr>
      <w:tr w:rsidR="002508D3" w14:paraId="69BA5D6A" w14:textId="77777777" w:rsidTr="002508D3">
        <w:trPr>
          <w:trHeight w:val="1417"/>
        </w:trPr>
        <w:tc>
          <w:tcPr>
            <w:tcW w:w="1875" w:type="dxa"/>
            <w:vMerge w:val="restart"/>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52A96CAC"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M2.1 Creșterea eficienței protecției, conservării și restaurării patrimoniului cultural existent de interes național (monumente istorice, situri, imobile sau amenajări cu valoare arhitectural urbanistică, precum și peisajele din zona costieră)</w:t>
            </w:r>
          </w:p>
        </w:tc>
        <w:tc>
          <w:tcPr>
            <w:tcW w:w="2098" w:type="dxa"/>
            <w:vMerge w:val="restart"/>
            <w:tcBorders>
              <w:top w:val="single" w:sz="4" w:space="0" w:color="auto"/>
              <w:left w:val="single" w:sz="4" w:space="0" w:color="auto"/>
              <w:bottom w:val="single" w:sz="4" w:space="0" w:color="auto"/>
              <w:right w:val="single" w:sz="4" w:space="0" w:color="auto"/>
            </w:tcBorders>
          </w:tcPr>
          <w:p w14:paraId="48BAE2C4" w14:textId="77777777" w:rsidR="002508D3" w:rsidRDefault="002508D3" w:rsidP="002508D3">
            <w:pPr>
              <w:spacing w:after="0" w:line="240" w:lineRule="auto"/>
              <w:ind w:firstLine="16"/>
              <w:rPr>
                <w:rFonts w:eastAsia="Times New Roman" w:cs="Times New Roman"/>
                <w:sz w:val="20"/>
                <w:szCs w:val="20"/>
              </w:rPr>
            </w:pPr>
            <w:r w:rsidRPr="00820F4E">
              <w:rPr>
                <w:rFonts w:eastAsia="Times New Roman" w:cs="Times New Roman"/>
                <w:sz w:val="20"/>
                <w:szCs w:val="20"/>
              </w:rPr>
              <w:t>Os1.a Protejarea eficientă a valorilor naturale, peisagistice și culturale</w:t>
            </w:r>
            <w:r>
              <w:rPr>
                <w:rFonts w:eastAsia="Times New Roman" w:cs="Times New Roman"/>
                <w:sz w:val="20"/>
                <w:szCs w:val="20"/>
              </w:rPr>
              <w:t>.</w:t>
            </w:r>
          </w:p>
        </w:tc>
        <w:tc>
          <w:tcPr>
            <w:tcW w:w="4112" w:type="dxa"/>
            <w:tcBorders>
              <w:top w:val="single" w:sz="8" w:space="0" w:color="000000"/>
              <w:left w:val="single" w:sz="4" w:space="0" w:color="auto"/>
              <w:bottom w:val="single" w:sz="8" w:space="0" w:color="000000"/>
              <w:right w:val="single" w:sz="8" w:space="0" w:color="000000"/>
            </w:tcBorders>
            <w:tcMar>
              <w:top w:w="0" w:type="dxa"/>
              <w:left w:w="100" w:type="dxa"/>
              <w:bottom w:w="0" w:type="dxa"/>
              <w:right w:w="100" w:type="dxa"/>
            </w:tcMar>
          </w:tcPr>
          <w:p w14:paraId="449A62B4" w14:textId="77777777" w:rsidR="002508D3" w:rsidRDefault="002508D3" w:rsidP="002508D3">
            <w:pPr>
              <w:spacing w:after="0" w:line="240" w:lineRule="auto"/>
              <w:ind w:firstLine="0"/>
              <w:rPr>
                <w:rFonts w:eastAsia="Times New Roman" w:cs="Times New Roman"/>
                <w:sz w:val="20"/>
                <w:szCs w:val="20"/>
                <w:highlight w:val="white"/>
              </w:rPr>
            </w:pPr>
            <w:r>
              <w:rPr>
                <w:rFonts w:eastAsia="Times New Roman" w:cs="Times New Roman"/>
                <w:sz w:val="20"/>
                <w:szCs w:val="20"/>
              </w:rPr>
              <w:t>A 2.1.1 Inițierea și implementarea de programe de promovare a identității și a patrimoniului cultural local și regional, material și imaterial, precum și de punere în valoare a clădirilor cu valoare arhitecturală şi culturală pentru comunitate</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1C963A3"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Medie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60052A8"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56FED57"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MC, autorități locale</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1F11B8B"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Buget propriu MC, bugete locale, Programul Național de Restaurare a Monumentelor – 2023, Programul Regional Sud-Est, PNRR</w:t>
            </w:r>
          </w:p>
        </w:tc>
      </w:tr>
      <w:tr w:rsidR="002508D3" w14:paraId="3BB011D7" w14:textId="77777777" w:rsidTr="002508D3">
        <w:trPr>
          <w:trHeight w:val="646"/>
        </w:trPr>
        <w:tc>
          <w:tcPr>
            <w:tcW w:w="1875"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2D9E9502" w14:textId="77777777" w:rsidR="002508D3" w:rsidRDefault="002508D3" w:rsidP="002508D3">
            <w:pPr>
              <w:widowControl w:val="0"/>
              <w:pBdr>
                <w:top w:val="nil"/>
                <w:left w:val="nil"/>
                <w:bottom w:val="nil"/>
                <w:right w:val="nil"/>
                <w:between w:val="nil"/>
              </w:pBdr>
              <w:spacing w:after="0"/>
              <w:ind w:firstLine="0"/>
              <w:rPr>
                <w:rFonts w:eastAsia="Times New Roman" w:cs="Times New Roman"/>
                <w:sz w:val="20"/>
                <w:szCs w:val="20"/>
              </w:rPr>
            </w:pPr>
          </w:p>
        </w:tc>
        <w:tc>
          <w:tcPr>
            <w:tcW w:w="2098" w:type="dxa"/>
            <w:vMerge/>
            <w:tcBorders>
              <w:left w:val="single" w:sz="4" w:space="0" w:color="auto"/>
              <w:bottom w:val="single" w:sz="4" w:space="0" w:color="auto"/>
              <w:right w:val="single" w:sz="4" w:space="0" w:color="auto"/>
            </w:tcBorders>
          </w:tcPr>
          <w:p w14:paraId="37C73DFA" w14:textId="77777777" w:rsidR="002508D3" w:rsidRDefault="002508D3" w:rsidP="002508D3">
            <w:pPr>
              <w:spacing w:after="0" w:line="240" w:lineRule="auto"/>
              <w:ind w:firstLine="16"/>
              <w:rPr>
                <w:rFonts w:eastAsia="Times New Roman" w:cs="Times New Roman"/>
                <w:sz w:val="20"/>
                <w:szCs w:val="20"/>
              </w:rPr>
            </w:pPr>
          </w:p>
        </w:tc>
        <w:tc>
          <w:tcPr>
            <w:tcW w:w="4112" w:type="dxa"/>
            <w:tcBorders>
              <w:top w:val="single" w:sz="8" w:space="0" w:color="000000"/>
              <w:left w:val="single" w:sz="4" w:space="0" w:color="auto"/>
              <w:bottom w:val="single" w:sz="8" w:space="0" w:color="000000"/>
              <w:right w:val="single" w:sz="8" w:space="0" w:color="000000"/>
            </w:tcBorders>
            <w:tcMar>
              <w:top w:w="0" w:type="dxa"/>
              <w:left w:w="100" w:type="dxa"/>
              <w:bottom w:w="0" w:type="dxa"/>
              <w:right w:w="100" w:type="dxa"/>
            </w:tcMar>
          </w:tcPr>
          <w:p w14:paraId="71A167E6" w14:textId="10759B24" w:rsidR="002508D3" w:rsidRDefault="002508D3" w:rsidP="002508D3">
            <w:pPr>
              <w:spacing w:after="0" w:line="240" w:lineRule="auto"/>
              <w:ind w:firstLine="0"/>
              <w:rPr>
                <w:rFonts w:eastAsia="Times New Roman" w:cs="Times New Roman"/>
                <w:sz w:val="20"/>
                <w:szCs w:val="20"/>
                <w:highlight w:val="white"/>
              </w:rPr>
            </w:pPr>
            <w:r>
              <w:rPr>
                <w:rFonts w:eastAsia="Times New Roman" w:cs="Times New Roman"/>
                <w:sz w:val="20"/>
                <w:szCs w:val="20"/>
              </w:rPr>
              <w:t xml:space="preserve">A 2.1.2 Implementarea de proiecte pilot de reabilitare a patrimoniului cultural local și regional, material și </w:t>
            </w:r>
            <w:r w:rsidR="00117E56">
              <w:rPr>
                <w:rFonts w:eastAsia="Times New Roman" w:cs="Times New Roman"/>
                <w:sz w:val="20"/>
                <w:szCs w:val="20"/>
              </w:rPr>
              <w:t>immaterial</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81BD8B7"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F55CF8E"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A0843B7"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MC, autorități locale,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A1AA81D"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Buget propriu MC, bugete locale, Programul Național de Restaurare a Monumentelor – 2023, Programul Regional Sud-Est, PNRR</w:t>
            </w:r>
          </w:p>
        </w:tc>
      </w:tr>
      <w:tr w:rsidR="002508D3" w14:paraId="182EDA2D" w14:textId="77777777" w:rsidTr="002508D3">
        <w:trPr>
          <w:trHeight w:val="899"/>
        </w:trPr>
        <w:tc>
          <w:tcPr>
            <w:tcW w:w="1875"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6CA92C82" w14:textId="77777777" w:rsidR="002508D3" w:rsidRDefault="002508D3" w:rsidP="002508D3">
            <w:pPr>
              <w:widowControl w:val="0"/>
              <w:pBdr>
                <w:top w:val="nil"/>
                <w:left w:val="nil"/>
                <w:bottom w:val="nil"/>
                <w:right w:val="nil"/>
                <w:between w:val="nil"/>
              </w:pBdr>
              <w:spacing w:after="0"/>
              <w:ind w:firstLine="0"/>
              <w:rPr>
                <w:rFonts w:eastAsia="Times New Roman" w:cs="Times New Roman"/>
                <w:sz w:val="20"/>
                <w:szCs w:val="20"/>
              </w:rPr>
            </w:pPr>
          </w:p>
        </w:tc>
        <w:tc>
          <w:tcPr>
            <w:tcW w:w="2098" w:type="dxa"/>
            <w:vMerge/>
            <w:tcBorders>
              <w:left w:val="single" w:sz="4" w:space="0" w:color="auto"/>
              <w:bottom w:val="single" w:sz="4" w:space="0" w:color="auto"/>
              <w:right w:val="single" w:sz="4" w:space="0" w:color="auto"/>
            </w:tcBorders>
          </w:tcPr>
          <w:p w14:paraId="311D7B67" w14:textId="77777777" w:rsidR="002508D3" w:rsidRDefault="002508D3" w:rsidP="002508D3">
            <w:pPr>
              <w:spacing w:after="0" w:line="240" w:lineRule="auto"/>
              <w:ind w:firstLine="16"/>
              <w:rPr>
                <w:rFonts w:eastAsia="Times New Roman" w:cs="Times New Roman"/>
                <w:sz w:val="20"/>
                <w:szCs w:val="20"/>
              </w:rPr>
            </w:pPr>
          </w:p>
        </w:tc>
        <w:tc>
          <w:tcPr>
            <w:tcW w:w="4112" w:type="dxa"/>
            <w:tcBorders>
              <w:top w:val="single" w:sz="8" w:space="0" w:color="000000"/>
              <w:left w:val="single" w:sz="4" w:space="0" w:color="auto"/>
              <w:bottom w:val="single" w:sz="8" w:space="0" w:color="000000"/>
              <w:right w:val="single" w:sz="8" w:space="0" w:color="000000"/>
            </w:tcBorders>
            <w:tcMar>
              <w:top w:w="0" w:type="dxa"/>
              <w:left w:w="100" w:type="dxa"/>
              <w:bottom w:w="0" w:type="dxa"/>
              <w:right w:w="100" w:type="dxa"/>
            </w:tcMar>
          </w:tcPr>
          <w:p w14:paraId="5313E1C7" w14:textId="77777777" w:rsidR="002508D3" w:rsidRDefault="002508D3" w:rsidP="002508D3">
            <w:pPr>
              <w:spacing w:after="0" w:line="240" w:lineRule="auto"/>
              <w:ind w:firstLine="0"/>
              <w:rPr>
                <w:rFonts w:eastAsia="Times New Roman" w:cs="Times New Roman"/>
                <w:sz w:val="20"/>
                <w:szCs w:val="20"/>
                <w:highlight w:val="white"/>
              </w:rPr>
            </w:pPr>
            <w:r>
              <w:rPr>
                <w:rFonts w:eastAsia="Times New Roman" w:cs="Times New Roman"/>
                <w:sz w:val="20"/>
                <w:szCs w:val="20"/>
              </w:rPr>
              <w:t>A 2.1.3 Inițierea și implementarea de programe-cadru de dezvoltare locală care să aibă în vedere regenerarea urbană și reabilitarea centrelor urbane cu valoare istorică</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CC97472"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7851B7F"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87CA80F"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Autorități locale, MDLPA</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14827E3"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Buget propriu MC, bugete locale, Programul Național de Restaurare a Monumentelor – 2023</w:t>
            </w:r>
            <w:r>
              <w:t xml:space="preserve">, </w:t>
            </w:r>
            <w:r>
              <w:rPr>
                <w:rFonts w:eastAsia="Times New Roman" w:cs="Times New Roman"/>
                <w:sz w:val="20"/>
                <w:szCs w:val="20"/>
              </w:rPr>
              <w:t xml:space="preserve">Programul Regional Sud-Est, PNRR și </w:t>
            </w:r>
            <w:r>
              <w:rPr>
                <w:rFonts w:eastAsia="Times New Roman" w:cs="Times New Roman"/>
                <w:sz w:val="20"/>
                <w:szCs w:val="20"/>
              </w:rPr>
              <w:lastRenderedPageBreak/>
              <w:t>Programul Interreg URBACT IV 2021 – 2027)</w:t>
            </w:r>
          </w:p>
        </w:tc>
      </w:tr>
      <w:tr w:rsidR="002508D3" w14:paraId="2556CFA6" w14:textId="77777777" w:rsidTr="002508D3">
        <w:trPr>
          <w:trHeight w:val="1185"/>
        </w:trPr>
        <w:tc>
          <w:tcPr>
            <w:tcW w:w="1875"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5874B85A" w14:textId="77777777" w:rsidR="002508D3" w:rsidRDefault="002508D3" w:rsidP="002508D3">
            <w:pPr>
              <w:widowControl w:val="0"/>
              <w:pBdr>
                <w:top w:val="nil"/>
                <w:left w:val="nil"/>
                <w:bottom w:val="nil"/>
                <w:right w:val="nil"/>
                <w:between w:val="nil"/>
              </w:pBdr>
              <w:spacing w:after="0"/>
              <w:ind w:firstLine="0"/>
              <w:rPr>
                <w:rFonts w:eastAsia="Times New Roman" w:cs="Times New Roman"/>
                <w:sz w:val="20"/>
                <w:szCs w:val="20"/>
              </w:rPr>
            </w:pPr>
          </w:p>
        </w:tc>
        <w:tc>
          <w:tcPr>
            <w:tcW w:w="2098" w:type="dxa"/>
            <w:vMerge/>
            <w:tcBorders>
              <w:left w:val="single" w:sz="4" w:space="0" w:color="auto"/>
              <w:bottom w:val="single" w:sz="4" w:space="0" w:color="auto"/>
              <w:right w:val="single" w:sz="4" w:space="0" w:color="auto"/>
            </w:tcBorders>
          </w:tcPr>
          <w:p w14:paraId="10D143E4" w14:textId="77777777" w:rsidR="002508D3" w:rsidRDefault="002508D3" w:rsidP="002508D3">
            <w:pPr>
              <w:spacing w:after="0" w:line="240" w:lineRule="auto"/>
              <w:ind w:firstLine="16"/>
              <w:rPr>
                <w:rFonts w:eastAsia="Times New Roman" w:cs="Times New Roman"/>
                <w:sz w:val="20"/>
                <w:szCs w:val="20"/>
              </w:rPr>
            </w:pPr>
          </w:p>
        </w:tc>
        <w:tc>
          <w:tcPr>
            <w:tcW w:w="4112" w:type="dxa"/>
            <w:tcBorders>
              <w:top w:val="single" w:sz="8" w:space="0" w:color="000000"/>
              <w:left w:val="single" w:sz="4" w:space="0" w:color="auto"/>
              <w:bottom w:val="single" w:sz="8" w:space="0" w:color="000000"/>
              <w:right w:val="single" w:sz="8" w:space="0" w:color="000000"/>
            </w:tcBorders>
            <w:tcMar>
              <w:top w:w="0" w:type="dxa"/>
              <w:left w:w="100" w:type="dxa"/>
              <w:bottom w:w="0" w:type="dxa"/>
              <w:right w:w="100" w:type="dxa"/>
            </w:tcMar>
          </w:tcPr>
          <w:p w14:paraId="47264A95" w14:textId="77777777" w:rsidR="002508D3" w:rsidRDefault="002508D3" w:rsidP="002508D3">
            <w:pPr>
              <w:spacing w:after="0" w:line="240" w:lineRule="auto"/>
              <w:ind w:firstLine="0"/>
              <w:rPr>
                <w:rFonts w:eastAsia="Times New Roman" w:cs="Times New Roman"/>
                <w:sz w:val="20"/>
                <w:szCs w:val="20"/>
                <w:highlight w:val="white"/>
              </w:rPr>
            </w:pPr>
            <w:r>
              <w:rPr>
                <w:rFonts w:eastAsia="Times New Roman" w:cs="Times New Roman"/>
                <w:sz w:val="20"/>
                <w:szCs w:val="20"/>
              </w:rPr>
              <w:t>A 2.1.4 Implementarea de proiecte de evaluare și prevenire a riscurilor pentru protejarea patrimoniului cultural de efectele dezastrelor naturale și de amenințările determinate de acțiunea uman</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3081E48"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97E7611"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3842FB5"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MC, autorități locale,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127222D"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Buget propriu MC, bugete locale, Programul Național de Restaurare a Monumentelor – 2023, Programul Regional Sud-Est, PNRR</w:t>
            </w:r>
          </w:p>
        </w:tc>
      </w:tr>
      <w:tr w:rsidR="002508D3" w14:paraId="70106437" w14:textId="77777777" w:rsidTr="002508D3">
        <w:trPr>
          <w:trHeight w:val="612"/>
        </w:trPr>
        <w:tc>
          <w:tcPr>
            <w:tcW w:w="1875" w:type="dxa"/>
            <w:vMerge w:val="restart"/>
            <w:tcBorders>
              <w:top w:val="single" w:sz="4" w:space="0" w:color="auto"/>
              <w:left w:val="single" w:sz="4" w:space="0" w:color="000000"/>
              <w:right w:val="single" w:sz="4" w:space="0" w:color="auto"/>
            </w:tcBorders>
            <w:shd w:val="clear" w:color="auto" w:fill="auto"/>
            <w:tcMar>
              <w:top w:w="100" w:type="dxa"/>
              <w:left w:w="100" w:type="dxa"/>
              <w:bottom w:w="100" w:type="dxa"/>
              <w:right w:w="100" w:type="dxa"/>
            </w:tcMar>
          </w:tcPr>
          <w:p w14:paraId="0E68C8BB"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M2.2</w:t>
            </w:r>
            <w:r>
              <w:t xml:space="preserve"> </w:t>
            </w:r>
            <w:r>
              <w:rPr>
                <w:rFonts w:eastAsia="Times New Roman" w:cs="Times New Roman"/>
                <w:color w:val="000000"/>
                <w:sz w:val="20"/>
                <w:szCs w:val="20"/>
              </w:rPr>
              <w:t xml:space="preserve">Alcătuirea cadastrului monumentelor și siturilor arheologice </w:t>
            </w:r>
          </w:p>
        </w:tc>
        <w:tc>
          <w:tcPr>
            <w:tcW w:w="2098" w:type="dxa"/>
            <w:vMerge w:val="restart"/>
            <w:tcBorders>
              <w:top w:val="single" w:sz="4" w:space="0" w:color="auto"/>
              <w:left w:val="single" w:sz="4" w:space="0" w:color="auto"/>
              <w:right w:val="single" w:sz="4" w:space="0" w:color="auto"/>
            </w:tcBorders>
          </w:tcPr>
          <w:p w14:paraId="64E974F7" w14:textId="77777777" w:rsidR="002508D3" w:rsidRDefault="002508D3" w:rsidP="002508D3">
            <w:pPr>
              <w:spacing w:after="0" w:line="240" w:lineRule="auto"/>
              <w:ind w:firstLine="16"/>
              <w:rPr>
                <w:rFonts w:eastAsia="Times New Roman" w:cs="Times New Roman"/>
                <w:sz w:val="20"/>
                <w:szCs w:val="20"/>
              </w:rPr>
            </w:pPr>
            <w:r w:rsidRPr="00820F4E">
              <w:rPr>
                <w:rFonts w:eastAsia="Times New Roman" w:cs="Times New Roman"/>
                <w:sz w:val="20"/>
                <w:szCs w:val="20"/>
              </w:rPr>
              <w:t>Os1.a Protejarea eficientă a valorilor naturale, peisagistice și culturale</w:t>
            </w:r>
          </w:p>
        </w:tc>
        <w:tc>
          <w:tcPr>
            <w:tcW w:w="4112" w:type="dxa"/>
            <w:tcBorders>
              <w:top w:val="single" w:sz="8" w:space="0" w:color="000000"/>
              <w:left w:val="single" w:sz="4" w:space="0" w:color="auto"/>
              <w:bottom w:val="single" w:sz="8" w:space="0" w:color="000000"/>
              <w:right w:val="single" w:sz="4" w:space="0" w:color="000000"/>
            </w:tcBorders>
            <w:tcMar>
              <w:top w:w="0" w:type="dxa"/>
              <w:left w:w="100" w:type="dxa"/>
              <w:bottom w:w="0" w:type="dxa"/>
              <w:right w:w="100" w:type="dxa"/>
            </w:tcMar>
          </w:tcPr>
          <w:p w14:paraId="6B39090F" w14:textId="77777777" w:rsidR="002508D3" w:rsidRDefault="002508D3" w:rsidP="002508D3">
            <w:pPr>
              <w:spacing w:after="0" w:line="240" w:lineRule="auto"/>
              <w:ind w:firstLine="0"/>
              <w:rPr>
                <w:rFonts w:eastAsia="Times New Roman" w:cs="Times New Roman"/>
                <w:sz w:val="20"/>
                <w:szCs w:val="20"/>
                <w:highlight w:val="white"/>
              </w:rPr>
            </w:pPr>
            <w:r>
              <w:rPr>
                <w:rFonts w:eastAsia="Times New Roman" w:cs="Times New Roman"/>
                <w:sz w:val="20"/>
                <w:szCs w:val="20"/>
              </w:rPr>
              <w:t>A 2.2.1 Crearea unei baze de date geospațiale a monumentelor și siturilor arheologice din Lista Monumentelor Istorice pentru zona costieră</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61D82C8"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52EEFB9"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4AF6778"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MC (INP), ANCPI, MDLPA, autorități locale</w:t>
            </w:r>
          </w:p>
        </w:tc>
        <w:tc>
          <w:tcPr>
            <w:tcW w:w="1702" w:type="dxa"/>
            <w:vMerge w:val="restart"/>
            <w:tcBorders>
              <w:top w:val="single" w:sz="4" w:space="0" w:color="000000"/>
              <w:left w:val="single" w:sz="4" w:space="0" w:color="000000"/>
              <w:right w:val="single" w:sz="4" w:space="0" w:color="000000"/>
            </w:tcBorders>
            <w:shd w:val="clear" w:color="auto" w:fill="auto"/>
            <w:tcMar>
              <w:top w:w="100" w:type="dxa"/>
              <w:left w:w="100" w:type="dxa"/>
              <w:bottom w:w="100" w:type="dxa"/>
              <w:right w:w="100" w:type="dxa"/>
            </w:tcMar>
          </w:tcPr>
          <w:p w14:paraId="38214993"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Programul Național de Cadastru și Carte Funciară, Programul Național de Restaurare a Monumentelor, bugete locale, Programul Regional Sud-Est</w:t>
            </w:r>
          </w:p>
        </w:tc>
      </w:tr>
      <w:tr w:rsidR="002508D3" w14:paraId="3575E508" w14:textId="77777777" w:rsidTr="002508D3">
        <w:trPr>
          <w:trHeight w:val="612"/>
        </w:trPr>
        <w:tc>
          <w:tcPr>
            <w:tcW w:w="1875" w:type="dxa"/>
            <w:vMerge/>
            <w:tcBorders>
              <w:top w:val="single" w:sz="4" w:space="0" w:color="000000"/>
              <w:left w:val="single" w:sz="4" w:space="0" w:color="000000"/>
              <w:right w:val="single" w:sz="4" w:space="0" w:color="auto"/>
            </w:tcBorders>
            <w:shd w:val="clear" w:color="auto" w:fill="auto"/>
            <w:tcMar>
              <w:top w:w="100" w:type="dxa"/>
              <w:left w:w="100" w:type="dxa"/>
              <w:bottom w:w="100" w:type="dxa"/>
              <w:right w:w="100" w:type="dxa"/>
            </w:tcMar>
          </w:tcPr>
          <w:p w14:paraId="3FE18DB0" w14:textId="77777777" w:rsidR="002508D3" w:rsidRDefault="002508D3" w:rsidP="002508D3">
            <w:pPr>
              <w:widowControl w:val="0"/>
              <w:pBdr>
                <w:top w:val="nil"/>
                <w:left w:val="nil"/>
                <w:bottom w:val="nil"/>
                <w:right w:val="nil"/>
                <w:between w:val="nil"/>
              </w:pBdr>
              <w:spacing w:after="0"/>
              <w:ind w:firstLine="0"/>
              <w:rPr>
                <w:rFonts w:eastAsia="Times New Roman" w:cs="Times New Roman"/>
                <w:sz w:val="20"/>
                <w:szCs w:val="20"/>
              </w:rPr>
            </w:pPr>
          </w:p>
        </w:tc>
        <w:tc>
          <w:tcPr>
            <w:tcW w:w="2098" w:type="dxa"/>
            <w:vMerge/>
            <w:tcBorders>
              <w:left w:val="single" w:sz="4" w:space="0" w:color="auto"/>
              <w:right w:val="single" w:sz="4" w:space="0" w:color="auto"/>
            </w:tcBorders>
          </w:tcPr>
          <w:p w14:paraId="4B056E95" w14:textId="77777777" w:rsidR="002508D3" w:rsidRDefault="002508D3" w:rsidP="002508D3">
            <w:pPr>
              <w:spacing w:after="0" w:line="240" w:lineRule="auto"/>
              <w:ind w:firstLine="16"/>
              <w:rPr>
                <w:rFonts w:eastAsia="Times New Roman" w:cs="Times New Roman"/>
                <w:sz w:val="20"/>
                <w:szCs w:val="20"/>
              </w:rPr>
            </w:pPr>
          </w:p>
        </w:tc>
        <w:tc>
          <w:tcPr>
            <w:tcW w:w="4112" w:type="dxa"/>
            <w:tcBorders>
              <w:top w:val="single" w:sz="8" w:space="0" w:color="000000"/>
              <w:left w:val="single" w:sz="4" w:space="0" w:color="auto"/>
              <w:bottom w:val="single" w:sz="8" w:space="0" w:color="000000"/>
              <w:right w:val="single" w:sz="4" w:space="0" w:color="000000"/>
            </w:tcBorders>
            <w:tcMar>
              <w:top w:w="0" w:type="dxa"/>
              <w:left w:w="100" w:type="dxa"/>
              <w:bottom w:w="0" w:type="dxa"/>
              <w:right w:w="100" w:type="dxa"/>
            </w:tcMar>
          </w:tcPr>
          <w:p w14:paraId="2A701535" w14:textId="77777777" w:rsidR="002508D3" w:rsidRDefault="002508D3" w:rsidP="002508D3">
            <w:pPr>
              <w:spacing w:after="0" w:line="240" w:lineRule="auto"/>
              <w:ind w:firstLine="0"/>
              <w:rPr>
                <w:rFonts w:eastAsia="Times New Roman" w:cs="Times New Roman"/>
                <w:sz w:val="20"/>
                <w:szCs w:val="20"/>
                <w:highlight w:val="white"/>
              </w:rPr>
            </w:pPr>
            <w:r>
              <w:rPr>
                <w:rFonts w:eastAsia="Times New Roman" w:cs="Times New Roman"/>
                <w:sz w:val="20"/>
                <w:szCs w:val="20"/>
              </w:rPr>
              <w:t>A 2.2.2 Realizarea unui atlas al elementelor de patrimoniu construit din LMI din zona costieră</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8EA6C3F"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Medie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4476622"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225F781"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MC, MDLPA</w:t>
            </w:r>
          </w:p>
        </w:tc>
        <w:tc>
          <w:tcPr>
            <w:tcW w:w="1702" w:type="dxa"/>
            <w:vMerge/>
            <w:tcBorders>
              <w:top w:val="single" w:sz="4" w:space="0" w:color="000000"/>
              <w:left w:val="single" w:sz="4" w:space="0" w:color="000000"/>
              <w:right w:val="single" w:sz="4" w:space="0" w:color="000000"/>
            </w:tcBorders>
            <w:shd w:val="clear" w:color="auto" w:fill="auto"/>
            <w:tcMar>
              <w:top w:w="100" w:type="dxa"/>
              <w:left w:w="100" w:type="dxa"/>
              <w:bottom w:w="100" w:type="dxa"/>
              <w:right w:w="100" w:type="dxa"/>
            </w:tcMar>
          </w:tcPr>
          <w:p w14:paraId="0594B87A" w14:textId="77777777" w:rsidR="002508D3" w:rsidRDefault="002508D3" w:rsidP="002508D3">
            <w:pPr>
              <w:widowControl w:val="0"/>
              <w:pBdr>
                <w:top w:val="nil"/>
                <w:left w:val="nil"/>
                <w:bottom w:val="nil"/>
                <w:right w:val="nil"/>
                <w:between w:val="nil"/>
              </w:pBdr>
              <w:spacing w:after="0"/>
              <w:ind w:firstLine="0"/>
              <w:rPr>
                <w:rFonts w:eastAsia="Times New Roman" w:cs="Times New Roman"/>
                <w:sz w:val="20"/>
                <w:szCs w:val="20"/>
              </w:rPr>
            </w:pPr>
          </w:p>
        </w:tc>
      </w:tr>
      <w:tr w:rsidR="002508D3" w14:paraId="4D7E2EF1" w14:textId="77777777" w:rsidTr="002508D3">
        <w:trPr>
          <w:trHeight w:val="612"/>
        </w:trPr>
        <w:tc>
          <w:tcPr>
            <w:tcW w:w="1875" w:type="dxa"/>
            <w:vMerge/>
            <w:tcBorders>
              <w:top w:val="single" w:sz="4" w:space="0" w:color="000000"/>
              <w:left w:val="single" w:sz="4" w:space="0" w:color="000000"/>
              <w:right w:val="single" w:sz="4" w:space="0" w:color="auto"/>
            </w:tcBorders>
            <w:shd w:val="clear" w:color="auto" w:fill="auto"/>
            <w:tcMar>
              <w:top w:w="100" w:type="dxa"/>
              <w:left w:w="100" w:type="dxa"/>
              <w:bottom w:w="100" w:type="dxa"/>
              <w:right w:w="100" w:type="dxa"/>
            </w:tcMar>
          </w:tcPr>
          <w:p w14:paraId="06E04409" w14:textId="77777777" w:rsidR="002508D3" w:rsidRDefault="002508D3" w:rsidP="002508D3">
            <w:pPr>
              <w:widowControl w:val="0"/>
              <w:pBdr>
                <w:top w:val="nil"/>
                <w:left w:val="nil"/>
                <w:bottom w:val="nil"/>
                <w:right w:val="nil"/>
                <w:between w:val="nil"/>
              </w:pBdr>
              <w:spacing w:after="0"/>
              <w:ind w:firstLine="0"/>
              <w:rPr>
                <w:rFonts w:eastAsia="Times New Roman" w:cs="Times New Roman"/>
                <w:sz w:val="20"/>
                <w:szCs w:val="20"/>
              </w:rPr>
            </w:pPr>
          </w:p>
        </w:tc>
        <w:tc>
          <w:tcPr>
            <w:tcW w:w="2098" w:type="dxa"/>
            <w:vMerge/>
            <w:tcBorders>
              <w:left w:val="single" w:sz="4" w:space="0" w:color="auto"/>
              <w:bottom w:val="single" w:sz="4" w:space="0" w:color="auto"/>
              <w:right w:val="single" w:sz="4" w:space="0" w:color="auto"/>
            </w:tcBorders>
          </w:tcPr>
          <w:p w14:paraId="649EB32E" w14:textId="77777777" w:rsidR="002508D3" w:rsidRDefault="002508D3" w:rsidP="002508D3">
            <w:pPr>
              <w:spacing w:after="0" w:line="240" w:lineRule="auto"/>
              <w:ind w:firstLine="16"/>
              <w:rPr>
                <w:rFonts w:eastAsia="Times New Roman" w:cs="Times New Roman"/>
                <w:sz w:val="20"/>
                <w:szCs w:val="20"/>
              </w:rPr>
            </w:pPr>
          </w:p>
        </w:tc>
        <w:tc>
          <w:tcPr>
            <w:tcW w:w="4112" w:type="dxa"/>
            <w:tcBorders>
              <w:top w:val="single" w:sz="8" w:space="0" w:color="000000"/>
              <w:left w:val="single" w:sz="4" w:space="0" w:color="auto"/>
              <w:bottom w:val="single" w:sz="8" w:space="0" w:color="000000"/>
              <w:right w:val="single" w:sz="4" w:space="0" w:color="000000"/>
            </w:tcBorders>
            <w:tcMar>
              <w:top w:w="0" w:type="dxa"/>
              <w:left w:w="100" w:type="dxa"/>
              <w:bottom w:w="0" w:type="dxa"/>
              <w:right w:w="100" w:type="dxa"/>
            </w:tcMar>
          </w:tcPr>
          <w:p w14:paraId="374CE878" w14:textId="77777777" w:rsidR="002508D3" w:rsidRDefault="002508D3" w:rsidP="002508D3">
            <w:pPr>
              <w:spacing w:after="0" w:line="240" w:lineRule="auto"/>
              <w:ind w:firstLine="0"/>
              <w:rPr>
                <w:rFonts w:eastAsia="Times New Roman" w:cs="Times New Roman"/>
                <w:sz w:val="20"/>
                <w:szCs w:val="20"/>
                <w:highlight w:val="white"/>
              </w:rPr>
            </w:pPr>
            <w:r>
              <w:rPr>
                <w:rFonts w:eastAsia="Times New Roman" w:cs="Times New Roman"/>
                <w:sz w:val="20"/>
                <w:szCs w:val="20"/>
              </w:rPr>
              <w:t>A 2.2.3 Identificarea regimului de proprietate pentru monumentele și siturile din LMI de grupă valorică A (de importanță națională și internațională) din zona costieră</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C7F07A2"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05482A1"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5243DD8"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Autorități locale, MDLPA, MC</w:t>
            </w:r>
          </w:p>
        </w:tc>
        <w:tc>
          <w:tcPr>
            <w:tcW w:w="1702" w:type="dxa"/>
            <w:vMerge/>
            <w:tcBorders>
              <w:top w:val="single" w:sz="4" w:space="0" w:color="000000"/>
              <w:left w:val="single" w:sz="4" w:space="0" w:color="000000"/>
              <w:right w:val="single" w:sz="4" w:space="0" w:color="000000"/>
            </w:tcBorders>
            <w:shd w:val="clear" w:color="auto" w:fill="auto"/>
            <w:tcMar>
              <w:top w:w="100" w:type="dxa"/>
              <w:left w:w="100" w:type="dxa"/>
              <w:bottom w:w="100" w:type="dxa"/>
              <w:right w:w="100" w:type="dxa"/>
            </w:tcMar>
          </w:tcPr>
          <w:p w14:paraId="6A655BC3" w14:textId="77777777" w:rsidR="002508D3" w:rsidRDefault="002508D3" w:rsidP="002508D3">
            <w:pPr>
              <w:widowControl w:val="0"/>
              <w:pBdr>
                <w:top w:val="nil"/>
                <w:left w:val="nil"/>
                <w:bottom w:val="nil"/>
                <w:right w:val="nil"/>
                <w:between w:val="nil"/>
              </w:pBdr>
              <w:spacing w:after="0"/>
              <w:ind w:firstLine="0"/>
              <w:rPr>
                <w:rFonts w:eastAsia="Times New Roman" w:cs="Times New Roman"/>
                <w:sz w:val="20"/>
                <w:szCs w:val="20"/>
              </w:rPr>
            </w:pPr>
          </w:p>
        </w:tc>
      </w:tr>
      <w:tr w:rsidR="002508D3" w14:paraId="6ED59E55" w14:textId="77777777" w:rsidTr="002508D3">
        <w:trPr>
          <w:trHeight w:val="466"/>
        </w:trPr>
        <w:tc>
          <w:tcPr>
            <w:tcW w:w="1875" w:type="dxa"/>
            <w:vMerge w:val="restart"/>
            <w:tcBorders>
              <w:top w:val="single" w:sz="4" w:space="0" w:color="000000"/>
              <w:left w:val="single" w:sz="4" w:space="0" w:color="000000"/>
              <w:right w:val="single" w:sz="4" w:space="0" w:color="auto"/>
            </w:tcBorders>
            <w:shd w:val="clear" w:color="auto" w:fill="auto"/>
            <w:tcMar>
              <w:top w:w="100" w:type="dxa"/>
              <w:left w:w="100" w:type="dxa"/>
              <w:bottom w:w="100" w:type="dxa"/>
              <w:right w:w="100" w:type="dxa"/>
            </w:tcMar>
          </w:tcPr>
          <w:p w14:paraId="7CDBAAFD" w14:textId="77777777" w:rsidR="002508D3" w:rsidRDefault="002508D3" w:rsidP="002508D3">
            <w:pPr>
              <w:spacing w:after="0" w:line="240" w:lineRule="auto"/>
              <w:ind w:firstLine="0"/>
              <w:rPr>
                <w:rFonts w:eastAsia="Times New Roman" w:cs="Times New Roman"/>
                <w:color w:val="000000"/>
                <w:sz w:val="20"/>
                <w:szCs w:val="20"/>
              </w:rPr>
            </w:pPr>
          </w:p>
          <w:p w14:paraId="123BAB24" w14:textId="77777777" w:rsidR="002508D3" w:rsidRDefault="002508D3" w:rsidP="002508D3">
            <w:pPr>
              <w:spacing w:after="0" w:line="240" w:lineRule="auto"/>
              <w:ind w:firstLine="0"/>
              <w:rPr>
                <w:rFonts w:eastAsia="Times New Roman" w:cs="Times New Roman"/>
                <w:color w:val="000000"/>
                <w:sz w:val="20"/>
                <w:szCs w:val="20"/>
              </w:rPr>
            </w:pPr>
          </w:p>
          <w:p w14:paraId="1621480A" w14:textId="77777777" w:rsidR="002508D3" w:rsidRDefault="002508D3" w:rsidP="002508D3">
            <w:pPr>
              <w:spacing w:after="0" w:line="240" w:lineRule="auto"/>
              <w:ind w:firstLine="0"/>
              <w:rPr>
                <w:rFonts w:eastAsia="Times New Roman" w:cs="Times New Roman"/>
                <w:color w:val="000000"/>
                <w:sz w:val="20"/>
                <w:szCs w:val="20"/>
              </w:rPr>
            </w:pPr>
          </w:p>
          <w:p w14:paraId="15D577CF" w14:textId="77777777" w:rsidR="002508D3" w:rsidRDefault="002508D3" w:rsidP="002508D3">
            <w:pPr>
              <w:spacing w:after="0" w:line="240" w:lineRule="auto"/>
              <w:ind w:firstLine="0"/>
              <w:rPr>
                <w:rFonts w:eastAsia="Times New Roman" w:cs="Times New Roman"/>
                <w:color w:val="000000"/>
                <w:sz w:val="20"/>
                <w:szCs w:val="20"/>
              </w:rPr>
            </w:pPr>
          </w:p>
          <w:p w14:paraId="39620150" w14:textId="77777777" w:rsidR="002508D3" w:rsidRDefault="002508D3" w:rsidP="002508D3">
            <w:pPr>
              <w:spacing w:after="0" w:line="240" w:lineRule="auto"/>
              <w:ind w:firstLine="0"/>
              <w:rPr>
                <w:rFonts w:eastAsia="Times New Roman" w:cs="Times New Roman"/>
                <w:color w:val="000000"/>
                <w:sz w:val="20"/>
                <w:szCs w:val="20"/>
              </w:rPr>
            </w:pPr>
          </w:p>
          <w:p w14:paraId="7FD92DFB"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M2.3 Inventarierea, cercetarea și punerea în valoare a patrimoniului cultural subacvatic</w:t>
            </w:r>
          </w:p>
        </w:tc>
        <w:tc>
          <w:tcPr>
            <w:tcW w:w="2098" w:type="dxa"/>
            <w:vMerge w:val="restart"/>
            <w:tcBorders>
              <w:top w:val="single" w:sz="4" w:space="0" w:color="auto"/>
              <w:left w:val="single" w:sz="4" w:space="0" w:color="auto"/>
              <w:bottom w:val="nil"/>
              <w:right w:val="single" w:sz="4" w:space="0" w:color="auto"/>
            </w:tcBorders>
          </w:tcPr>
          <w:p w14:paraId="49C5E0CE" w14:textId="77777777" w:rsidR="002508D3" w:rsidRDefault="002508D3" w:rsidP="002508D3">
            <w:pPr>
              <w:spacing w:after="0" w:line="240" w:lineRule="auto"/>
              <w:ind w:firstLine="16"/>
              <w:rPr>
                <w:rFonts w:eastAsia="Times New Roman" w:cs="Times New Roman"/>
                <w:sz w:val="20"/>
                <w:szCs w:val="20"/>
              </w:rPr>
            </w:pPr>
            <w:r w:rsidRPr="00820F4E">
              <w:rPr>
                <w:rFonts w:eastAsia="Times New Roman" w:cs="Times New Roman"/>
                <w:sz w:val="20"/>
                <w:szCs w:val="20"/>
              </w:rPr>
              <w:lastRenderedPageBreak/>
              <w:t>Os1.a Protejarea eficientă a valorilor naturale, peisagistice și culturale</w:t>
            </w:r>
            <w:r>
              <w:rPr>
                <w:rFonts w:eastAsia="Times New Roman" w:cs="Times New Roman"/>
                <w:sz w:val="20"/>
                <w:szCs w:val="20"/>
              </w:rPr>
              <w:t>.</w:t>
            </w:r>
          </w:p>
        </w:tc>
        <w:tc>
          <w:tcPr>
            <w:tcW w:w="4112"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474E2AF5"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2.3.1 Modificarea cadrului legislativ privitor la cercetarea arheologică a mediului subacvatic</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CD2D6F7"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F8D9307"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2025</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54E5074"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MC</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87154F9"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Buget propriu MC</w:t>
            </w:r>
          </w:p>
        </w:tc>
      </w:tr>
      <w:tr w:rsidR="002508D3" w14:paraId="6FB5EF4E" w14:textId="77777777" w:rsidTr="00473248">
        <w:trPr>
          <w:trHeight w:val="612"/>
        </w:trPr>
        <w:tc>
          <w:tcPr>
            <w:tcW w:w="1875"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142826D5" w14:textId="77777777" w:rsidR="002508D3" w:rsidRDefault="002508D3" w:rsidP="002508D3">
            <w:pPr>
              <w:widowControl w:val="0"/>
              <w:pBdr>
                <w:top w:val="nil"/>
                <w:left w:val="nil"/>
                <w:bottom w:val="nil"/>
                <w:right w:val="nil"/>
                <w:between w:val="nil"/>
              </w:pBdr>
              <w:spacing w:after="0"/>
              <w:ind w:firstLine="0"/>
              <w:rPr>
                <w:rFonts w:eastAsia="Times New Roman" w:cs="Times New Roman"/>
                <w:sz w:val="20"/>
                <w:szCs w:val="20"/>
              </w:rPr>
            </w:pPr>
          </w:p>
        </w:tc>
        <w:tc>
          <w:tcPr>
            <w:tcW w:w="2098" w:type="dxa"/>
            <w:vMerge/>
            <w:tcBorders>
              <w:left w:val="single" w:sz="4" w:space="0" w:color="auto"/>
              <w:bottom w:val="single" w:sz="4" w:space="0" w:color="auto"/>
              <w:right w:val="single" w:sz="4" w:space="0" w:color="auto"/>
            </w:tcBorders>
          </w:tcPr>
          <w:p w14:paraId="636667E8" w14:textId="77777777" w:rsidR="002508D3" w:rsidRDefault="002508D3" w:rsidP="002508D3">
            <w:pPr>
              <w:spacing w:after="0" w:line="240" w:lineRule="auto"/>
              <w:ind w:firstLine="16"/>
              <w:rPr>
                <w:rFonts w:eastAsia="Times New Roman" w:cs="Times New Roman"/>
                <w:sz w:val="20"/>
                <w:szCs w:val="20"/>
              </w:rPr>
            </w:pPr>
          </w:p>
        </w:tc>
        <w:tc>
          <w:tcPr>
            <w:tcW w:w="4112"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6AAD27C3"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 xml:space="preserve">A 2.3.2 Inițierea și implementarea unui program național de pregătire și formare profesională a arheologilor, în scopul constituirii unui corp </w:t>
            </w:r>
            <w:r>
              <w:rPr>
                <w:rFonts w:eastAsia="Times New Roman" w:cs="Times New Roman"/>
                <w:sz w:val="20"/>
                <w:szCs w:val="20"/>
              </w:rPr>
              <w:lastRenderedPageBreak/>
              <w:t>profesional dedicat domeniului care să asigure standarde de calitate ale intervenţiilor de cercetare și conservare a patrimoniului cultural subacvatic</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FDB670B"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lastRenderedPageBreak/>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F0CC67E"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827C423"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MC</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89C5001"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Buget propriu MC, Program Regional Sud-Est</w:t>
            </w:r>
          </w:p>
        </w:tc>
      </w:tr>
      <w:tr w:rsidR="002508D3" w14:paraId="7C5332C5" w14:textId="77777777" w:rsidTr="00473248">
        <w:trPr>
          <w:trHeight w:val="612"/>
        </w:trPr>
        <w:tc>
          <w:tcPr>
            <w:tcW w:w="1875" w:type="dxa"/>
            <w:vMerge/>
            <w:tcBorders>
              <w:top w:val="single" w:sz="4" w:space="0" w:color="auto"/>
              <w:left w:val="single" w:sz="4" w:space="0" w:color="000000"/>
              <w:right w:val="single" w:sz="4" w:space="0" w:color="auto"/>
            </w:tcBorders>
            <w:shd w:val="clear" w:color="auto" w:fill="auto"/>
            <w:tcMar>
              <w:top w:w="100" w:type="dxa"/>
              <w:left w:w="100" w:type="dxa"/>
              <w:bottom w:w="100" w:type="dxa"/>
              <w:right w:w="100" w:type="dxa"/>
            </w:tcMar>
          </w:tcPr>
          <w:p w14:paraId="31AA8556" w14:textId="77777777" w:rsidR="002508D3" w:rsidRDefault="002508D3" w:rsidP="002508D3">
            <w:pPr>
              <w:widowControl w:val="0"/>
              <w:pBdr>
                <w:top w:val="nil"/>
                <w:left w:val="nil"/>
                <w:bottom w:val="nil"/>
                <w:right w:val="nil"/>
                <w:between w:val="nil"/>
              </w:pBdr>
              <w:spacing w:after="0"/>
              <w:ind w:firstLine="0"/>
              <w:rPr>
                <w:rFonts w:eastAsia="Times New Roman" w:cs="Times New Roman"/>
                <w:sz w:val="20"/>
                <w:szCs w:val="20"/>
              </w:rPr>
            </w:pPr>
          </w:p>
        </w:tc>
        <w:tc>
          <w:tcPr>
            <w:tcW w:w="2098" w:type="dxa"/>
            <w:vMerge/>
            <w:tcBorders>
              <w:top w:val="single" w:sz="4" w:space="0" w:color="auto"/>
              <w:left w:val="single" w:sz="4" w:space="0" w:color="auto"/>
              <w:bottom w:val="nil"/>
              <w:right w:val="single" w:sz="4" w:space="0" w:color="auto"/>
            </w:tcBorders>
          </w:tcPr>
          <w:p w14:paraId="75CA13C6" w14:textId="77777777" w:rsidR="002508D3" w:rsidRDefault="002508D3" w:rsidP="002508D3">
            <w:pPr>
              <w:spacing w:after="0" w:line="240" w:lineRule="auto"/>
              <w:ind w:firstLine="16"/>
              <w:rPr>
                <w:rFonts w:eastAsia="Times New Roman" w:cs="Times New Roman"/>
                <w:sz w:val="20"/>
                <w:szCs w:val="20"/>
              </w:rPr>
            </w:pPr>
          </w:p>
        </w:tc>
        <w:tc>
          <w:tcPr>
            <w:tcW w:w="4112" w:type="dxa"/>
            <w:tcBorders>
              <w:top w:val="single" w:sz="4" w:space="0" w:color="auto"/>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64658378"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2.3.3. Înființarea unui centru de cercetări arheologice subacvatice, dotat cu aparatura și tehnica necesare derulării acestui tip de investigații</w:t>
            </w:r>
          </w:p>
        </w:tc>
        <w:tc>
          <w:tcPr>
            <w:tcW w:w="1419"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25718C34"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101C792A"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000000"/>
              <w:left w:val="single" w:sz="4" w:space="0" w:color="000000"/>
              <w:bottom w:val="single" w:sz="4" w:space="0" w:color="auto"/>
              <w:right w:val="single" w:sz="4" w:space="0" w:color="000000"/>
            </w:tcBorders>
            <w:shd w:val="clear" w:color="auto" w:fill="auto"/>
            <w:tcMar>
              <w:top w:w="100" w:type="dxa"/>
              <w:left w:w="100" w:type="dxa"/>
              <w:bottom w:w="100" w:type="dxa"/>
              <w:right w:w="100" w:type="dxa"/>
            </w:tcMar>
          </w:tcPr>
          <w:p w14:paraId="2F6104AB"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MC, MCID (INCD GeoEcoMar)</w:t>
            </w:r>
          </w:p>
        </w:tc>
        <w:tc>
          <w:tcPr>
            <w:tcW w:w="1702" w:type="dxa"/>
            <w:tcBorders>
              <w:top w:val="single" w:sz="4" w:space="0" w:color="000000"/>
              <w:left w:val="single" w:sz="4" w:space="0" w:color="000000"/>
              <w:bottom w:val="single" w:sz="4" w:space="0" w:color="auto"/>
              <w:right w:val="single" w:sz="4" w:space="0" w:color="000000"/>
            </w:tcBorders>
            <w:shd w:val="clear" w:color="auto" w:fill="auto"/>
            <w:tcMar>
              <w:top w:w="100" w:type="dxa"/>
              <w:left w:w="100" w:type="dxa"/>
              <w:bottom w:w="100" w:type="dxa"/>
              <w:right w:w="100" w:type="dxa"/>
            </w:tcMar>
          </w:tcPr>
          <w:p w14:paraId="37FCE7BE"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Buget propriu MC, PNCDI IV, Horizon Europe, Program Regional Sud-Est</w:t>
            </w:r>
          </w:p>
        </w:tc>
      </w:tr>
      <w:tr w:rsidR="002508D3" w14:paraId="7FE3AA83" w14:textId="77777777" w:rsidTr="002508D3">
        <w:trPr>
          <w:trHeight w:val="612"/>
        </w:trPr>
        <w:tc>
          <w:tcPr>
            <w:tcW w:w="1875" w:type="dxa"/>
            <w:vMerge/>
            <w:tcBorders>
              <w:top w:val="single" w:sz="4" w:space="0" w:color="000000"/>
              <w:left w:val="single" w:sz="4" w:space="0" w:color="000000"/>
              <w:right w:val="single" w:sz="4" w:space="0" w:color="auto"/>
            </w:tcBorders>
            <w:shd w:val="clear" w:color="auto" w:fill="auto"/>
            <w:tcMar>
              <w:top w:w="100" w:type="dxa"/>
              <w:left w:w="100" w:type="dxa"/>
              <w:bottom w:w="100" w:type="dxa"/>
              <w:right w:w="100" w:type="dxa"/>
            </w:tcMar>
          </w:tcPr>
          <w:p w14:paraId="1ECFAC19" w14:textId="77777777" w:rsidR="002508D3" w:rsidRDefault="002508D3" w:rsidP="002508D3">
            <w:pPr>
              <w:widowControl w:val="0"/>
              <w:pBdr>
                <w:top w:val="nil"/>
                <w:left w:val="nil"/>
                <w:bottom w:val="nil"/>
                <w:right w:val="nil"/>
                <w:between w:val="nil"/>
              </w:pBdr>
              <w:spacing w:after="0"/>
              <w:ind w:firstLine="0"/>
              <w:rPr>
                <w:rFonts w:eastAsia="Times New Roman" w:cs="Times New Roman"/>
                <w:sz w:val="20"/>
                <w:szCs w:val="20"/>
              </w:rPr>
            </w:pPr>
          </w:p>
        </w:tc>
        <w:tc>
          <w:tcPr>
            <w:tcW w:w="2098" w:type="dxa"/>
            <w:vMerge/>
            <w:tcBorders>
              <w:left w:val="single" w:sz="4" w:space="0" w:color="auto"/>
              <w:bottom w:val="nil"/>
              <w:right w:val="single" w:sz="4" w:space="0" w:color="auto"/>
            </w:tcBorders>
          </w:tcPr>
          <w:p w14:paraId="200A10BA" w14:textId="77777777" w:rsidR="002508D3" w:rsidRDefault="002508D3" w:rsidP="002508D3">
            <w:pPr>
              <w:spacing w:after="0" w:line="240" w:lineRule="auto"/>
              <w:ind w:firstLine="16"/>
              <w:rPr>
                <w:rFonts w:eastAsia="Times New Roman" w:cs="Times New Roman"/>
                <w:sz w:val="20"/>
                <w:szCs w:val="20"/>
              </w:rPr>
            </w:pPr>
          </w:p>
        </w:tc>
        <w:tc>
          <w:tcPr>
            <w:tcW w:w="4112"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3D307AA6"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2.3.4 Realizarea unei baze de date care va cuprinde informații istorice, descriptive și spațiale privitoare la patrimoniul cultural și peisajul istoric subacvatic</w:t>
            </w:r>
          </w:p>
        </w:tc>
        <w:tc>
          <w:tcPr>
            <w:tcW w:w="1419"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7DE0C4C"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C8A78DA"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auto"/>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74B3AB5"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MC, MCID (INCD GeoEcoMar)</w:t>
            </w:r>
          </w:p>
        </w:tc>
        <w:tc>
          <w:tcPr>
            <w:tcW w:w="1702" w:type="dxa"/>
            <w:tcBorders>
              <w:top w:val="single" w:sz="4" w:space="0" w:color="auto"/>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C1800CE"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Buget propriu MC, PNCDI IV</w:t>
            </w:r>
          </w:p>
        </w:tc>
      </w:tr>
      <w:tr w:rsidR="002508D3" w14:paraId="25B80518" w14:textId="77777777" w:rsidTr="002508D3">
        <w:trPr>
          <w:trHeight w:val="612"/>
        </w:trPr>
        <w:tc>
          <w:tcPr>
            <w:tcW w:w="1875" w:type="dxa"/>
            <w:vMerge/>
            <w:tcBorders>
              <w:top w:val="single" w:sz="4" w:space="0" w:color="000000"/>
              <w:left w:val="single" w:sz="4" w:space="0" w:color="000000"/>
              <w:bottom w:val="single" w:sz="4" w:space="0" w:color="000000"/>
              <w:right w:val="single" w:sz="4" w:space="0" w:color="auto"/>
            </w:tcBorders>
            <w:shd w:val="clear" w:color="auto" w:fill="auto"/>
            <w:tcMar>
              <w:top w:w="100" w:type="dxa"/>
              <w:left w:w="100" w:type="dxa"/>
              <w:bottom w:w="100" w:type="dxa"/>
              <w:right w:w="100" w:type="dxa"/>
            </w:tcMar>
          </w:tcPr>
          <w:p w14:paraId="5C114EF6" w14:textId="77777777" w:rsidR="002508D3" w:rsidRDefault="002508D3" w:rsidP="002508D3">
            <w:pPr>
              <w:widowControl w:val="0"/>
              <w:pBdr>
                <w:top w:val="nil"/>
                <w:left w:val="nil"/>
                <w:bottom w:val="nil"/>
                <w:right w:val="nil"/>
                <w:between w:val="nil"/>
              </w:pBdr>
              <w:spacing w:after="0"/>
              <w:ind w:firstLine="0"/>
              <w:rPr>
                <w:rFonts w:eastAsia="Times New Roman" w:cs="Times New Roman"/>
                <w:sz w:val="20"/>
                <w:szCs w:val="20"/>
              </w:rPr>
            </w:pPr>
          </w:p>
        </w:tc>
        <w:tc>
          <w:tcPr>
            <w:tcW w:w="2098" w:type="dxa"/>
            <w:vMerge/>
            <w:tcBorders>
              <w:left w:val="single" w:sz="4" w:space="0" w:color="auto"/>
              <w:bottom w:val="nil"/>
              <w:right w:val="single" w:sz="4" w:space="0" w:color="auto"/>
            </w:tcBorders>
          </w:tcPr>
          <w:p w14:paraId="1F0F1873" w14:textId="77777777" w:rsidR="002508D3" w:rsidRDefault="002508D3" w:rsidP="002508D3">
            <w:pPr>
              <w:spacing w:after="0" w:line="240" w:lineRule="auto"/>
              <w:ind w:firstLine="16"/>
              <w:rPr>
                <w:rFonts w:eastAsia="Times New Roman" w:cs="Times New Roman"/>
                <w:sz w:val="20"/>
                <w:szCs w:val="20"/>
              </w:rPr>
            </w:pPr>
          </w:p>
        </w:tc>
        <w:tc>
          <w:tcPr>
            <w:tcW w:w="4112"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2129A887"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2.3.5 Crearea în cadrul muzeelor de istorie și arheologie de infrastructuri pentru analiza, conservarea și restaurarea patrimoniului cultural subacvatic, asigurându-se astfel păstrarea în condiții optime, punerea în valoare și accesibilitatea atât pentru specialiști, cât și publicul larg</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6331816"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Medie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12FE40E"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54C9B52"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MC, autorități locale</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6EF4F0B"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Buget propriu MC, bugete locale, Program Regional Sud-Est</w:t>
            </w:r>
          </w:p>
        </w:tc>
      </w:tr>
      <w:tr w:rsidR="002508D3" w14:paraId="2C9582B1" w14:textId="77777777" w:rsidTr="002508D3">
        <w:trPr>
          <w:trHeight w:val="612"/>
        </w:trPr>
        <w:tc>
          <w:tcPr>
            <w:tcW w:w="1875" w:type="dxa"/>
            <w:vMerge w:val="restart"/>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1FA82C5F"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M2.4 Inventarierea și evaluarea peisajului în zona costieră</w:t>
            </w:r>
          </w:p>
        </w:tc>
        <w:tc>
          <w:tcPr>
            <w:tcW w:w="2098" w:type="dxa"/>
            <w:vMerge w:val="restart"/>
            <w:tcBorders>
              <w:top w:val="nil"/>
              <w:left w:val="single" w:sz="4" w:space="0" w:color="auto"/>
              <w:right w:val="single" w:sz="4" w:space="0" w:color="auto"/>
            </w:tcBorders>
          </w:tcPr>
          <w:p w14:paraId="77ED318F" w14:textId="77777777" w:rsidR="00473248" w:rsidRDefault="00473248" w:rsidP="002508D3">
            <w:pPr>
              <w:spacing w:after="0" w:line="240" w:lineRule="auto"/>
              <w:ind w:firstLine="16"/>
              <w:rPr>
                <w:rFonts w:eastAsia="Times New Roman" w:cs="Times New Roman"/>
                <w:sz w:val="20"/>
                <w:szCs w:val="20"/>
              </w:rPr>
            </w:pPr>
          </w:p>
          <w:p w14:paraId="6193354E" w14:textId="77777777" w:rsidR="00473248" w:rsidRDefault="00473248" w:rsidP="002508D3">
            <w:pPr>
              <w:spacing w:after="0" w:line="240" w:lineRule="auto"/>
              <w:ind w:firstLine="16"/>
              <w:rPr>
                <w:rFonts w:eastAsia="Times New Roman" w:cs="Times New Roman"/>
                <w:sz w:val="20"/>
                <w:szCs w:val="20"/>
              </w:rPr>
            </w:pPr>
          </w:p>
          <w:p w14:paraId="11BAEEA7" w14:textId="77777777" w:rsidR="002508D3" w:rsidRDefault="002508D3" w:rsidP="002508D3">
            <w:pPr>
              <w:spacing w:after="0" w:line="240" w:lineRule="auto"/>
              <w:ind w:firstLine="16"/>
              <w:rPr>
                <w:rFonts w:eastAsia="Times New Roman" w:cs="Times New Roman"/>
                <w:sz w:val="20"/>
                <w:szCs w:val="20"/>
              </w:rPr>
            </w:pPr>
            <w:r w:rsidRPr="00820F4E">
              <w:rPr>
                <w:rFonts w:eastAsia="Times New Roman" w:cs="Times New Roman"/>
                <w:sz w:val="20"/>
                <w:szCs w:val="20"/>
              </w:rPr>
              <w:t>Os1.a Protejarea eficientă a valorilor naturale, peisagistice și culturale</w:t>
            </w:r>
            <w:r>
              <w:rPr>
                <w:rFonts w:eastAsia="Times New Roman" w:cs="Times New Roman"/>
                <w:sz w:val="20"/>
                <w:szCs w:val="20"/>
              </w:rPr>
              <w:t>.</w:t>
            </w:r>
          </w:p>
        </w:tc>
        <w:tc>
          <w:tcPr>
            <w:tcW w:w="4112"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4B6225FE"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2.4.1 Elaborarea unei metodologii pentru inventarierea și evaluarea peisajului costier</w:t>
            </w:r>
          </w:p>
          <w:p w14:paraId="0F584EA4" w14:textId="77777777" w:rsidR="002508D3" w:rsidRDefault="002508D3" w:rsidP="002508D3">
            <w:pPr>
              <w:spacing w:after="0" w:line="240" w:lineRule="auto"/>
              <w:ind w:firstLine="0"/>
              <w:rPr>
                <w:rFonts w:eastAsia="Times New Roman" w:cs="Times New Roman"/>
                <w:sz w:val="20"/>
                <w:szCs w:val="20"/>
                <w:highlight w:val="white"/>
              </w:rPr>
            </w:pP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9CD9EC7"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Medie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05110C8"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2027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0FDB659"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MDLPA,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0497189"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Fondurii proprii MDLPA, Programul Regional Sud-Est, PNRR</w:t>
            </w:r>
          </w:p>
        </w:tc>
      </w:tr>
      <w:tr w:rsidR="002508D3" w14:paraId="23A4C66A" w14:textId="77777777" w:rsidTr="002508D3">
        <w:trPr>
          <w:trHeight w:val="612"/>
        </w:trPr>
        <w:tc>
          <w:tcPr>
            <w:tcW w:w="1875"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7EC385AE" w14:textId="77777777" w:rsidR="002508D3" w:rsidRDefault="002508D3" w:rsidP="002508D3">
            <w:pPr>
              <w:widowControl w:val="0"/>
              <w:pBdr>
                <w:top w:val="nil"/>
                <w:left w:val="nil"/>
                <w:bottom w:val="nil"/>
                <w:right w:val="nil"/>
                <w:between w:val="nil"/>
              </w:pBdr>
              <w:spacing w:after="0"/>
              <w:rPr>
                <w:rFonts w:eastAsia="Times New Roman" w:cs="Times New Roman"/>
                <w:sz w:val="20"/>
                <w:szCs w:val="20"/>
              </w:rPr>
            </w:pPr>
          </w:p>
        </w:tc>
        <w:tc>
          <w:tcPr>
            <w:tcW w:w="2098" w:type="dxa"/>
            <w:vMerge/>
            <w:tcBorders>
              <w:left w:val="single" w:sz="4" w:space="0" w:color="auto"/>
              <w:right w:val="single" w:sz="4" w:space="0" w:color="auto"/>
            </w:tcBorders>
          </w:tcPr>
          <w:p w14:paraId="2DEC6C0F" w14:textId="77777777" w:rsidR="002508D3" w:rsidRDefault="002508D3" w:rsidP="002508D3">
            <w:pPr>
              <w:spacing w:after="0" w:line="240" w:lineRule="auto"/>
              <w:rPr>
                <w:rFonts w:eastAsia="Times New Roman" w:cs="Times New Roman"/>
                <w:sz w:val="20"/>
                <w:szCs w:val="20"/>
              </w:rPr>
            </w:pPr>
          </w:p>
        </w:tc>
        <w:tc>
          <w:tcPr>
            <w:tcW w:w="4112"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61FA3B10"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2.4.2 Realizarea atlasului peisajului costier</w:t>
            </w:r>
          </w:p>
          <w:p w14:paraId="57B8B6D1" w14:textId="77777777" w:rsidR="002508D3" w:rsidRDefault="002508D3" w:rsidP="002508D3">
            <w:pPr>
              <w:spacing w:after="0" w:line="240" w:lineRule="auto"/>
              <w:ind w:firstLine="0"/>
              <w:rPr>
                <w:rFonts w:eastAsia="Times New Roman" w:cs="Times New Roman"/>
                <w:sz w:val="20"/>
                <w:szCs w:val="20"/>
                <w:highlight w:val="white"/>
              </w:rPr>
            </w:pP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44A603E"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Medie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45B0F15"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2027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45E42F8"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MDLPA,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F3BC942"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 xml:space="preserve">Fonduri proprii MDLPA, Programul Național de Cadastru și Carte Funciară, </w:t>
            </w:r>
            <w:r>
              <w:rPr>
                <w:rFonts w:eastAsia="Times New Roman" w:cs="Times New Roman"/>
                <w:sz w:val="20"/>
                <w:szCs w:val="20"/>
              </w:rPr>
              <w:lastRenderedPageBreak/>
              <w:t>Programul Regional Sud-Est, PNRR</w:t>
            </w:r>
          </w:p>
        </w:tc>
      </w:tr>
      <w:tr w:rsidR="002508D3" w14:paraId="781DB829" w14:textId="77777777" w:rsidTr="002508D3">
        <w:trPr>
          <w:trHeight w:val="612"/>
        </w:trPr>
        <w:tc>
          <w:tcPr>
            <w:tcW w:w="1875"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035C9765" w14:textId="77777777" w:rsidR="002508D3" w:rsidRDefault="002508D3" w:rsidP="002508D3">
            <w:pPr>
              <w:widowControl w:val="0"/>
              <w:pBdr>
                <w:top w:val="nil"/>
                <w:left w:val="nil"/>
                <w:bottom w:val="nil"/>
                <w:right w:val="nil"/>
                <w:between w:val="nil"/>
              </w:pBdr>
              <w:spacing w:after="0"/>
              <w:rPr>
                <w:rFonts w:eastAsia="Times New Roman" w:cs="Times New Roman"/>
                <w:sz w:val="20"/>
                <w:szCs w:val="20"/>
              </w:rPr>
            </w:pPr>
          </w:p>
        </w:tc>
        <w:tc>
          <w:tcPr>
            <w:tcW w:w="2098" w:type="dxa"/>
            <w:vMerge/>
            <w:tcBorders>
              <w:left w:val="single" w:sz="4" w:space="0" w:color="auto"/>
              <w:bottom w:val="single" w:sz="4" w:space="0" w:color="auto"/>
              <w:right w:val="single" w:sz="4" w:space="0" w:color="auto"/>
            </w:tcBorders>
          </w:tcPr>
          <w:p w14:paraId="1228AABA" w14:textId="77777777" w:rsidR="002508D3" w:rsidRDefault="002508D3" w:rsidP="002508D3">
            <w:pPr>
              <w:spacing w:after="0" w:line="240" w:lineRule="auto"/>
              <w:rPr>
                <w:rFonts w:eastAsia="Times New Roman" w:cs="Times New Roman"/>
                <w:sz w:val="20"/>
                <w:szCs w:val="20"/>
              </w:rPr>
            </w:pPr>
          </w:p>
        </w:tc>
        <w:tc>
          <w:tcPr>
            <w:tcW w:w="4112"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3D2A5B6A" w14:textId="77777777" w:rsidR="002508D3" w:rsidRDefault="002508D3" w:rsidP="002508D3">
            <w:pPr>
              <w:spacing w:after="0" w:line="240" w:lineRule="auto"/>
              <w:ind w:firstLine="0"/>
              <w:rPr>
                <w:rFonts w:eastAsia="Times New Roman" w:cs="Times New Roman"/>
                <w:sz w:val="20"/>
                <w:szCs w:val="20"/>
                <w:highlight w:val="white"/>
              </w:rPr>
            </w:pPr>
            <w:r>
              <w:rPr>
                <w:rFonts w:eastAsia="Times New Roman" w:cs="Times New Roman"/>
                <w:sz w:val="20"/>
                <w:szCs w:val="20"/>
              </w:rPr>
              <w:t>A 2.4.3 Elaborarea unei metodologii / ghid pentru programele de conservare /reabilitare / valorificare a peisajului costier</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D01D40A"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A305800"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2027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BACE611"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MDLPA, MCID (INCD-uri),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30313DD"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Fonduri proprii MDLPA, PNCDI IV, PNRR, Programul Regional Sud-Est</w:t>
            </w:r>
          </w:p>
        </w:tc>
      </w:tr>
    </w:tbl>
    <w:p w14:paraId="4CDC4601" w14:textId="77777777" w:rsidR="002508D3" w:rsidRDefault="002508D3" w:rsidP="002508D3">
      <w:pPr>
        <w:tabs>
          <w:tab w:val="left" w:pos="7824"/>
        </w:tabs>
        <w:spacing w:line="257" w:lineRule="auto"/>
        <w:ind w:firstLine="0"/>
        <w:rPr>
          <w:rFonts w:eastAsia="Times New Roman" w:cs="Times New Roman"/>
        </w:rPr>
      </w:pPr>
    </w:p>
    <w:p w14:paraId="39766D87" w14:textId="77777777" w:rsidR="002508D3" w:rsidRDefault="002508D3" w:rsidP="002508D3">
      <w:pPr>
        <w:spacing w:before="0"/>
        <w:ind w:firstLine="567"/>
        <w:rPr>
          <w:rFonts w:eastAsia="Times New Roman" w:cs="Times New Roman"/>
        </w:rPr>
      </w:pPr>
      <w:r>
        <w:rPr>
          <w:rFonts w:eastAsia="Times New Roman" w:cs="Times New Roman"/>
        </w:rPr>
        <w:t xml:space="preserve">Activitățile ce se vor realiza în vederea implementării </w:t>
      </w:r>
      <w:r>
        <w:rPr>
          <w:rFonts w:eastAsia="Times New Roman" w:cs="Times New Roman"/>
          <w:b/>
          <w:i/>
        </w:rPr>
        <w:t>Programului de Măsuri</w:t>
      </w:r>
      <w:r>
        <w:rPr>
          <w:rFonts w:eastAsia="Times New Roman" w:cs="Times New Roman"/>
          <w:b/>
          <w:color w:val="000000"/>
        </w:rPr>
        <w:t xml:space="preserve"> </w:t>
      </w:r>
      <w:r>
        <w:rPr>
          <w:rFonts w:eastAsia="Times New Roman" w:cs="Times New Roman"/>
          <w:b/>
          <w:i/>
          <w:color w:val="000000"/>
        </w:rPr>
        <w:t xml:space="preserve">de protecție și conservarea biodiversității și habitatelor zonei costiere </w:t>
      </w:r>
      <w:r>
        <w:rPr>
          <w:rFonts w:eastAsia="Times New Roman" w:cs="Times New Roman"/>
        </w:rPr>
        <w:t>sunt prezentate în Tabelul de mai jos, unde sunt indicate termenele de implementare, organizațiile responsabile pentru realizarea activităților, și implicit implementarea măsurilor, precum și posibilele surse de finanțare.</w:t>
      </w:r>
    </w:p>
    <w:tbl>
      <w:tblPr>
        <w:tblW w:w="14049" w:type="dxa"/>
        <w:tblInd w:w="-27" w:type="dxa"/>
        <w:tblBorders>
          <w:top w:val="nil"/>
          <w:left w:val="nil"/>
          <w:bottom w:val="nil"/>
          <w:right w:val="nil"/>
          <w:insideH w:val="nil"/>
          <w:insideV w:val="nil"/>
        </w:tblBorders>
        <w:tblLayout w:type="fixed"/>
        <w:tblLook w:val="0600" w:firstRow="0" w:lastRow="0" w:firstColumn="0" w:lastColumn="0" w:noHBand="1" w:noVBand="1"/>
      </w:tblPr>
      <w:tblGrid>
        <w:gridCol w:w="1943"/>
        <w:gridCol w:w="2036"/>
        <w:gridCol w:w="4254"/>
        <w:gridCol w:w="1277"/>
        <w:gridCol w:w="1418"/>
        <w:gridCol w:w="1419"/>
        <w:gridCol w:w="1702"/>
      </w:tblGrid>
      <w:tr w:rsidR="002508D3" w14:paraId="3F51DEF3" w14:textId="77777777" w:rsidTr="002508D3">
        <w:trPr>
          <w:trHeight w:val="390"/>
        </w:trPr>
        <w:tc>
          <w:tcPr>
            <w:tcW w:w="1943" w:type="dxa"/>
            <w:tcBorders>
              <w:top w:val="single" w:sz="5" w:space="0" w:color="000000"/>
              <w:left w:val="single" w:sz="5" w:space="0" w:color="000000"/>
              <w:bottom w:val="single" w:sz="4" w:space="0" w:color="000000"/>
              <w:right w:val="single" w:sz="4" w:space="0" w:color="auto"/>
            </w:tcBorders>
            <w:tcMar>
              <w:top w:w="0" w:type="dxa"/>
              <w:left w:w="100" w:type="dxa"/>
              <w:bottom w:w="0" w:type="dxa"/>
              <w:right w:w="100" w:type="dxa"/>
            </w:tcMar>
          </w:tcPr>
          <w:p w14:paraId="0F54B3BB"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Măsură</w:t>
            </w:r>
          </w:p>
        </w:tc>
        <w:tc>
          <w:tcPr>
            <w:tcW w:w="2036" w:type="dxa"/>
            <w:tcBorders>
              <w:top w:val="single" w:sz="4" w:space="0" w:color="auto"/>
              <w:left w:val="single" w:sz="4" w:space="0" w:color="auto"/>
              <w:bottom w:val="single" w:sz="4" w:space="0" w:color="auto"/>
              <w:right w:val="single" w:sz="4" w:space="0" w:color="auto"/>
            </w:tcBorders>
          </w:tcPr>
          <w:p w14:paraId="3F7FBEB0"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Obiective vizate</w:t>
            </w:r>
          </w:p>
        </w:tc>
        <w:tc>
          <w:tcPr>
            <w:tcW w:w="4254" w:type="dxa"/>
            <w:tcBorders>
              <w:top w:val="single" w:sz="5" w:space="0" w:color="000000"/>
              <w:left w:val="single" w:sz="4" w:space="0" w:color="auto"/>
              <w:bottom w:val="single" w:sz="4" w:space="0" w:color="000000"/>
              <w:right w:val="single" w:sz="5" w:space="0" w:color="000000"/>
            </w:tcBorders>
            <w:tcMar>
              <w:top w:w="0" w:type="dxa"/>
              <w:left w:w="100" w:type="dxa"/>
              <w:bottom w:w="0" w:type="dxa"/>
              <w:right w:w="100" w:type="dxa"/>
            </w:tcMar>
          </w:tcPr>
          <w:p w14:paraId="22C330CB"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Activitate</w:t>
            </w:r>
          </w:p>
        </w:tc>
        <w:tc>
          <w:tcPr>
            <w:tcW w:w="1277" w:type="dxa"/>
            <w:tcBorders>
              <w:top w:val="single" w:sz="5" w:space="0" w:color="000000"/>
              <w:left w:val="nil"/>
              <w:bottom w:val="single" w:sz="4" w:space="0" w:color="000000"/>
              <w:right w:val="single" w:sz="5" w:space="0" w:color="000000"/>
            </w:tcBorders>
            <w:tcMar>
              <w:top w:w="0" w:type="dxa"/>
              <w:left w:w="100" w:type="dxa"/>
              <w:bottom w:w="0" w:type="dxa"/>
              <w:right w:w="100" w:type="dxa"/>
            </w:tcMar>
          </w:tcPr>
          <w:p w14:paraId="3533A0D5"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Prioritate</w:t>
            </w:r>
          </w:p>
        </w:tc>
        <w:tc>
          <w:tcPr>
            <w:tcW w:w="1418" w:type="dxa"/>
            <w:tcBorders>
              <w:top w:val="single" w:sz="5" w:space="0" w:color="000000"/>
              <w:left w:val="nil"/>
              <w:bottom w:val="single" w:sz="4" w:space="0" w:color="000000"/>
              <w:right w:val="single" w:sz="5" w:space="0" w:color="000000"/>
            </w:tcBorders>
            <w:tcMar>
              <w:top w:w="0" w:type="dxa"/>
              <w:left w:w="100" w:type="dxa"/>
              <w:bottom w:w="0" w:type="dxa"/>
              <w:right w:w="100" w:type="dxa"/>
            </w:tcMar>
          </w:tcPr>
          <w:p w14:paraId="18ADD0FD"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Termen de implementare</w:t>
            </w:r>
          </w:p>
        </w:tc>
        <w:tc>
          <w:tcPr>
            <w:tcW w:w="1419" w:type="dxa"/>
            <w:tcBorders>
              <w:top w:val="single" w:sz="5" w:space="0" w:color="000000"/>
              <w:left w:val="nil"/>
              <w:bottom w:val="single" w:sz="4" w:space="0" w:color="000000"/>
              <w:right w:val="single" w:sz="5" w:space="0" w:color="000000"/>
            </w:tcBorders>
            <w:tcMar>
              <w:top w:w="0" w:type="dxa"/>
              <w:left w:w="100" w:type="dxa"/>
              <w:bottom w:w="0" w:type="dxa"/>
              <w:right w:w="100" w:type="dxa"/>
            </w:tcMar>
          </w:tcPr>
          <w:p w14:paraId="5F3749EF"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Instituții responsabile</w:t>
            </w:r>
          </w:p>
        </w:tc>
        <w:tc>
          <w:tcPr>
            <w:tcW w:w="1702" w:type="dxa"/>
            <w:tcBorders>
              <w:top w:val="single" w:sz="5" w:space="0" w:color="000000"/>
              <w:left w:val="nil"/>
              <w:bottom w:val="single" w:sz="4" w:space="0" w:color="000000"/>
              <w:right w:val="single" w:sz="5" w:space="0" w:color="000000"/>
            </w:tcBorders>
            <w:tcMar>
              <w:top w:w="0" w:type="dxa"/>
              <w:left w:w="100" w:type="dxa"/>
              <w:bottom w:w="0" w:type="dxa"/>
              <w:right w:w="100" w:type="dxa"/>
            </w:tcMar>
          </w:tcPr>
          <w:p w14:paraId="671C2F5D"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Finanțare</w:t>
            </w:r>
          </w:p>
        </w:tc>
      </w:tr>
      <w:tr w:rsidR="002508D3" w14:paraId="68DD9F13" w14:textId="77777777" w:rsidTr="00473248">
        <w:trPr>
          <w:trHeight w:val="776"/>
        </w:trPr>
        <w:tc>
          <w:tcPr>
            <w:tcW w:w="1943" w:type="dxa"/>
            <w:vMerge w:val="restart"/>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42E2D3CA" w14:textId="77777777" w:rsidR="002508D3" w:rsidRDefault="002508D3" w:rsidP="002508D3">
            <w:pPr>
              <w:spacing w:after="0" w:line="240" w:lineRule="auto"/>
              <w:ind w:firstLine="0"/>
              <w:rPr>
                <w:rFonts w:eastAsia="Times New Roman" w:cs="Times New Roman"/>
                <w:color w:val="000000"/>
                <w:sz w:val="20"/>
                <w:szCs w:val="20"/>
              </w:rPr>
            </w:pPr>
          </w:p>
          <w:p w14:paraId="12E3B91D" w14:textId="77777777" w:rsidR="002508D3" w:rsidRDefault="002508D3" w:rsidP="002508D3">
            <w:pPr>
              <w:spacing w:after="0" w:line="240" w:lineRule="auto"/>
              <w:ind w:firstLine="0"/>
              <w:rPr>
                <w:rFonts w:eastAsia="Times New Roman" w:cs="Times New Roman"/>
                <w:color w:val="000000"/>
                <w:sz w:val="20"/>
                <w:szCs w:val="20"/>
              </w:rPr>
            </w:pPr>
          </w:p>
          <w:p w14:paraId="45414103" w14:textId="77777777" w:rsidR="002508D3" w:rsidRDefault="002508D3" w:rsidP="002508D3">
            <w:pPr>
              <w:spacing w:after="0" w:line="240" w:lineRule="auto"/>
              <w:ind w:firstLine="0"/>
              <w:rPr>
                <w:rFonts w:eastAsia="Times New Roman" w:cs="Times New Roman"/>
                <w:color w:val="000000"/>
                <w:sz w:val="20"/>
                <w:szCs w:val="20"/>
              </w:rPr>
            </w:pPr>
          </w:p>
          <w:p w14:paraId="7367E1C2" w14:textId="77777777" w:rsidR="002508D3" w:rsidRDefault="002508D3" w:rsidP="002508D3">
            <w:pPr>
              <w:spacing w:after="0" w:line="240" w:lineRule="auto"/>
              <w:ind w:firstLine="0"/>
              <w:rPr>
                <w:rFonts w:eastAsia="Times New Roman" w:cs="Times New Roman"/>
                <w:color w:val="000000"/>
                <w:sz w:val="20"/>
                <w:szCs w:val="20"/>
              </w:rPr>
            </w:pPr>
          </w:p>
          <w:p w14:paraId="734CCF3A" w14:textId="77777777" w:rsidR="002508D3" w:rsidRDefault="002508D3" w:rsidP="002508D3">
            <w:pPr>
              <w:spacing w:after="0" w:line="240" w:lineRule="auto"/>
              <w:ind w:firstLine="0"/>
              <w:rPr>
                <w:rFonts w:eastAsia="Times New Roman" w:cs="Times New Roman"/>
                <w:color w:val="000000"/>
                <w:sz w:val="20"/>
                <w:szCs w:val="20"/>
              </w:rPr>
            </w:pPr>
          </w:p>
          <w:p w14:paraId="64B6D8BB"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M3.1 Creșterea gradului de protecție și conservare a habitatelor zonei costiere</w:t>
            </w:r>
          </w:p>
          <w:p w14:paraId="55A57717" w14:textId="77777777" w:rsidR="002508D3" w:rsidRDefault="002508D3" w:rsidP="002508D3">
            <w:pPr>
              <w:spacing w:after="0" w:line="240" w:lineRule="auto"/>
              <w:ind w:firstLine="0"/>
              <w:rPr>
                <w:rFonts w:eastAsia="Times New Roman" w:cs="Times New Roman"/>
                <w:color w:val="000000"/>
                <w:sz w:val="20"/>
                <w:szCs w:val="20"/>
              </w:rPr>
            </w:pPr>
          </w:p>
          <w:p w14:paraId="47D6A28B" w14:textId="77777777" w:rsidR="002508D3" w:rsidRDefault="002508D3" w:rsidP="002508D3">
            <w:pPr>
              <w:spacing w:after="0" w:line="240" w:lineRule="auto"/>
              <w:ind w:firstLine="0"/>
              <w:rPr>
                <w:rFonts w:eastAsia="Times New Roman" w:cs="Times New Roman"/>
                <w:sz w:val="20"/>
                <w:szCs w:val="20"/>
              </w:rPr>
            </w:pPr>
          </w:p>
        </w:tc>
        <w:tc>
          <w:tcPr>
            <w:tcW w:w="2036" w:type="dxa"/>
            <w:vMerge w:val="restart"/>
            <w:tcBorders>
              <w:top w:val="single" w:sz="4" w:space="0" w:color="auto"/>
              <w:left w:val="single" w:sz="4" w:space="0" w:color="auto"/>
              <w:bottom w:val="single" w:sz="4" w:space="0" w:color="auto"/>
              <w:right w:val="single" w:sz="4" w:space="0" w:color="auto"/>
            </w:tcBorders>
          </w:tcPr>
          <w:p w14:paraId="10268BA3" w14:textId="77777777" w:rsidR="002508D3" w:rsidRPr="00820F4E" w:rsidRDefault="002508D3" w:rsidP="002508D3">
            <w:pPr>
              <w:spacing w:line="240" w:lineRule="auto"/>
              <w:ind w:firstLine="0"/>
              <w:rPr>
                <w:rFonts w:eastAsia="Times New Roman" w:cs="Times New Roman"/>
                <w:sz w:val="20"/>
                <w:szCs w:val="20"/>
              </w:rPr>
            </w:pPr>
            <w:r w:rsidRPr="00820F4E">
              <w:rPr>
                <w:rFonts w:eastAsia="Times New Roman" w:cs="Times New Roman"/>
                <w:sz w:val="20"/>
                <w:szCs w:val="20"/>
              </w:rPr>
              <w:lastRenderedPageBreak/>
              <w:t>Os1.a Protejarea eficientă a valorilor naturale, peisagistice și culturale</w:t>
            </w:r>
          </w:p>
          <w:p w14:paraId="31C7973A" w14:textId="77777777" w:rsidR="002508D3" w:rsidRDefault="002508D3" w:rsidP="002508D3">
            <w:pPr>
              <w:spacing w:line="240" w:lineRule="auto"/>
              <w:ind w:firstLine="0"/>
              <w:rPr>
                <w:rFonts w:eastAsia="Times New Roman" w:cs="Times New Roman"/>
                <w:sz w:val="20"/>
                <w:szCs w:val="20"/>
              </w:rPr>
            </w:pPr>
            <w:r w:rsidRPr="00820F4E">
              <w:rPr>
                <w:rFonts w:eastAsia="Times New Roman" w:cs="Times New Roman"/>
                <w:sz w:val="20"/>
                <w:szCs w:val="20"/>
              </w:rPr>
              <w:t>Os2.a Atingerea stării ecologice bune a ecosistemelor.</w:t>
            </w: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51014996" w14:textId="77777777" w:rsidR="002508D3" w:rsidRDefault="002508D3" w:rsidP="002508D3">
            <w:pPr>
              <w:spacing w:after="0" w:line="240" w:lineRule="auto"/>
              <w:ind w:firstLine="0"/>
              <w:rPr>
                <w:rFonts w:eastAsia="Times New Roman" w:cs="Times New Roman"/>
                <w:sz w:val="20"/>
                <w:szCs w:val="20"/>
                <w:highlight w:val="white"/>
              </w:rPr>
            </w:pPr>
            <w:r>
              <w:rPr>
                <w:rFonts w:eastAsia="Times New Roman" w:cs="Times New Roman"/>
                <w:sz w:val="20"/>
                <w:szCs w:val="20"/>
              </w:rPr>
              <w:t>A 3.1.1 Stabilirea unui cadru de guvernanță consolidat pentru a remedia disparitățile existente, pentru a asigura punerea în aplicare deplină a legislației UE și care sa reunească toate eforturile existente.</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970DE34"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A093B25"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2027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F2ED482"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MMAP</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29B3F71"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Buget propriu MMAP</w:t>
            </w:r>
          </w:p>
        </w:tc>
      </w:tr>
      <w:tr w:rsidR="002508D3" w14:paraId="02B2BF64" w14:textId="77777777" w:rsidTr="00473248">
        <w:trPr>
          <w:trHeight w:val="542"/>
        </w:trPr>
        <w:tc>
          <w:tcPr>
            <w:tcW w:w="1943" w:type="dxa"/>
            <w:vMerge/>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192C919E" w14:textId="77777777" w:rsidR="002508D3" w:rsidRDefault="002508D3" w:rsidP="002508D3">
            <w:pPr>
              <w:widowControl w:val="0"/>
              <w:pBdr>
                <w:top w:val="nil"/>
                <w:left w:val="nil"/>
                <w:bottom w:val="nil"/>
                <w:right w:val="nil"/>
                <w:between w:val="nil"/>
              </w:pBdr>
              <w:spacing w:after="0"/>
              <w:ind w:firstLine="0"/>
              <w:rPr>
                <w:rFonts w:eastAsia="Times New Roman" w:cs="Times New Roman"/>
                <w:sz w:val="20"/>
                <w:szCs w:val="20"/>
              </w:rPr>
            </w:pPr>
          </w:p>
        </w:tc>
        <w:tc>
          <w:tcPr>
            <w:tcW w:w="2036" w:type="dxa"/>
            <w:vMerge/>
            <w:tcBorders>
              <w:top w:val="single" w:sz="4" w:space="0" w:color="auto"/>
              <w:left w:val="single" w:sz="4" w:space="0" w:color="auto"/>
              <w:bottom w:val="single" w:sz="4" w:space="0" w:color="auto"/>
              <w:right w:val="single" w:sz="4" w:space="0" w:color="auto"/>
            </w:tcBorders>
          </w:tcPr>
          <w:p w14:paraId="5DDB1B96" w14:textId="77777777" w:rsidR="002508D3" w:rsidRDefault="002508D3" w:rsidP="002508D3">
            <w:pPr>
              <w:spacing w:after="0" w:line="240" w:lineRule="auto"/>
              <w:ind w:firstLine="0"/>
              <w:rPr>
                <w:rFonts w:eastAsia="Times New Roman" w:cs="Times New Roman"/>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39BE2462" w14:textId="77777777" w:rsidR="002508D3" w:rsidRDefault="002508D3" w:rsidP="002508D3">
            <w:pPr>
              <w:spacing w:after="0" w:line="240" w:lineRule="auto"/>
              <w:ind w:firstLine="0"/>
              <w:rPr>
                <w:rFonts w:eastAsia="Times New Roman" w:cs="Times New Roman"/>
                <w:sz w:val="20"/>
                <w:szCs w:val="20"/>
                <w:highlight w:val="white"/>
              </w:rPr>
            </w:pPr>
            <w:r>
              <w:rPr>
                <w:rFonts w:eastAsia="Times New Roman" w:cs="Times New Roman"/>
                <w:sz w:val="20"/>
                <w:szCs w:val="20"/>
              </w:rPr>
              <w:t>A 3.1.2 Monitorizarea și cartarea ecosistemelor costiere, în scopul de a spori capacitatea acestora de a oferi beneficii esențiale pentru dezvoltare sustenabilă.</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E8683BD"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978D616"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BB9B719" w14:textId="0371E78E"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MMAP (ANA</w:t>
            </w:r>
            <w:r w:rsidR="00AE17D9">
              <w:rPr>
                <w:rFonts w:eastAsia="Times New Roman" w:cs="Times New Roman"/>
                <w:sz w:val="20"/>
                <w:szCs w:val="20"/>
              </w:rPr>
              <w:t>N</w:t>
            </w:r>
            <w:r>
              <w:rPr>
                <w:rFonts w:eastAsia="Times New Roman" w:cs="Times New Roman"/>
                <w:sz w:val="20"/>
                <w:szCs w:val="20"/>
              </w:rPr>
              <w:t>P, ARBDD), MCID (INCD-uri),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EB22142"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Bugetul propriul MMAP, programe LIFE, PNRR și Horizon Europe, Planul Național de Cercetare Dezvoltare și Inovare 2022-2027 (PNCDI IV)</w:t>
            </w:r>
          </w:p>
        </w:tc>
      </w:tr>
      <w:tr w:rsidR="002508D3" w14:paraId="508097CF" w14:textId="77777777" w:rsidTr="00473248">
        <w:trPr>
          <w:trHeight w:val="1031"/>
        </w:trPr>
        <w:tc>
          <w:tcPr>
            <w:tcW w:w="1943" w:type="dxa"/>
            <w:vMerge/>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1E650DB6" w14:textId="77777777" w:rsidR="002508D3" w:rsidRDefault="002508D3" w:rsidP="002508D3">
            <w:pPr>
              <w:widowControl w:val="0"/>
              <w:pBdr>
                <w:top w:val="nil"/>
                <w:left w:val="nil"/>
                <w:bottom w:val="nil"/>
                <w:right w:val="nil"/>
                <w:between w:val="nil"/>
              </w:pBdr>
              <w:spacing w:after="0"/>
              <w:ind w:firstLine="0"/>
              <w:rPr>
                <w:rFonts w:eastAsia="Times New Roman" w:cs="Times New Roman"/>
                <w:sz w:val="20"/>
                <w:szCs w:val="20"/>
              </w:rPr>
            </w:pPr>
          </w:p>
        </w:tc>
        <w:tc>
          <w:tcPr>
            <w:tcW w:w="2036" w:type="dxa"/>
            <w:vMerge/>
            <w:tcBorders>
              <w:top w:val="single" w:sz="4" w:space="0" w:color="auto"/>
              <w:left w:val="single" w:sz="4" w:space="0" w:color="auto"/>
              <w:bottom w:val="single" w:sz="4" w:space="0" w:color="auto"/>
              <w:right w:val="single" w:sz="4" w:space="0" w:color="auto"/>
            </w:tcBorders>
          </w:tcPr>
          <w:p w14:paraId="25CBC34E" w14:textId="77777777" w:rsidR="002508D3" w:rsidRDefault="002508D3" w:rsidP="002508D3">
            <w:pPr>
              <w:spacing w:after="0" w:line="240" w:lineRule="auto"/>
              <w:ind w:firstLine="0"/>
              <w:rPr>
                <w:rFonts w:eastAsia="Times New Roman" w:cs="Times New Roman"/>
                <w:sz w:val="20"/>
                <w:szCs w:val="20"/>
                <w:highlight w:val="white"/>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15105D0F" w14:textId="77777777" w:rsidR="002508D3" w:rsidRDefault="002508D3" w:rsidP="002508D3">
            <w:pPr>
              <w:spacing w:after="0" w:line="240" w:lineRule="auto"/>
              <w:ind w:firstLine="0"/>
              <w:rPr>
                <w:rFonts w:eastAsia="Times New Roman" w:cs="Times New Roman"/>
                <w:sz w:val="20"/>
                <w:szCs w:val="20"/>
                <w:highlight w:val="white"/>
              </w:rPr>
            </w:pPr>
            <w:r>
              <w:rPr>
                <w:rFonts w:eastAsia="Times New Roman" w:cs="Times New Roman"/>
                <w:sz w:val="20"/>
                <w:szCs w:val="20"/>
                <w:highlight w:val="white"/>
              </w:rPr>
              <w:t xml:space="preserve">A 3.1.3 </w:t>
            </w:r>
            <w:r>
              <w:rPr>
                <w:rFonts w:eastAsia="Times New Roman" w:cs="Times New Roman"/>
                <w:sz w:val="20"/>
                <w:szCs w:val="20"/>
              </w:rPr>
              <w:t>Dezvoltarea și implementarea de proiecte pilot pentru conservarea unor specii sau a unor habitate periclitate pe plan național și/sau European.</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FCEB422"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Medie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7E15239"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A1C0E55"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MMAP (ANAP, ARBDD), MCID (INCD-uri),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15E7A23"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Bugetul propriul MMAP, programe LIFE, PNRR și Horizon Europe, Planul Național de Cercetare Dezvoltare și Inovare 2022-2027 (PNCDI IV)</w:t>
            </w:r>
          </w:p>
        </w:tc>
      </w:tr>
      <w:tr w:rsidR="002508D3" w14:paraId="0F0F3002" w14:textId="77777777" w:rsidTr="00473248">
        <w:trPr>
          <w:trHeight w:val="1025"/>
        </w:trPr>
        <w:tc>
          <w:tcPr>
            <w:tcW w:w="1943" w:type="dxa"/>
            <w:vMerge w:val="restart"/>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704CCD38"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M3.2. Elaborarea sau actualizarea, după caz, a Planurilor de Management pentru ariile naturale protejate din zona costieră</w:t>
            </w:r>
          </w:p>
        </w:tc>
        <w:tc>
          <w:tcPr>
            <w:tcW w:w="2036" w:type="dxa"/>
            <w:vMerge w:val="restart"/>
            <w:tcBorders>
              <w:top w:val="single" w:sz="4" w:space="0" w:color="auto"/>
              <w:left w:val="single" w:sz="4" w:space="0" w:color="auto"/>
              <w:bottom w:val="single" w:sz="4" w:space="0" w:color="auto"/>
              <w:right w:val="single" w:sz="4" w:space="0" w:color="auto"/>
            </w:tcBorders>
          </w:tcPr>
          <w:p w14:paraId="4D69C232" w14:textId="77777777" w:rsidR="002508D3" w:rsidRPr="00AC1E5C" w:rsidRDefault="002508D3" w:rsidP="002508D3">
            <w:pPr>
              <w:spacing w:line="240" w:lineRule="auto"/>
              <w:ind w:firstLine="0"/>
              <w:rPr>
                <w:rFonts w:eastAsia="Times New Roman" w:cs="Times New Roman"/>
                <w:sz w:val="20"/>
                <w:szCs w:val="20"/>
              </w:rPr>
            </w:pPr>
            <w:r w:rsidRPr="00AC1E5C">
              <w:rPr>
                <w:rFonts w:eastAsia="Times New Roman" w:cs="Times New Roman"/>
                <w:sz w:val="20"/>
                <w:szCs w:val="20"/>
              </w:rPr>
              <w:t>Os1.a Protejarea eficientă a valorilor naturale, peisagistice și culturale</w:t>
            </w:r>
          </w:p>
          <w:p w14:paraId="6D4BE4E2" w14:textId="77777777" w:rsidR="002508D3" w:rsidRDefault="002508D3" w:rsidP="002508D3">
            <w:pPr>
              <w:spacing w:line="240" w:lineRule="auto"/>
              <w:ind w:firstLine="0"/>
              <w:rPr>
                <w:rFonts w:eastAsia="Times New Roman" w:cs="Times New Roman"/>
                <w:sz w:val="20"/>
                <w:szCs w:val="20"/>
                <w:highlight w:val="white"/>
              </w:rPr>
            </w:pPr>
            <w:r w:rsidRPr="00AC1E5C">
              <w:rPr>
                <w:rFonts w:eastAsia="Times New Roman" w:cs="Times New Roman"/>
                <w:sz w:val="20"/>
                <w:szCs w:val="20"/>
              </w:rPr>
              <w:t>Os2.a Atingerea stării ecologice bune a ecosistemelor.</w:t>
            </w: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1398A173" w14:textId="77777777" w:rsidR="002508D3" w:rsidRDefault="002508D3" w:rsidP="002508D3">
            <w:pPr>
              <w:spacing w:after="0" w:line="240" w:lineRule="auto"/>
              <w:ind w:firstLine="0"/>
              <w:rPr>
                <w:rFonts w:eastAsia="Times New Roman" w:cs="Times New Roman"/>
                <w:sz w:val="20"/>
                <w:szCs w:val="20"/>
                <w:highlight w:val="white"/>
              </w:rPr>
            </w:pPr>
            <w:r>
              <w:rPr>
                <w:rFonts w:eastAsia="Times New Roman" w:cs="Times New Roman"/>
                <w:sz w:val="20"/>
                <w:szCs w:val="20"/>
                <w:highlight w:val="white"/>
              </w:rPr>
              <w:t xml:space="preserve">A 3.2.1 </w:t>
            </w:r>
            <w:r>
              <w:rPr>
                <w:rFonts w:eastAsia="Times New Roman" w:cs="Times New Roman"/>
                <w:sz w:val="20"/>
                <w:szCs w:val="20"/>
              </w:rPr>
              <w:t>Elaborarea/Actualizarea și implementarea Planurilor de management, strategiilor şi a măsurilor de management a ariilor naturale protejate, precum şi altor activităţi conexe (activităţi preliminare măsurilor concrete de investiţii sau conservare).</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1766941"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6B0D076"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839FD49"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MMAP (ANAP, ARBDD), MCID (INCD-uri),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3B698C3"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Buget propriu MMAP, Programe LIFE, PNRR, Horizon Europe, Planul Național de Cercetare Dezvoltare și Inovare 2022-2027 (PNCDI IV)</w:t>
            </w:r>
          </w:p>
        </w:tc>
      </w:tr>
      <w:tr w:rsidR="002508D3" w14:paraId="74F9FBD3" w14:textId="77777777" w:rsidTr="00473248">
        <w:trPr>
          <w:trHeight w:val="816"/>
        </w:trPr>
        <w:tc>
          <w:tcPr>
            <w:tcW w:w="1943" w:type="dxa"/>
            <w:vMerge/>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54B174EC" w14:textId="77777777" w:rsidR="002508D3" w:rsidRDefault="002508D3" w:rsidP="002508D3">
            <w:pPr>
              <w:widowControl w:val="0"/>
              <w:pBdr>
                <w:top w:val="nil"/>
                <w:left w:val="nil"/>
                <w:bottom w:val="nil"/>
                <w:right w:val="nil"/>
                <w:between w:val="nil"/>
              </w:pBdr>
              <w:spacing w:after="0"/>
              <w:ind w:firstLine="0"/>
              <w:rPr>
                <w:rFonts w:eastAsia="Times New Roman" w:cs="Times New Roman"/>
                <w:sz w:val="20"/>
                <w:szCs w:val="20"/>
              </w:rPr>
            </w:pPr>
          </w:p>
        </w:tc>
        <w:tc>
          <w:tcPr>
            <w:tcW w:w="2036" w:type="dxa"/>
            <w:vMerge/>
            <w:tcBorders>
              <w:top w:val="single" w:sz="4" w:space="0" w:color="auto"/>
              <w:left w:val="single" w:sz="4" w:space="0" w:color="auto"/>
              <w:bottom w:val="single" w:sz="4" w:space="0" w:color="auto"/>
              <w:right w:val="single" w:sz="4" w:space="0" w:color="auto"/>
            </w:tcBorders>
          </w:tcPr>
          <w:p w14:paraId="36DF646A" w14:textId="77777777" w:rsidR="002508D3" w:rsidRDefault="002508D3" w:rsidP="002508D3">
            <w:pPr>
              <w:spacing w:after="0" w:line="240" w:lineRule="auto"/>
              <w:ind w:firstLine="0"/>
              <w:rPr>
                <w:rFonts w:eastAsia="Times New Roman" w:cs="Times New Roman"/>
                <w:sz w:val="20"/>
                <w:szCs w:val="20"/>
                <w:highlight w:val="white"/>
              </w:rPr>
            </w:pPr>
          </w:p>
        </w:tc>
        <w:tc>
          <w:tcPr>
            <w:tcW w:w="4254"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331C18D1" w14:textId="77777777" w:rsidR="002508D3" w:rsidRDefault="002508D3" w:rsidP="002508D3">
            <w:pPr>
              <w:spacing w:after="0" w:line="240" w:lineRule="auto"/>
              <w:ind w:firstLine="0"/>
              <w:rPr>
                <w:rFonts w:eastAsia="Times New Roman" w:cs="Times New Roman"/>
                <w:sz w:val="20"/>
                <w:szCs w:val="20"/>
                <w:highlight w:val="white"/>
              </w:rPr>
            </w:pPr>
            <w:r>
              <w:rPr>
                <w:rFonts w:eastAsia="Times New Roman" w:cs="Times New Roman"/>
                <w:sz w:val="20"/>
                <w:szCs w:val="20"/>
                <w:highlight w:val="white"/>
              </w:rPr>
              <w:t xml:space="preserve">A 3.2.2 </w:t>
            </w:r>
            <w:r>
              <w:rPr>
                <w:rFonts w:eastAsia="Times New Roman" w:cs="Times New Roman"/>
                <w:sz w:val="20"/>
                <w:szCs w:val="20"/>
              </w:rPr>
              <w:t>Inițierea și implementarea de programe de cercetare pentru protecția și conservarea ariilor protejate și a resurselor acvatice vii.</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7F0C964"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Medie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B6AD566"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C897C40"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MMAP (ANAP, ARBDD), MCID (INCD-uri),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170870F"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Programe LIFE, PNRR, Horizon Europe, Planul Național de Cercetare Dezvoltare și Inovare 2022-2027 (PNCDI IV)</w:t>
            </w:r>
          </w:p>
        </w:tc>
      </w:tr>
      <w:tr w:rsidR="002508D3" w14:paraId="026EBA61" w14:textId="77777777" w:rsidTr="00473248">
        <w:trPr>
          <w:trHeight w:val="858"/>
        </w:trPr>
        <w:tc>
          <w:tcPr>
            <w:tcW w:w="1943" w:type="dxa"/>
            <w:vMerge w:val="restart"/>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353EC264"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 xml:space="preserve">M3.3. Restabilirea/refacerea și utilizarea sustenabilă a ecosistemelor costiere utilizând </w:t>
            </w:r>
            <w:r>
              <w:rPr>
                <w:rFonts w:eastAsia="Times New Roman" w:cs="Times New Roman"/>
                <w:color w:val="000000"/>
                <w:sz w:val="20"/>
                <w:szCs w:val="20"/>
              </w:rPr>
              <w:lastRenderedPageBreak/>
              <w:t>soluțiile bazate pe natură</w:t>
            </w:r>
          </w:p>
        </w:tc>
        <w:tc>
          <w:tcPr>
            <w:tcW w:w="2036" w:type="dxa"/>
            <w:vMerge w:val="restart"/>
            <w:tcBorders>
              <w:top w:val="single" w:sz="4" w:space="0" w:color="auto"/>
              <w:left w:val="single" w:sz="4" w:space="0" w:color="auto"/>
              <w:bottom w:val="single" w:sz="4" w:space="0" w:color="auto"/>
              <w:right w:val="single" w:sz="4" w:space="0" w:color="auto"/>
            </w:tcBorders>
          </w:tcPr>
          <w:p w14:paraId="43B4502B" w14:textId="77777777" w:rsidR="002508D3" w:rsidRPr="00AC1E5C" w:rsidRDefault="002508D3" w:rsidP="002508D3">
            <w:pPr>
              <w:spacing w:line="240" w:lineRule="auto"/>
              <w:ind w:firstLine="0"/>
              <w:rPr>
                <w:rFonts w:eastAsia="Times New Roman" w:cs="Times New Roman"/>
                <w:sz w:val="20"/>
                <w:szCs w:val="20"/>
              </w:rPr>
            </w:pPr>
            <w:r w:rsidRPr="00AC1E5C">
              <w:rPr>
                <w:rFonts w:eastAsia="Times New Roman" w:cs="Times New Roman"/>
                <w:sz w:val="20"/>
                <w:szCs w:val="20"/>
              </w:rPr>
              <w:lastRenderedPageBreak/>
              <w:t>Os1.a Protejarea eficientă a valorilor naturale, peisagistice și culturale</w:t>
            </w:r>
            <w:r>
              <w:rPr>
                <w:rFonts w:eastAsia="Times New Roman" w:cs="Times New Roman"/>
                <w:sz w:val="20"/>
                <w:szCs w:val="20"/>
              </w:rPr>
              <w:t>;</w:t>
            </w:r>
          </w:p>
          <w:p w14:paraId="7774534A" w14:textId="77777777" w:rsidR="002508D3" w:rsidRPr="00AC1E5C" w:rsidRDefault="002508D3" w:rsidP="002508D3">
            <w:pPr>
              <w:spacing w:line="240" w:lineRule="auto"/>
              <w:ind w:firstLine="0"/>
              <w:rPr>
                <w:rFonts w:eastAsia="Times New Roman" w:cs="Times New Roman"/>
                <w:sz w:val="20"/>
                <w:szCs w:val="20"/>
              </w:rPr>
            </w:pPr>
            <w:r w:rsidRPr="00AC1E5C">
              <w:rPr>
                <w:rFonts w:eastAsia="Times New Roman" w:cs="Times New Roman"/>
                <w:sz w:val="20"/>
                <w:szCs w:val="20"/>
              </w:rPr>
              <w:lastRenderedPageBreak/>
              <w:t>Os2.c Stimularea dezvoltării infrastructurii verzi</w:t>
            </w:r>
            <w:r>
              <w:rPr>
                <w:rFonts w:eastAsia="Times New Roman" w:cs="Times New Roman"/>
                <w:sz w:val="20"/>
                <w:szCs w:val="20"/>
              </w:rPr>
              <w:t>;</w:t>
            </w:r>
          </w:p>
          <w:p w14:paraId="44AC3DA3" w14:textId="77777777" w:rsidR="002508D3" w:rsidRDefault="002508D3" w:rsidP="002508D3">
            <w:pPr>
              <w:spacing w:line="240" w:lineRule="auto"/>
              <w:ind w:firstLine="0"/>
              <w:rPr>
                <w:rFonts w:eastAsia="Times New Roman" w:cs="Times New Roman"/>
                <w:sz w:val="20"/>
                <w:szCs w:val="20"/>
              </w:rPr>
            </w:pPr>
            <w:r w:rsidRPr="00AC1E5C">
              <w:rPr>
                <w:rFonts w:eastAsia="Times New Roman" w:cs="Times New Roman"/>
                <w:sz w:val="20"/>
                <w:szCs w:val="20"/>
              </w:rPr>
              <w:t>Os2.a Atingerea stării ecologice bune a ecosistemelor.</w:t>
            </w: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1EC56484" w14:textId="77777777" w:rsidR="002508D3" w:rsidRDefault="002508D3" w:rsidP="002508D3">
            <w:pPr>
              <w:spacing w:after="0" w:line="240" w:lineRule="auto"/>
              <w:ind w:firstLine="0"/>
              <w:rPr>
                <w:rFonts w:eastAsia="Times New Roman" w:cs="Times New Roman"/>
                <w:sz w:val="20"/>
                <w:szCs w:val="20"/>
                <w:highlight w:val="white"/>
              </w:rPr>
            </w:pPr>
            <w:r>
              <w:rPr>
                <w:rFonts w:eastAsia="Times New Roman" w:cs="Times New Roman"/>
                <w:sz w:val="20"/>
                <w:szCs w:val="20"/>
              </w:rPr>
              <w:lastRenderedPageBreak/>
              <w:t>A 3.3.1 Elaborarea unui plan de refacere a habitatelor, în special a celor cu rol major în combaterea efectelor schimbărilor climatice (zonele umede, pajiști marine, apele costiere, lagune, păduri, soluri fertile).</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5ADEEAD"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CAA2AB4"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2027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7351CA6"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MMAP (ANAP, ARBDD), MCID (INCD-uri),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B98DD4E"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 xml:space="preserve">Buget propriu MMAP, Programe LIFE, PNRR, Programul de </w:t>
            </w:r>
            <w:r>
              <w:rPr>
                <w:rFonts w:eastAsia="Times New Roman" w:cs="Times New Roman"/>
                <w:sz w:val="20"/>
                <w:szCs w:val="20"/>
              </w:rPr>
              <w:t>Dezvoltare</w:t>
            </w:r>
            <w:r>
              <w:rPr>
                <w:rFonts w:eastAsia="Times New Roman" w:cs="Times New Roman"/>
                <w:color w:val="000000"/>
                <w:sz w:val="20"/>
                <w:szCs w:val="20"/>
              </w:rPr>
              <w:t xml:space="preserve"> Durabilă și Horizon Europe. </w:t>
            </w:r>
          </w:p>
        </w:tc>
      </w:tr>
      <w:tr w:rsidR="002508D3" w14:paraId="771CC332" w14:textId="77777777" w:rsidTr="00473248">
        <w:trPr>
          <w:trHeight w:val="786"/>
        </w:trPr>
        <w:tc>
          <w:tcPr>
            <w:tcW w:w="1943" w:type="dxa"/>
            <w:vMerge/>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6CF0C1D3" w14:textId="77777777" w:rsidR="002508D3" w:rsidRDefault="002508D3" w:rsidP="002508D3">
            <w:pPr>
              <w:widowControl w:val="0"/>
              <w:pBdr>
                <w:top w:val="nil"/>
                <w:left w:val="nil"/>
                <w:bottom w:val="nil"/>
                <w:right w:val="nil"/>
                <w:between w:val="nil"/>
              </w:pBdr>
              <w:spacing w:after="0"/>
              <w:ind w:firstLine="0"/>
              <w:rPr>
                <w:rFonts w:eastAsia="Times New Roman" w:cs="Times New Roman"/>
                <w:sz w:val="20"/>
                <w:szCs w:val="20"/>
              </w:rPr>
            </w:pPr>
          </w:p>
        </w:tc>
        <w:tc>
          <w:tcPr>
            <w:tcW w:w="2036" w:type="dxa"/>
            <w:vMerge/>
            <w:tcBorders>
              <w:top w:val="single" w:sz="4" w:space="0" w:color="auto"/>
              <w:left w:val="single" w:sz="4" w:space="0" w:color="auto"/>
              <w:bottom w:val="single" w:sz="4" w:space="0" w:color="auto"/>
              <w:right w:val="single" w:sz="4" w:space="0" w:color="auto"/>
            </w:tcBorders>
          </w:tcPr>
          <w:p w14:paraId="6B48AA65" w14:textId="77777777" w:rsidR="002508D3" w:rsidRDefault="002508D3" w:rsidP="002508D3">
            <w:pPr>
              <w:spacing w:after="0" w:line="240" w:lineRule="auto"/>
              <w:ind w:firstLine="0"/>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5DBDE771" w14:textId="77777777" w:rsidR="002508D3" w:rsidRDefault="002508D3" w:rsidP="002508D3">
            <w:pPr>
              <w:spacing w:after="0" w:line="240" w:lineRule="auto"/>
              <w:ind w:firstLine="0"/>
              <w:rPr>
                <w:rFonts w:eastAsia="Times New Roman" w:cs="Times New Roman"/>
                <w:sz w:val="20"/>
                <w:szCs w:val="20"/>
                <w:highlight w:val="white"/>
              </w:rPr>
            </w:pPr>
            <w:r>
              <w:rPr>
                <w:rFonts w:eastAsia="Times New Roman" w:cs="Times New Roman"/>
                <w:color w:val="000000"/>
                <w:sz w:val="20"/>
                <w:szCs w:val="20"/>
              </w:rPr>
              <w:t>A 3.3.2 Identificarea și diminuarea factorilor care conduc la pierderea şi degradarea habitatelor din zona costieră și refacerea acestora utilizând soluțiile bazate pe natură.</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964B28A"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72245D5"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8DDACDB"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MMAP, MCID (INCD-uri),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B3D3B66"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Buget propriu MMAP, Programe LIFE, PNRR, Horizon Europe, Planul Național de Cercetare Dezvoltare și Inovare 2022-2027 (PNCDI IV)</w:t>
            </w:r>
          </w:p>
        </w:tc>
      </w:tr>
      <w:tr w:rsidR="002508D3" w14:paraId="2730A56D" w14:textId="77777777" w:rsidTr="00473248">
        <w:trPr>
          <w:trHeight w:val="599"/>
        </w:trPr>
        <w:tc>
          <w:tcPr>
            <w:tcW w:w="1943" w:type="dxa"/>
            <w:vMerge/>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25793AD8" w14:textId="77777777" w:rsidR="002508D3" w:rsidRDefault="002508D3" w:rsidP="002508D3">
            <w:pPr>
              <w:widowControl w:val="0"/>
              <w:pBdr>
                <w:top w:val="nil"/>
                <w:left w:val="nil"/>
                <w:bottom w:val="nil"/>
                <w:right w:val="nil"/>
                <w:between w:val="nil"/>
              </w:pBdr>
              <w:spacing w:after="0"/>
              <w:ind w:firstLine="0"/>
              <w:rPr>
                <w:rFonts w:eastAsia="Times New Roman" w:cs="Times New Roman"/>
                <w:sz w:val="20"/>
                <w:szCs w:val="20"/>
              </w:rPr>
            </w:pPr>
          </w:p>
        </w:tc>
        <w:tc>
          <w:tcPr>
            <w:tcW w:w="2036" w:type="dxa"/>
            <w:vMerge/>
            <w:tcBorders>
              <w:top w:val="single" w:sz="4" w:space="0" w:color="auto"/>
              <w:left w:val="single" w:sz="4" w:space="0" w:color="auto"/>
              <w:bottom w:val="single" w:sz="4" w:space="0" w:color="auto"/>
              <w:right w:val="single" w:sz="4" w:space="0" w:color="auto"/>
            </w:tcBorders>
          </w:tcPr>
          <w:p w14:paraId="36D336AD" w14:textId="77777777" w:rsidR="002508D3" w:rsidRDefault="002508D3" w:rsidP="002508D3">
            <w:pPr>
              <w:spacing w:after="0" w:line="240" w:lineRule="auto"/>
              <w:ind w:firstLine="0"/>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5FE56C41" w14:textId="77777777" w:rsidR="002508D3" w:rsidRDefault="002508D3" w:rsidP="002508D3">
            <w:pPr>
              <w:spacing w:after="0" w:line="240" w:lineRule="auto"/>
              <w:ind w:firstLine="0"/>
              <w:rPr>
                <w:rFonts w:eastAsia="Times New Roman" w:cs="Times New Roman"/>
                <w:sz w:val="20"/>
                <w:szCs w:val="20"/>
                <w:highlight w:val="white"/>
              </w:rPr>
            </w:pPr>
            <w:r>
              <w:rPr>
                <w:rFonts w:eastAsia="Times New Roman" w:cs="Times New Roman"/>
                <w:color w:val="000000"/>
                <w:sz w:val="20"/>
                <w:szCs w:val="20"/>
              </w:rPr>
              <w:t>A 3.3.3 Dezvoltarea și implementarea unor proiecte pilot naționale și transfrontaliere dedicate restabilirii/refacerii ecosistemelor costiere utilizând soluțiile bazate pe natură.</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F76D88B"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D5E5206"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67D57AA"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MMAP (ANAP, ARBDD), MCID (INCD-uri),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1990A65"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 xml:space="preserve">Buget propriu MMAP, </w:t>
            </w:r>
            <w:r>
              <w:rPr>
                <w:rFonts w:eastAsia="Times New Roman" w:cs="Times New Roman"/>
                <w:sz w:val="20"/>
                <w:szCs w:val="20"/>
              </w:rPr>
              <w:t>Program</w:t>
            </w:r>
            <w:r>
              <w:rPr>
                <w:rFonts w:eastAsia="Times New Roman" w:cs="Times New Roman"/>
                <w:color w:val="000000"/>
                <w:sz w:val="20"/>
                <w:szCs w:val="20"/>
              </w:rPr>
              <w:t xml:space="preserve"> LIFE, PNRR, Horizon Europe, Invest EU, Programul de Dezvoltare durabilă, PNCDI IV)</w:t>
            </w:r>
          </w:p>
        </w:tc>
      </w:tr>
      <w:tr w:rsidR="002508D3" w14:paraId="700BCD5A" w14:textId="77777777" w:rsidTr="00473248">
        <w:trPr>
          <w:trHeight w:val="799"/>
        </w:trPr>
        <w:tc>
          <w:tcPr>
            <w:tcW w:w="1943" w:type="dxa"/>
            <w:vMerge/>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10470D2F" w14:textId="77777777" w:rsidR="002508D3" w:rsidRDefault="002508D3" w:rsidP="002508D3">
            <w:pPr>
              <w:widowControl w:val="0"/>
              <w:pBdr>
                <w:top w:val="nil"/>
                <w:left w:val="nil"/>
                <w:bottom w:val="nil"/>
                <w:right w:val="nil"/>
                <w:between w:val="nil"/>
              </w:pBdr>
              <w:spacing w:after="0"/>
              <w:ind w:firstLine="0"/>
              <w:rPr>
                <w:rFonts w:eastAsia="Times New Roman" w:cs="Times New Roman"/>
                <w:sz w:val="20"/>
                <w:szCs w:val="20"/>
              </w:rPr>
            </w:pPr>
          </w:p>
        </w:tc>
        <w:tc>
          <w:tcPr>
            <w:tcW w:w="2036" w:type="dxa"/>
            <w:vMerge/>
            <w:tcBorders>
              <w:top w:val="single" w:sz="4" w:space="0" w:color="auto"/>
              <w:left w:val="single" w:sz="4" w:space="0" w:color="auto"/>
              <w:bottom w:val="single" w:sz="4" w:space="0" w:color="auto"/>
              <w:right w:val="single" w:sz="4" w:space="0" w:color="auto"/>
            </w:tcBorders>
          </w:tcPr>
          <w:p w14:paraId="10D17B99" w14:textId="77777777" w:rsidR="002508D3" w:rsidRDefault="002508D3" w:rsidP="002508D3">
            <w:pPr>
              <w:spacing w:after="0" w:line="240" w:lineRule="auto"/>
              <w:ind w:firstLine="0"/>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4F7F66E9" w14:textId="77777777" w:rsidR="002508D3" w:rsidRDefault="002508D3" w:rsidP="002508D3">
            <w:pPr>
              <w:spacing w:after="0" w:line="240" w:lineRule="auto"/>
              <w:ind w:firstLine="0"/>
              <w:rPr>
                <w:rFonts w:eastAsia="Times New Roman" w:cs="Times New Roman"/>
                <w:sz w:val="20"/>
                <w:szCs w:val="20"/>
                <w:highlight w:val="white"/>
              </w:rPr>
            </w:pPr>
            <w:r>
              <w:rPr>
                <w:rFonts w:eastAsia="Times New Roman" w:cs="Times New Roman"/>
                <w:color w:val="000000"/>
                <w:sz w:val="20"/>
                <w:szCs w:val="20"/>
              </w:rPr>
              <w:t>A 3.3.4 Organizarea de campanii de conștientizare privind restabilirea/refacerea ecosistemelor costiere utilizând soluțiile bazate pe natură.</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59BD9AD"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Medie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6FAA44E"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87E11BC"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MMAP, MCID (INCD-uri),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77B4B7E"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Buget propriu MMAP, Programe LIFE, PNRR, Horizon Europe, Planul Național de Cercetare Dezvoltare și Inovare 2022-2027 (PNCDI IV)</w:t>
            </w:r>
          </w:p>
        </w:tc>
      </w:tr>
      <w:tr w:rsidR="002508D3" w14:paraId="2BCCD609" w14:textId="77777777" w:rsidTr="00473248">
        <w:trPr>
          <w:trHeight w:val="871"/>
        </w:trPr>
        <w:tc>
          <w:tcPr>
            <w:tcW w:w="1943" w:type="dxa"/>
            <w:vMerge w:val="restart"/>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0FD1F8D3"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M3.4. Evaluarea funcțiilor și serviciilor ecosistemice prin instrumente monetare și non-monetare</w:t>
            </w:r>
          </w:p>
        </w:tc>
        <w:tc>
          <w:tcPr>
            <w:tcW w:w="2036" w:type="dxa"/>
            <w:vMerge w:val="restart"/>
            <w:tcBorders>
              <w:top w:val="single" w:sz="4" w:space="0" w:color="auto"/>
              <w:left w:val="single" w:sz="4" w:space="0" w:color="auto"/>
              <w:bottom w:val="single" w:sz="4" w:space="0" w:color="auto"/>
              <w:right w:val="single" w:sz="4" w:space="0" w:color="auto"/>
            </w:tcBorders>
          </w:tcPr>
          <w:p w14:paraId="05436556" w14:textId="77777777" w:rsidR="002508D3" w:rsidRPr="00AC1E5C" w:rsidRDefault="002508D3" w:rsidP="002508D3">
            <w:pPr>
              <w:spacing w:line="240" w:lineRule="auto"/>
              <w:ind w:firstLine="0"/>
              <w:rPr>
                <w:rFonts w:eastAsia="Times New Roman" w:cs="Times New Roman"/>
                <w:color w:val="000000"/>
                <w:sz w:val="20"/>
                <w:szCs w:val="20"/>
              </w:rPr>
            </w:pPr>
            <w:r w:rsidRPr="00AC1E5C">
              <w:rPr>
                <w:rFonts w:eastAsia="Times New Roman" w:cs="Times New Roman"/>
                <w:color w:val="000000"/>
                <w:sz w:val="20"/>
                <w:szCs w:val="20"/>
              </w:rPr>
              <w:t xml:space="preserve">Os1.a Protejarea eficientă a valorilor naturale, peisagistice și culturale, </w:t>
            </w:r>
          </w:p>
          <w:p w14:paraId="05934DF1" w14:textId="77777777" w:rsidR="002508D3" w:rsidRDefault="002508D3" w:rsidP="002508D3">
            <w:pPr>
              <w:spacing w:line="240" w:lineRule="auto"/>
              <w:ind w:firstLine="0"/>
              <w:rPr>
                <w:rFonts w:eastAsia="Times New Roman" w:cs="Times New Roman"/>
                <w:color w:val="000000"/>
                <w:sz w:val="20"/>
                <w:szCs w:val="20"/>
              </w:rPr>
            </w:pPr>
            <w:r w:rsidRPr="00AC1E5C">
              <w:rPr>
                <w:rFonts w:eastAsia="Times New Roman" w:cs="Times New Roman"/>
                <w:color w:val="000000"/>
                <w:sz w:val="20"/>
                <w:szCs w:val="20"/>
              </w:rPr>
              <w:lastRenderedPageBreak/>
              <w:t>Os1.b Îmbunătățirea și valorizarea serviciilor ecosistemice.</w:t>
            </w: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7F21C4C7" w14:textId="77777777" w:rsidR="002508D3" w:rsidRDefault="002508D3" w:rsidP="002508D3">
            <w:pPr>
              <w:spacing w:after="0" w:line="240" w:lineRule="auto"/>
              <w:ind w:firstLine="0"/>
              <w:rPr>
                <w:rFonts w:eastAsia="Times New Roman" w:cs="Times New Roman"/>
                <w:sz w:val="20"/>
                <w:szCs w:val="20"/>
                <w:highlight w:val="white"/>
              </w:rPr>
            </w:pPr>
            <w:r>
              <w:rPr>
                <w:rFonts w:eastAsia="Times New Roman" w:cs="Times New Roman"/>
                <w:color w:val="000000"/>
                <w:sz w:val="20"/>
                <w:szCs w:val="20"/>
              </w:rPr>
              <w:lastRenderedPageBreak/>
              <w:t>A 3.4.1 Identificarea, catalogarea și monitorizarea serviciilor ecosistemice.</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D870944"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Foarte 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07B6306"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2025</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892B78C"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MMAP, MCID (INCD-uri),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F982B96"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 xml:space="preserve">Buget propriu MMAP, Horizon Europe, Planul Național de Cercetare Dezvoltare și </w:t>
            </w:r>
            <w:r>
              <w:rPr>
                <w:rFonts w:eastAsia="Times New Roman" w:cs="Times New Roman"/>
                <w:color w:val="000000"/>
                <w:sz w:val="20"/>
                <w:szCs w:val="20"/>
              </w:rPr>
              <w:lastRenderedPageBreak/>
              <w:t>Inovare 2022-2027 (PNCDI IV)</w:t>
            </w:r>
          </w:p>
        </w:tc>
      </w:tr>
      <w:tr w:rsidR="002508D3" w14:paraId="25B60FBF" w14:textId="77777777" w:rsidTr="00473248">
        <w:trPr>
          <w:trHeight w:val="1254"/>
        </w:trPr>
        <w:tc>
          <w:tcPr>
            <w:tcW w:w="1943" w:type="dxa"/>
            <w:vMerge/>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6C3BE81D" w14:textId="77777777" w:rsidR="002508D3" w:rsidRDefault="002508D3" w:rsidP="002508D3">
            <w:pPr>
              <w:widowControl w:val="0"/>
              <w:pBdr>
                <w:top w:val="nil"/>
                <w:left w:val="nil"/>
                <w:bottom w:val="nil"/>
                <w:right w:val="nil"/>
                <w:between w:val="nil"/>
              </w:pBdr>
              <w:spacing w:after="0"/>
              <w:ind w:firstLine="0"/>
              <w:rPr>
                <w:rFonts w:eastAsia="Times New Roman" w:cs="Times New Roman"/>
                <w:sz w:val="20"/>
                <w:szCs w:val="20"/>
              </w:rPr>
            </w:pPr>
          </w:p>
        </w:tc>
        <w:tc>
          <w:tcPr>
            <w:tcW w:w="2036" w:type="dxa"/>
            <w:vMerge/>
            <w:tcBorders>
              <w:top w:val="single" w:sz="4" w:space="0" w:color="auto"/>
              <w:left w:val="single" w:sz="4" w:space="0" w:color="auto"/>
              <w:bottom w:val="single" w:sz="4" w:space="0" w:color="auto"/>
              <w:right w:val="single" w:sz="4" w:space="0" w:color="auto"/>
            </w:tcBorders>
          </w:tcPr>
          <w:p w14:paraId="5144A05D" w14:textId="77777777" w:rsidR="002508D3" w:rsidRDefault="002508D3" w:rsidP="002508D3">
            <w:pPr>
              <w:spacing w:after="0" w:line="240" w:lineRule="auto"/>
              <w:ind w:firstLine="0"/>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50C8E521" w14:textId="77777777" w:rsidR="002508D3" w:rsidRDefault="002508D3" w:rsidP="002508D3">
            <w:pPr>
              <w:spacing w:after="0" w:line="240" w:lineRule="auto"/>
              <w:ind w:firstLine="0"/>
              <w:rPr>
                <w:rFonts w:eastAsia="Times New Roman" w:cs="Times New Roman"/>
                <w:sz w:val="20"/>
                <w:szCs w:val="20"/>
                <w:highlight w:val="white"/>
              </w:rPr>
            </w:pPr>
            <w:r>
              <w:rPr>
                <w:rFonts w:eastAsia="Times New Roman" w:cs="Times New Roman"/>
                <w:color w:val="000000"/>
                <w:sz w:val="20"/>
                <w:szCs w:val="20"/>
              </w:rPr>
              <w:t>A 3.4.2 Stabilirea instrumentelor pentru valorizarea monetară și non-monetară a serviciilor ecosistemice în concordanță cu obiectivele de protecție și conservare a speciilor și habitatelor.</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60AF88E"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DEE4A0F"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99BFF90"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MMAP, MCID (INCD-uri),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0A7F02E"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Programe LIFE, PNRR și Horizon Europe, Invest EU, Planul Național de Cercetare Dezvoltare și Inovare 2022-2027 (PNCDI IV)</w:t>
            </w:r>
          </w:p>
        </w:tc>
      </w:tr>
      <w:tr w:rsidR="002508D3" w14:paraId="51836B9D" w14:textId="77777777" w:rsidTr="00473248">
        <w:trPr>
          <w:trHeight w:val="790"/>
        </w:trPr>
        <w:tc>
          <w:tcPr>
            <w:tcW w:w="1943" w:type="dxa"/>
            <w:vMerge/>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5486CF9A" w14:textId="77777777" w:rsidR="002508D3" w:rsidRDefault="002508D3" w:rsidP="002508D3">
            <w:pPr>
              <w:widowControl w:val="0"/>
              <w:pBdr>
                <w:top w:val="nil"/>
                <w:left w:val="nil"/>
                <w:bottom w:val="nil"/>
                <w:right w:val="nil"/>
                <w:between w:val="nil"/>
              </w:pBdr>
              <w:spacing w:after="0"/>
              <w:ind w:firstLine="0"/>
              <w:rPr>
                <w:rFonts w:eastAsia="Times New Roman" w:cs="Times New Roman"/>
                <w:sz w:val="20"/>
                <w:szCs w:val="20"/>
              </w:rPr>
            </w:pPr>
          </w:p>
        </w:tc>
        <w:tc>
          <w:tcPr>
            <w:tcW w:w="2036" w:type="dxa"/>
            <w:vMerge/>
            <w:tcBorders>
              <w:top w:val="single" w:sz="4" w:space="0" w:color="auto"/>
              <w:left w:val="single" w:sz="4" w:space="0" w:color="auto"/>
              <w:bottom w:val="single" w:sz="4" w:space="0" w:color="auto"/>
              <w:right w:val="single" w:sz="4" w:space="0" w:color="auto"/>
            </w:tcBorders>
          </w:tcPr>
          <w:p w14:paraId="52D73025" w14:textId="77777777" w:rsidR="002508D3" w:rsidRDefault="002508D3" w:rsidP="002508D3">
            <w:pPr>
              <w:spacing w:after="0" w:line="240" w:lineRule="auto"/>
              <w:ind w:firstLine="0"/>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245ED62E" w14:textId="77777777" w:rsidR="002508D3" w:rsidRDefault="002508D3" w:rsidP="002508D3">
            <w:pPr>
              <w:spacing w:after="0" w:line="240" w:lineRule="auto"/>
              <w:ind w:firstLine="0"/>
              <w:rPr>
                <w:rFonts w:eastAsia="Times New Roman" w:cs="Times New Roman"/>
                <w:sz w:val="20"/>
                <w:szCs w:val="20"/>
                <w:highlight w:val="white"/>
              </w:rPr>
            </w:pPr>
            <w:r>
              <w:rPr>
                <w:rFonts w:eastAsia="Times New Roman" w:cs="Times New Roman"/>
                <w:color w:val="000000"/>
                <w:sz w:val="20"/>
                <w:szCs w:val="20"/>
              </w:rPr>
              <w:t>A 3.4.3 Elaborarea instrumentelor de reglementare pentru direcționarea investițiilor către fondul destinat proiectelor de reconstrucție ecologică și renaturare.</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54B7B46"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BC52118"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4936870"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MMAP, MCID (INCD-uri),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61A7EE8"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Buget propriu MMAP, Programe Invest EU, LIFE, Horizon Europe și Planul Național de Cercetare Dezvoltare și Inovare 2022-2027 (PNCDI IV)</w:t>
            </w:r>
          </w:p>
        </w:tc>
      </w:tr>
      <w:tr w:rsidR="002508D3" w14:paraId="4100CE12" w14:textId="77777777" w:rsidTr="00473248">
        <w:trPr>
          <w:trHeight w:val="896"/>
        </w:trPr>
        <w:tc>
          <w:tcPr>
            <w:tcW w:w="1943" w:type="dxa"/>
            <w:vMerge w:val="restart"/>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39C43E00" w14:textId="77777777" w:rsidR="002508D3" w:rsidRDefault="002508D3" w:rsidP="002508D3">
            <w:pPr>
              <w:spacing w:after="0" w:line="240" w:lineRule="auto"/>
              <w:ind w:firstLine="0"/>
              <w:rPr>
                <w:rFonts w:eastAsia="Times New Roman" w:cs="Times New Roman"/>
                <w:color w:val="000000"/>
                <w:sz w:val="20"/>
                <w:szCs w:val="20"/>
              </w:rPr>
            </w:pPr>
          </w:p>
          <w:p w14:paraId="388B6948" w14:textId="77777777" w:rsidR="002508D3" w:rsidRDefault="002508D3" w:rsidP="002508D3">
            <w:pPr>
              <w:spacing w:after="0" w:line="240" w:lineRule="auto"/>
              <w:ind w:firstLine="0"/>
              <w:rPr>
                <w:rFonts w:eastAsia="Times New Roman" w:cs="Times New Roman"/>
                <w:color w:val="000000"/>
                <w:sz w:val="20"/>
                <w:szCs w:val="20"/>
              </w:rPr>
            </w:pPr>
          </w:p>
          <w:p w14:paraId="5752BC7B" w14:textId="77777777" w:rsidR="002508D3" w:rsidRDefault="002508D3" w:rsidP="002508D3">
            <w:pPr>
              <w:spacing w:after="0" w:line="240" w:lineRule="auto"/>
              <w:ind w:firstLine="0"/>
              <w:rPr>
                <w:rFonts w:eastAsia="Times New Roman" w:cs="Times New Roman"/>
                <w:color w:val="000000"/>
                <w:sz w:val="20"/>
                <w:szCs w:val="20"/>
              </w:rPr>
            </w:pPr>
          </w:p>
          <w:p w14:paraId="1C15A5E9"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 xml:space="preserve">M3.5. Consolidarea / Întărirea </w:t>
            </w:r>
            <w:r>
              <w:rPr>
                <w:rFonts w:eastAsia="Times New Roman" w:cs="Times New Roman"/>
                <w:color w:val="000000"/>
                <w:sz w:val="20"/>
                <w:szCs w:val="20"/>
              </w:rPr>
              <w:lastRenderedPageBreak/>
              <w:t>managementului speciilor invazive</w:t>
            </w:r>
          </w:p>
        </w:tc>
        <w:tc>
          <w:tcPr>
            <w:tcW w:w="2036" w:type="dxa"/>
            <w:vMerge w:val="restart"/>
            <w:tcBorders>
              <w:top w:val="single" w:sz="4" w:space="0" w:color="auto"/>
              <w:left w:val="single" w:sz="4" w:space="0" w:color="auto"/>
              <w:bottom w:val="single" w:sz="4" w:space="0" w:color="auto"/>
              <w:right w:val="single" w:sz="4" w:space="0" w:color="auto"/>
            </w:tcBorders>
          </w:tcPr>
          <w:p w14:paraId="058A8C5A" w14:textId="77777777" w:rsidR="002508D3" w:rsidRDefault="002508D3" w:rsidP="002508D3">
            <w:pPr>
              <w:spacing w:line="240" w:lineRule="auto"/>
              <w:ind w:firstLine="0"/>
              <w:rPr>
                <w:rFonts w:eastAsia="Times New Roman" w:cs="Times New Roman"/>
                <w:color w:val="000000"/>
                <w:sz w:val="20"/>
                <w:szCs w:val="20"/>
              </w:rPr>
            </w:pPr>
            <w:r w:rsidRPr="00AC1E5C">
              <w:rPr>
                <w:rFonts w:eastAsia="Times New Roman" w:cs="Times New Roman"/>
                <w:color w:val="000000"/>
                <w:sz w:val="20"/>
                <w:szCs w:val="20"/>
              </w:rPr>
              <w:lastRenderedPageBreak/>
              <w:t>Os1.a Protejarea eficientă a valorilor natu</w:t>
            </w:r>
            <w:r>
              <w:rPr>
                <w:rFonts w:eastAsia="Times New Roman" w:cs="Times New Roman"/>
                <w:color w:val="000000"/>
                <w:sz w:val="20"/>
                <w:szCs w:val="20"/>
              </w:rPr>
              <w:t>rale, peisagistice și culturale;</w:t>
            </w:r>
          </w:p>
          <w:p w14:paraId="2F370EB8" w14:textId="77777777" w:rsidR="002508D3" w:rsidRDefault="002508D3" w:rsidP="002508D3">
            <w:pPr>
              <w:spacing w:line="240" w:lineRule="auto"/>
              <w:ind w:firstLine="0"/>
              <w:rPr>
                <w:rFonts w:eastAsia="Times New Roman" w:cs="Times New Roman"/>
                <w:color w:val="000000"/>
                <w:sz w:val="20"/>
                <w:szCs w:val="20"/>
              </w:rPr>
            </w:pPr>
            <w:r w:rsidRPr="00AC1E5C">
              <w:rPr>
                <w:rFonts w:eastAsia="Times New Roman" w:cs="Times New Roman"/>
                <w:color w:val="000000"/>
                <w:sz w:val="20"/>
                <w:szCs w:val="20"/>
              </w:rPr>
              <w:lastRenderedPageBreak/>
              <w:t>Os2.a Atingerea stării ecologice bune a ecosistemelor.</w:t>
            </w: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6E3C8142" w14:textId="77777777" w:rsidR="002508D3" w:rsidRDefault="002508D3" w:rsidP="002508D3">
            <w:pPr>
              <w:spacing w:after="0" w:line="240" w:lineRule="auto"/>
              <w:ind w:firstLine="0"/>
              <w:rPr>
                <w:rFonts w:eastAsia="Times New Roman" w:cs="Times New Roman"/>
                <w:sz w:val="20"/>
                <w:szCs w:val="20"/>
                <w:highlight w:val="white"/>
              </w:rPr>
            </w:pPr>
            <w:r>
              <w:rPr>
                <w:rFonts w:eastAsia="Times New Roman" w:cs="Times New Roman"/>
                <w:color w:val="000000"/>
                <w:sz w:val="20"/>
                <w:szCs w:val="20"/>
              </w:rPr>
              <w:lastRenderedPageBreak/>
              <w:t xml:space="preserve">A 3.5.1 Elaborarea și implementarea unui </w:t>
            </w:r>
            <w:r>
              <w:rPr>
                <w:rFonts w:eastAsia="Times New Roman" w:cs="Times New Roman"/>
                <w:sz w:val="20"/>
                <w:szCs w:val="20"/>
              </w:rPr>
              <w:t>plan</w:t>
            </w:r>
            <w:r>
              <w:rPr>
                <w:rFonts w:eastAsia="Times New Roman" w:cs="Times New Roman"/>
                <w:color w:val="000000"/>
                <w:sz w:val="20"/>
                <w:szCs w:val="20"/>
              </w:rPr>
              <w:t xml:space="preserve"> de controlul al vectorilor de introducere a speciilor alohtone şi monitorizarea posibilelor căi de pătrundere.</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237A7B5"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C297F6E"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F0A6D09"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MMAP, MCID (INCD-uri),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E05D672"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Programe LIFE, PNRR, Horizon Europe și Planul Național de Cercetare Dezvoltare și Inovare 2022-2027 (PNCDI IV)</w:t>
            </w:r>
          </w:p>
        </w:tc>
      </w:tr>
      <w:tr w:rsidR="002508D3" w14:paraId="76406AAC" w14:textId="77777777" w:rsidTr="00473248">
        <w:trPr>
          <w:trHeight w:val="1107"/>
        </w:trPr>
        <w:tc>
          <w:tcPr>
            <w:tcW w:w="1943" w:type="dxa"/>
            <w:vMerge/>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56EE6FB7" w14:textId="77777777" w:rsidR="002508D3" w:rsidRDefault="002508D3" w:rsidP="002508D3">
            <w:pPr>
              <w:widowControl w:val="0"/>
              <w:pBdr>
                <w:top w:val="nil"/>
                <w:left w:val="nil"/>
                <w:bottom w:val="nil"/>
                <w:right w:val="nil"/>
                <w:between w:val="nil"/>
              </w:pBdr>
              <w:spacing w:after="0"/>
              <w:rPr>
                <w:rFonts w:eastAsia="Times New Roman" w:cs="Times New Roman"/>
                <w:sz w:val="20"/>
                <w:szCs w:val="20"/>
              </w:rPr>
            </w:pPr>
          </w:p>
        </w:tc>
        <w:tc>
          <w:tcPr>
            <w:tcW w:w="2036" w:type="dxa"/>
            <w:vMerge/>
            <w:tcBorders>
              <w:top w:val="single" w:sz="4" w:space="0" w:color="auto"/>
              <w:left w:val="single" w:sz="4" w:space="0" w:color="auto"/>
              <w:bottom w:val="single" w:sz="4" w:space="0" w:color="auto"/>
              <w:right w:val="single" w:sz="4" w:space="0" w:color="auto"/>
            </w:tcBorders>
          </w:tcPr>
          <w:p w14:paraId="14409DE5" w14:textId="77777777" w:rsidR="002508D3" w:rsidRDefault="002508D3" w:rsidP="002508D3">
            <w:pPr>
              <w:spacing w:after="0" w:line="240" w:lineRule="auto"/>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0DF60893" w14:textId="77777777" w:rsidR="002508D3" w:rsidRDefault="002508D3" w:rsidP="002508D3">
            <w:pPr>
              <w:spacing w:after="0" w:line="240" w:lineRule="auto"/>
              <w:rPr>
                <w:rFonts w:eastAsia="Times New Roman" w:cs="Times New Roman"/>
                <w:sz w:val="20"/>
                <w:szCs w:val="20"/>
                <w:highlight w:val="white"/>
              </w:rPr>
            </w:pPr>
            <w:r>
              <w:rPr>
                <w:rFonts w:eastAsia="Times New Roman" w:cs="Times New Roman"/>
                <w:color w:val="000000"/>
                <w:sz w:val="20"/>
                <w:szCs w:val="20"/>
              </w:rPr>
              <w:t>A 3.5.2 Dezvoltarea metodelor moderne (mADN) pentru detectarea rapidă a speciilor alohtone şi identificarea căilor de acces, înainte de extinderea lor în zona costieră.</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2B3B397" w14:textId="77777777" w:rsidR="002508D3" w:rsidRDefault="002508D3" w:rsidP="00B27196">
            <w:pPr>
              <w:spacing w:after="0" w:line="240" w:lineRule="auto"/>
              <w:ind w:firstLine="0"/>
              <w:rPr>
                <w:rFonts w:eastAsia="Times New Roman" w:cs="Times New Roman"/>
                <w:sz w:val="20"/>
                <w:szCs w:val="20"/>
              </w:rPr>
            </w:pPr>
            <w:r>
              <w:rPr>
                <w:rFonts w:eastAsia="Times New Roman" w:cs="Times New Roman"/>
                <w:color w:val="000000"/>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2FD6692"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E54CA27"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MMAP, MCID (INCD-uri),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5DC0F36"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Programe LIFE, PNRR, Horizon Europe și programelor naționale, precum Planul Național de Cercetare Dezvoltare și Inovare 2022-2027 (PNCDI IV)</w:t>
            </w:r>
          </w:p>
        </w:tc>
      </w:tr>
      <w:tr w:rsidR="002508D3" w14:paraId="1A2CEB62" w14:textId="77777777" w:rsidTr="00473248">
        <w:trPr>
          <w:trHeight w:val="709"/>
        </w:trPr>
        <w:tc>
          <w:tcPr>
            <w:tcW w:w="1943" w:type="dxa"/>
            <w:vMerge/>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20494372" w14:textId="77777777" w:rsidR="002508D3" w:rsidRDefault="002508D3" w:rsidP="002508D3">
            <w:pPr>
              <w:widowControl w:val="0"/>
              <w:pBdr>
                <w:top w:val="nil"/>
                <w:left w:val="nil"/>
                <w:bottom w:val="nil"/>
                <w:right w:val="nil"/>
                <w:between w:val="nil"/>
              </w:pBdr>
              <w:spacing w:after="0"/>
              <w:rPr>
                <w:rFonts w:eastAsia="Times New Roman" w:cs="Times New Roman"/>
                <w:sz w:val="20"/>
                <w:szCs w:val="20"/>
              </w:rPr>
            </w:pPr>
          </w:p>
        </w:tc>
        <w:tc>
          <w:tcPr>
            <w:tcW w:w="2036" w:type="dxa"/>
            <w:vMerge/>
            <w:tcBorders>
              <w:top w:val="single" w:sz="4" w:space="0" w:color="auto"/>
              <w:left w:val="single" w:sz="4" w:space="0" w:color="auto"/>
              <w:bottom w:val="single" w:sz="4" w:space="0" w:color="auto"/>
              <w:right w:val="single" w:sz="4" w:space="0" w:color="auto"/>
            </w:tcBorders>
          </w:tcPr>
          <w:p w14:paraId="35AD22BD" w14:textId="77777777" w:rsidR="002508D3" w:rsidRDefault="002508D3" w:rsidP="002508D3">
            <w:pPr>
              <w:spacing w:after="0" w:line="240" w:lineRule="auto"/>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4E1A7A96" w14:textId="77777777" w:rsidR="002508D3" w:rsidRDefault="002508D3" w:rsidP="002508D3">
            <w:pPr>
              <w:spacing w:after="0" w:line="240" w:lineRule="auto"/>
              <w:rPr>
                <w:rFonts w:eastAsia="Times New Roman" w:cs="Times New Roman"/>
                <w:sz w:val="20"/>
                <w:szCs w:val="20"/>
                <w:highlight w:val="white"/>
              </w:rPr>
            </w:pPr>
            <w:r>
              <w:rPr>
                <w:rFonts w:eastAsia="Times New Roman" w:cs="Times New Roman"/>
                <w:color w:val="000000"/>
                <w:sz w:val="20"/>
                <w:szCs w:val="20"/>
              </w:rPr>
              <w:t xml:space="preserve"> A 3.5.3 Introducerea sistemelor de avertizare timpurie şi management al riscului în cazul pătrunderii de patogeni şi a planurilor de contingenţă pentru reducerea impactului acestora.</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8DDA2BC" w14:textId="77777777" w:rsidR="002508D3" w:rsidRDefault="002508D3" w:rsidP="00B27196">
            <w:pPr>
              <w:spacing w:after="0" w:line="240" w:lineRule="auto"/>
              <w:ind w:firstLine="0"/>
              <w:rPr>
                <w:rFonts w:eastAsia="Times New Roman" w:cs="Times New Roman"/>
                <w:sz w:val="20"/>
                <w:szCs w:val="20"/>
              </w:rPr>
            </w:pPr>
            <w:r>
              <w:rPr>
                <w:rFonts w:eastAsia="Times New Roman" w:cs="Times New Roman"/>
                <w:color w:val="000000"/>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9B8E2C3"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4E00BDC"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MMAP, MCID (INCD-uri), ME (universități)</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233D988"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Programe LIFE, PNRR, Horizon Europe și Planul Național de Cercetare Dezvoltare și Inovare 2022-2027 (PNCDI IV)</w:t>
            </w:r>
          </w:p>
        </w:tc>
      </w:tr>
    </w:tbl>
    <w:p w14:paraId="12E26623" w14:textId="77777777" w:rsidR="002508D3" w:rsidRDefault="002508D3" w:rsidP="002508D3">
      <w:pPr>
        <w:ind w:firstLine="0"/>
        <w:rPr>
          <w:rFonts w:eastAsia="Times New Roman" w:cs="Times New Roman"/>
        </w:rPr>
      </w:pPr>
    </w:p>
    <w:p w14:paraId="1275195F" w14:textId="77777777" w:rsidR="002508D3" w:rsidRDefault="002508D3" w:rsidP="002508D3">
      <w:pPr>
        <w:spacing w:before="0"/>
        <w:ind w:firstLine="567"/>
        <w:rPr>
          <w:rFonts w:eastAsia="Times New Roman" w:cs="Times New Roman"/>
          <w:b/>
          <w:i/>
        </w:rPr>
      </w:pPr>
      <w:r>
        <w:rPr>
          <w:rFonts w:eastAsia="Times New Roman" w:cs="Times New Roman"/>
        </w:rPr>
        <w:t xml:space="preserve">Activitățile ce se vor realiza în vederea implementării Programului de </w:t>
      </w:r>
      <w:r>
        <w:rPr>
          <w:rFonts w:eastAsia="Times New Roman" w:cs="Times New Roman"/>
          <w:b/>
          <w:i/>
        </w:rPr>
        <w:t xml:space="preserve">Măsuri pentru prevenirea și limitarea / stoparea poluării </w:t>
      </w:r>
      <w:r>
        <w:rPr>
          <w:rFonts w:eastAsia="Times New Roman" w:cs="Times New Roman"/>
        </w:rPr>
        <w:t>sunt prezentate în Tabelul de mai jos, unde sunt indicate termenele de implementare, organizațiile responsabile pentru realizarea activităților, și implicit implementarea măsurilor, precum și posibilele surse de finanțare.</w:t>
      </w:r>
    </w:p>
    <w:tbl>
      <w:tblPr>
        <w:tblW w:w="14079" w:type="dxa"/>
        <w:tblInd w:w="-57" w:type="dxa"/>
        <w:tblBorders>
          <w:top w:val="nil"/>
          <w:left w:val="nil"/>
          <w:bottom w:val="nil"/>
          <w:right w:val="nil"/>
          <w:insideH w:val="nil"/>
          <w:insideV w:val="nil"/>
        </w:tblBorders>
        <w:tblLayout w:type="fixed"/>
        <w:tblLook w:val="0600" w:firstRow="0" w:lastRow="0" w:firstColumn="0" w:lastColumn="0" w:noHBand="1" w:noVBand="1"/>
      </w:tblPr>
      <w:tblGrid>
        <w:gridCol w:w="2164"/>
        <w:gridCol w:w="1845"/>
        <w:gridCol w:w="4254"/>
        <w:gridCol w:w="1277"/>
        <w:gridCol w:w="1418"/>
        <w:gridCol w:w="1419"/>
        <w:gridCol w:w="1702"/>
      </w:tblGrid>
      <w:tr w:rsidR="002508D3" w14:paraId="3BC2B72F" w14:textId="77777777" w:rsidTr="00473248">
        <w:trPr>
          <w:trHeight w:val="570"/>
        </w:trPr>
        <w:tc>
          <w:tcPr>
            <w:tcW w:w="2164" w:type="dxa"/>
            <w:tcBorders>
              <w:top w:val="single" w:sz="5" w:space="0" w:color="000000"/>
              <w:left w:val="single" w:sz="5" w:space="0" w:color="000000"/>
              <w:bottom w:val="single" w:sz="4" w:space="0" w:color="auto"/>
              <w:right w:val="single" w:sz="4" w:space="0" w:color="auto"/>
            </w:tcBorders>
            <w:tcMar>
              <w:top w:w="0" w:type="dxa"/>
              <w:left w:w="100" w:type="dxa"/>
              <w:bottom w:w="0" w:type="dxa"/>
              <w:right w:w="100" w:type="dxa"/>
            </w:tcMar>
          </w:tcPr>
          <w:p w14:paraId="315AFE05" w14:textId="77777777" w:rsidR="002508D3" w:rsidRDefault="002508D3" w:rsidP="002508D3">
            <w:pPr>
              <w:spacing w:after="0" w:line="240" w:lineRule="auto"/>
              <w:ind w:firstLine="0"/>
              <w:rPr>
                <w:rFonts w:eastAsia="Times New Roman" w:cs="Times New Roman"/>
                <w:sz w:val="20"/>
                <w:szCs w:val="20"/>
              </w:rPr>
            </w:pPr>
            <w:bookmarkStart w:id="146" w:name="_heading=h.1jlao46" w:colFirst="0" w:colLast="0"/>
            <w:bookmarkEnd w:id="146"/>
            <w:r>
              <w:rPr>
                <w:rFonts w:eastAsia="Times New Roman" w:cs="Times New Roman"/>
                <w:sz w:val="20"/>
                <w:szCs w:val="20"/>
              </w:rPr>
              <w:t>Măsură</w:t>
            </w:r>
          </w:p>
        </w:tc>
        <w:tc>
          <w:tcPr>
            <w:tcW w:w="1845" w:type="dxa"/>
            <w:tcBorders>
              <w:top w:val="single" w:sz="4" w:space="0" w:color="auto"/>
              <w:left w:val="single" w:sz="4" w:space="0" w:color="auto"/>
              <w:bottom w:val="single" w:sz="4" w:space="0" w:color="auto"/>
              <w:right w:val="single" w:sz="4" w:space="0" w:color="auto"/>
            </w:tcBorders>
          </w:tcPr>
          <w:p w14:paraId="0ACFDB9D"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Obiective vizate</w:t>
            </w:r>
          </w:p>
        </w:tc>
        <w:tc>
          <w:tcPr>
            <w:tcW w:w="4254" w:type="dxa"/>
            <w:tcBorders>
              <w:top w:val="single" w:sz="5" w:space="0" w:color="000000"/>
              <w:left w:val="single" w:sz="4" w:space="0" w:color="auto"/>
              <w:bottom w:val="single" w:sz="4" w:space="0" w:color="auto"/>
              <w:right w:val="single" w:sz="4" w:space="0" w:color="000000"/>
            </w:tcBorders>
            <w:tcMar>
              <w:top w:w="0" w:type="dxa"/>
              <w:left w:w="100" w:type="dxa"/>
              <w:bottom w:w="0" w:type="dxa"/>
              <w:right w:w="100" w:type="dxa"/>
            </w:tcMar>
          </w:tcPr>
          <w:p w14:paraId="6328C8AF"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Activitate</w:t>
            </w:r>
          </w:p>
        </w:tc>
        <w:tc>
          <w:tcPr>
            <w:tcW w:w="1277" w:type="dxa"/>
            <w:tcBorders>
              <w:top w:val="single" w:sz="5" w:space="0" w:color="000000"/>
              <w:left w:val="single" w:sz="4" w:space="0" w:color="000000"/>
              <w:bottom w:val="single" w:sz="4" w:space="0" w:color="auto"/>
              <w:right w:val="single" w:sz="5" w:space="0" w:color="000000"/>
            </w:tcBorders>
            <w:tcMar>
              <w:top w:w="0" w:type="dxa"/>
              <w:left w:w="100" w:type="dxa"/>
              <w:bottom w:w="0" w:type="dxa"/>
              <w:right w:w="100" w:type="dxa"/>
            </w:tcMar>
          </w:tcPr>
          <w:p w14:paraId="2EA7D9B0"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Prioritate</w:t>
            </w:r>
          </w:p>
        </w:tc>
        <w:tc>
          <w:tcPr>
            <w:tcW w:w="1418" w:type="dxa"/>
            <w:tcBorders>
              <w:top w:val="single" w:sz="5" w:space="0" w:color="000000"/>
              <w:left w:val="nil"/>
              <w:bottom w:val="single" w:sz="4" w:space="0" w:color="auto"/>
              <w:right w:val="single" w:sz="5" w:space="0" w:color="000000"/>
            </w:tcBorders>
            <w:tcMar>
              <w:top w:w="0" w:type="dxa"/>
              <w:left w:w="100" w:type="dxa"/>
              <w:bottom w:w="0" w:type="dxa"/>
              <w:right w:w="100" w:type="dxa"/>
            </w:tcMar>
          </w:tcPr>
          <w:p w14:paraId="7856EEEE"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Termen de implementare</w:t>
            </w:r>
          </w:p>
        </w:tc>
        <w:tc>
          <w:tcPr>
            <w:tcW w:w="1419" w:type="dxa"/>
            <w:tcBorders>
              <w:top w:val="single" w:sz="5" w:space="0" w:color="000000"/>
              <w:left w:val="nil"/>
              <w:bottom w:val="single" w:sz="4" w:space="0" w:color="auto"/>
              <w:right w:val="single" w:sz="5" w:space="0" w:color="000000"/>
            </w:tcBorders>
            <w:tcMar>
              <w:top w:w="0" w:type="dxa"/>
              <w:left w:w="100" w:type="dxa"/>
              <w:bottom w:w="0" w:type="dxa"/>
              <w:right w:w="100" w:type="dxa"/>
            </w:tcMar>
          </w:tcPr>
          <w:p w14:paraId="3A1910EE" w14:textId="77777777" w:rsidR="002508D3" w:rsidRDefault="002508D3" w:rsidP="002508D3">
            <w:pPr>
              <w:spacing w:after="0" w:line="240" w:lineRule="auto"/>
              <w:ind w:firstLine="51"/>
              <w:rPr>
                <w:rFonts w:eastAsia="Times New Roman" w:cs="Times New Roman"/>
                <w:sz w:val="20"/>
                <w:szCs w:val="20"/>
              </w:rPr>
            </w:pPr>
            <w:r>
              <w:rPr>
                <w:rFonts w:eastAsia="Times New Roman" w:cs="Times New Roman"/>
                <w:sz w:val="20"/>
                <w:szCs w:val="20"/>
              </w:rPr>
              <w:t>Instituții responsabile</w:t>
            </w:r>
          </w:p>
        </w:tc>
        <w:tc>
          <w:tcPr>
            <w:tcW w:w="1702" w:type="dxa"/>
            <w:tcBorders>
              <w:top w:val="single" w:sz="5" w:space="0" w:color="000000"/>
              <w:left w:val="nil"/>
              <w:bottom w:val="single" w:sz="4" w:space="0" w:color="auto"/>
              <w:right w:val="single" w:sz="5" w:space="0" w:color="000000"/>
            </w:tcBorders>
            <w:tcMar>
              <w:top w:w="0" w:type="dxa"/>
              <w:left w:w="100" w:type="dxa"/>
              <w:bottom w:w="0" w:type="dxa"/>
              <w:right w:w="100" w:type="dxa"/>
            </w:tcMar>
          </w:tcPr>
          <w:p w14:paraId="6EAB46A9"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Finanțare</w:t>
            </w:r>
          </w:p>
        </w:tc>
      </w:tr>
      <w:tr w:rsidR="002508D3" w14:paraId="1C278E2D" w14:textId="77777777" w:rsidTr="00473248">
        <w:trPr>
          <w:trHeight w:val="609"/>
        </w:trPr>
        <w:tc>
          <w:tcPr>
            <w:tcW w:w="2164" w:type="dxa"/>
            <w:vMerge w:val="restart"/>
            <w:tcBorders>
              <w:top w:val="single" w:sz="4" w:space="0" w:color="auto"/>
              <w:left w:val="single" w:sz="6" w:space="0" w:color="000000"/>
              <w:bottom w:val="single" w:sz="4" w:space="0" w:color="auto"/>
              <w:right w:val="single" w:sz="4" w:space="0" w:color="auto"/>
            </w:tcBorders>
            <w:shd w:val="clear" w:color="auto" w:fill="auto"/>
            <w:tcMar>
              <w:top w:w="100" w:type="dxa"/>
              <w:left w:w="100" w:type="dxa"/>
              <w:bottom w:w="100" w:type="dxa"/>
              <w:right w:w="100" w:type="dxa"/>
            </w:tcMar>
          </w:tcPr>
          <w:p w14:paraId="37FA4E3B" w14:textId="1A56E73B"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 xml:space="preserve">M4.1 Creșterea capacității de monitorizare a </w:t>
            </w:r>
            <w:r w:rsidR="0084413B">
              <w:rPr>
                <w:rFonts w:eastAsia="Times New Roman" w:cs="Times New Roman"/>
                <w:sz w:val="20"/>
                <w:szCs w:val="20"/>
              </w:rPr>
              <w:t>calității</w:t>
            </w:r>
            <w:r>
              <w:rPr>
                <w:rFonts w:eastAsia="Times New Roman" w:cs="Times New Roman"/>
                <w:sz w:val="20"/>
                <w:szCs w:val="20"/>
              </w:rPr>
              <w:t xml:space="preserve"> a</w:t>
            </w:r>
            <w:r w:rsidR="0084413B">
              <w:rPr>
                <w:rFonts w:eastAsia="Times New Roman" w:cs="Times New Roman"/>
                <w:sz w:val="20"/>
                <w:szCs w:val="20"/>
              </w:rPr>
              <w:t>erului</w:t>
            </w:r>
            <w:r>
              <w:rPr>
                <w:rFonts w:eastAsia="Times New Roman" w:cs="Times New Roman"/>
                <w:sz w:val="20"/>
                <w:szCs w:val="20"/>
              </w:rPr>
              <w:t>, precum și a depunerilor atmosferice</w:t>
            </w:r>
          </w:p>
        </w:tc>
        <w:tc>
          <w:tcPr>
            <w:tcW w:w="1845" w:type="dxa"/>
            <w:vMerge w:val="restart"/>
            <w:tcBorders>
              <w:top w:val="single" w:sz="4" w:space="0" w:color="auto"/>
              <w:left w:val="single" w:sz="4" w:space="0" w:color="auto"/>
              <w:bottom w:val="single" w:sz="4" w:space="0" w:color="auto"/>
              <w:right w:val="single" w:sz="4" w:space="0" w:color="auto"/>
            </w:tcBorders>
          </w:tcPr>
          <w:p w14:paraId="18980434" w14:textId="77777777" w:rsidR="002508D3" w:rsidRPr="007663A0" w:rsidRDefault="002508D3" w:rsidP="002508D3">
            <w:pPr>
              <w:spacing w:line="240" w:lineRule="auto"/>
              <w:ind w:firstLine="0"/>
              <w:rPr>
                <w:rFonts w:eastAsia="Times New Roman" w:cs="Times New Roman"/>
                <w:sz w:val="20"/>
                <w:szCs w:val="20"/>
              </w:rPr>
            </w:pPr>
            <w:r w:rsidRPr="007663A0">
              <w:rPr>
                <w:rFonts w:eastAsia="Times New Roman" w:cs="Times New Roman"/>
                <w:sz w:val="20"/>
                <w:szCs w:val="20"/>
              </w:rPr>
              <w:t>Os2.a Atingerea stării ecologice bune a ecosistemelor;</w:t>
            </w:r>
          </w:p>
          <w:p w14:paraId="1AE5FF68" w14:textId="77777777" w:rsidR="002508D3" w:rsidRDefault="002508D3" w:rsidP="002508D3">
            <w:pPr>
              <w:spacing w:line="240" w:lineRule="auto"/>
              <w:ind w:firstLine="0"/>
              <w:rPr>
                <w:rFonts w:eastAsia="Times New Roman" w:cs="Times New Roman"/>
                <w:sz w:val="20"/>
                <w:szCs w:val="20"/>
              </w:rPr>
            </w:pPr>
            <w:r w:rsidRPr="007663A0">
              <w:rPr>
                <w:rFonts w:eastAsia="Times New Roman" w:cs="Times New Roman"/>
                <w:sz w:val="20"/>
                <w:szCs w:val="20"/>
              </w:rPr>
              <w:t xml:space="preserve">Os2.b Gestionarea, revitalizare și </w:t>
            </w:r>
            <w:r w:rsidRPr="007663A0">
              <w:rPr>
                <w:rFonts w:eastAsia="Times New Roman" w:cs="Times New Roman"/>
                <w:sz w:val="20"/>
                <w:szCs w:val="20"/>
              </w:rPr>
              <w:lastRenderedPageBreak/>
              <w:t>reabilitarea zonelor urbane şi rurale poluate.</w:t>
            </w:r>
          </w:p>
        </w:tc>
        <w:tc>
          <w:tcPr>
            <w:tcW w:w="4254" w:type="dxa"/>
            <w:tcBorders>
              <w:top w:val="single" w:sz="4" w:space="0" w:color="auto"/>
              <w:left w:val="single" w:sz="4" w:space="0" w:color="auto"/>
              <w:bottom w:val="single" w:sz="6" w:space="0" w:color="000000"/>
              <w:right w:val="single" w:sz="4" w:space="0" w:color="000000"/>
            </w:tcBorders>
            <w:shd w:val="clear" w:color="auto" w:fill="auto"/>
            <w:tcMar>
              <w:top w:w="0" w:type="dxa"/>
              <w:left w:w="100" w:type="dxa"/>
              <w:bottom w:w="0" w:type="dxa"/>
              <w:right w:w="100" w:type="dxa"/>
            </w:tcMar>
          </w:tcPr>
          <w:p w14:paraId="0483FB52"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lastRenderedPageBreak/>
              <w:t>A 4.1.1 Realizare de studii pentru identificarea noilor locații de monitorizare a calității aerului</w:t>
            </w:r>
          </w:p>
        </w:tc>
        <w:tc>
          <w:tcPr>
            <w:tcW w:w="1277" w:type="dxa"/>
            <w:tcBorders>
              <w:top w:val="single" w:sz="4" w:space="0" w:color="auto"/>
              <w:left w:val="single" w:sz="4" w:space="0" w:color="000000"/>
              <w:bottom w:val="single" w:sz="6" w:space="0" w:color="000000"/>
              <w:right w:val="single" w:sz="6" w:space="0" w:color="000000"/>
            </w:tcBorders>
            <w:shd w:val="clear" w:color="auto" w:fill="auto"/>
            <w:tcMar>
              <w:top w:w="0" w:type="dxa"/>
              <w:left w:w="100" w:type="dxa"/>
              <w:bottom w:w="0" w:type="dxa"/>
              <w:right w:w="100" w:type="dxa"/>
            </w:tcMar>
          </w:tcPr>
          <w:p w14:paraId="564D37A7"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4" w:space="0" w:color="auto"/>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6B5CEAB7"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2025</w:t>
            </w:r>
          </w:p>
        </w:tc>
        <w:tc>
          <w:tcPr>
            <w:tcW w:w="1419" w:type="dxa"/>
            <w:tcBorders>
              <w:top w:val="single" w:sz="4" w:space="0" w:color="auto"/>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66A561A5" w14:textId="0BA1361F" w:rsidR="002508D3" w:rsidRDefault="002508D3" w:rsidP="002508D3">
            <w:pPr>
              <w:spacing w:after="0" w:line="240" w:lineRule="auto"/>
              <w:ind w:firstLine="51"/>
              <w:rPr>
                <w:rFonts w:eastAsia="Times New Roman" w:cs="Times New Roman"/>
                <w:sz w:val="20"/>
                <w:szCs w:val="20"/>
              </w:rPr>
            </w:pPr>
            <w:r>
              <w:rPr>
                <w:rFonts w:eastAsia="Times New Roman" w:cs="Times New Roman"/>
                <w:sz w:val="20"/>
                <w:szCs w:val="20"/>
              </w:rPr>
              <w:t xml:space="preserve">MMAP </w:t>
            </w:r>
          </w:p>
        </w:tc>
        <w:tc>
          <w:tcPr>
            <w:tcW w:w="1702" w:type="dxa"/>
            <w:tcBorders>
              <w:top w:val="single" w:sz="4" w:space="0" w:color="auto"/>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719FD7D2"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Programul de Dezvoltare Durabilă, Programul Regional Sud-Est, buget propriu MMAP</w:t>
            </w:r>
          </w:p>
        </w:tc>
      </w:tr>
      <w:tr w:rsidR="002508D3" w14:paraId="4E6B1B18" w14:textId="77777777" w:rsidTr="00473248">
        <w:trPr>
          <w:trHeight w:val="1133"/>
        </w:trPr>
        <w:tc>
          <w:tcPr>
            <w:tcW w:w="2164" w:type="dxa"/>
            <w:vMerge/>
            <w:tcBorders>
              <w:top w:val="single" w:sz="4" w:space="0" w:color="auto"/>
              <w:left w:val="single" w:sz="6" w:space="0" w:color="000000"/>
              <w:bottom w:val="single" w:sz="4" w:space="0" w:color="auto"/>
              <w:right w:val="single" w:sz="4" w:space="0" w:color="auto"/>
            </w:tcBorders>
            <w:shd w:val="clear" w:color="auto" w:fill="auto"/>
            <w:tcMar>
              <w:top w:w="100" w:type="dxa"/>
              <w:left w:w="100" w:type="dxa"/>
              <w:bottom w:w="100" w:type="dxa"/>
              <w:right w:w="100" w:type="dxa"/>
            </w:tcMar>
          </w:tcPr>
          <w:p w14:paraId="348603A1" w14:textId="77777777" w:rsidR="002508D3" w:rsidRDefault="002508D3" w:rsidP="002508D3">
            <w:pPr>
              <w:widowControl w:val="0"/>
              <w:pBdr>
                <w:top w:val="nil"/>
                <w:left w:val="nil"/>
                <w:bottom w:val="nil"/>
                <w:right w:val="nil"/>
                <w:between w:val="nil"/>
              </w:pBdr>
              <w:spacing w:after="0"/>
              <w:ind w:firstLine="0"/>
              <w:rPr>
                <w:rFonts w:eastAsia="Times New Roman" w:cs="Times New Roman"/>
                <w:sz w:val="20"/>
                <w:szCs w:val="20"/>
              </w:rPr>
            </w:pPr>
          </w:p>
        </w:tc>
        <w:tc>
          <w:tcPr>
            <w:tcW w:w="1845" w:type="dxa"/>
            <w:vMerge/>
            <w:tcBorders>
              <w:top w:val="single" w:sz="4" w:space="0" w:color="auto"/>
              <w:left w:val="single" w:sz="4" w:space="0" w:color="auto"/>
              <w:bottom w:val="single" w:sz="4" w:space="0" w:color="auto"/>
              <w:right w:val="single" w:sz="4" w:space="0" w:color="auto"/>
            </w:tcBorders>
          </w:tcPr>
          <w:p w14:paraId="14460292" w14:textId="77777777" w:rsidR="002508D3" w:rsidRDefault="002508D3" w:rsidP="002508D3">
            <w:pPr>
              <w:spacing w:after="0" w:line="240" w:lineRule="auto"/>
              <w:ind w:firstLine="0"/>
              <w:rPr>
                <w:rFonts w:eastAsia="Times New Roman" w:cs="Times New Roman"/>
                <w:sz w:val="20"/>
                <w:szCs w:val="20"/>
              </w:rPr>
            </w:pPr>
          </w:p>
        </w:tc>
        <w:tc>
          <w:tcPr>
            <w:tcW w:w="4254" w:type="dxa"/>
            <w:tcBorders>
              <w:top w:val="single" w:sz="6" w:space="0" w:color="000000"/>
              <w:left w:val="single" w:sz="4" w:space="0" w:color="auto"/>
              <w:bottom w:val="single" w:sz="5" w:space="0" w:color="000000"/>
              <w:right w:val="single" w:sz="4" w:space="0" w:color="000000"/>
            </w:tcBorders>
            <w:shd w:val="clear" w:color="auto" w:fill="auto"/>
            <w:tcMar>
              <w:top w:w="0" w:type="dxa"/>
              <w:left w:w="100" w:type="dxa"/>
              <w:bottom w:w="0" w:type="dxa"/>
              <w:right w:w="100" w:type="dxa"/>
            </w:tcMar>
          </w:tcPr>
          <w:p w14:paraId="5CDD4EAA"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4.1.2 Realizarea de proiecte pilot pentru monitorizarea depunerilor atmosferice</w:t>
            </w:r>
          </w:p>
        </w:tc>
        <w:tc>
          <w:tcPr>
            <w:tcW w:w="1277" w:type="dxa"/>
            <w:tcBorders>
              <w:top w:val="single" w:sz="6" w:space="0" w:color="000000"/>
              <w:left w:val="single" w:sz="4" w:space="0" w:color="000000"/>
              <w:bottom w:val="single" w:sz="5" w:space="0" w:color="000000"/>
              <w:right w:val="single" w:sz="5" w:space="0" w:color="000000"/>
            </w:tcBorders>
            <w:shd w:val="clear" w:color="auto" w:fill="auto"/>
            <w:tcMar>
              <w:top w:w="0" w:type="dxa"/>
              <w:left w:w="100" w:type="dxa"/>
              <w:bottom w:w="0" w:type="dxa"/>
              <w:right w:w="100" w:type="dxa"/>
            </w:tcMar>
          </w:tcPr>
          <w:p w14:paraId="311FAF5E"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6" w:space="0" w:color="000000"/>
              <w:left w:val="nil"/>
              <w:bottom w:val="single" w:sz="5" w:space="0" w:color="000000"/>
              <w:right w:val="single" w:sz="5" w:space="0" w:color="000000"/>
            </w:tcBorders>
            <w:shd w:val="clear" w:color="auto" w:fill="auto"/>
            <w:tcMar>
              <w:top w:w="0" w:type="dxa"/>
              <w:left w:w="100" w:type="dxa"/>
              <w:bottom w:w="0" w:type="dxa"/>
              <w:right w:w="100" w:type="dxa"/>
            </w:tcMar>
          </w:tcPr>
          <w:p w14:paraId="27977A4C"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6" w:space="0" w:color="000000"/>
              <w:left w:val="nil"/>
              <w:bottom w:val="single" w:sz="5" w:space="0" w:color="000000"/>
              <w:right w:val="single" w:sz="5" w:space="0" w:color="000000"/>
            </w:tcBorders>
            <w:shd w:val="clear" w:color="auto" w:fill="auto"/>
            <w:tcMar>
              <w:top w:w="0" w:type="dxa"/>
              <w:left w:w="100" w:type="dxa"/>
              <w:bottom w:w="0" w:type="dxa"/>
              <w:right w:w="100" w:type="dxa"/>
            </w:tcMar>
          </w:tcPr>
          <w:p w14:paraId="793B8495" w14:textId="3D0ABF21" w:rsidR="002508D3" w:rsidRDefault="002508D3" w:rsidP="002508D3">
            <w:pPr>
              <w:spacing w:after="0" w:line="240" w:lineRule="auto"/>
              <w:ind w:firstLine="51"/>
              <w:rPr>
                <w:rFonts w:eastAsia="Times New Roman" w:cs="Times New Roman"/>
                <w:sz w:val="20"/>
                <w:szCs w:val="20"/>
              </w:rPr>
            </w:pPr>
            <w:r>
              <w:rPr>
                <w:rFonts w:eastAsia="Times New Roman" w:cs="Times New Roman"/>
                <w:sz w:val="20"/>
                <w:szCs w:val="20"/>
              </w:rPr>
              <w:t>MCID (INCD Geoecomar, INCDM Grigore Antipa, INCDDD)</w:t>
            </w:r>
          </w:p>
        </w:tc>
        <w:tc>
          <w:tcPr>
            <w:tcW w:w="1702" w:type="dxa"/>
            <w:tcBorders>
              <w:top w:val="single" w:sz="6" w:space="0" w:color="000000"/>
              <w:left w:val="nil"/>
              <w:bottom w:val="single" w:sz="5" w:space="0" w:color="000000"/>
              <w:right w:val="single" w:sz="5" w:space="0" w:color="000000"/>
            </w:tcBorders>
            <w:shd w:val="clear" w:color="auto" w:fill="auto"/>
            <w:tcMar>
              <w:top w:w="0" w:type="dxa"/>
              <w:left w:w="100" w:type="dxa"/>
              <w:bottom w:w="0" w:type="dxa"/>
              <w:right w:w="100" w:type="dxa"/>
            </w:tcMar>
          </w:tcPr>
          <w:p w14:paraId="7B5A3333"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PNCDI IV, Programul Regional Sud-Est, Programul de Dezvoltare Durabilă și Programul Horizon Europe</w:t>
            </w:r>
          </w:p>
        </w:tc>
      </w:tr>
      <w:tr w:rsidR="002508D3" w14:paraId="3673133E" w14:textId="77777777" w:rsidTr="00473248">
        <w:trPr>
          <w:trHeight w:val="504"/>
        </w:trPr>
        <w:tc>
          <w:tcPr>
            <w:tcW w:w="2164" w:type="dxa"/>
            <w:vMerge/>
            <w:tcBorders>
              <w:top w:val="single" w:sz="4" w:space="0" w:color="auto"/>
              <w:left w:val="single" w:sz="6" w:space="0" w:color="000000"/>
              <w:bottom w:val="single" w:sz="4" w:space="0" w:color="auto"/>
              <w:right w:val="single" w:sz="4" w:space="0" w:color="auto"/>
            </w:tcBorders>
            <w:shd w:val="clear" w:color="auto" w:fill="auto"/>
            <w:tcMar>
              <w:top w:w="100" w:type="dxa"/>
              <w:left w:w="100" w:type="dxa"/>
              <w:bottom w:w="100" w:type="dxa"/>
              <w:right w:w="100" w:type="dxa"/>
            </w:tcMar>
          </w:tcPr>
          <w:p w14:paraId="7DFB5363" w14:textId="77777777" w:rsidR="002508D3" w:rsidRDefault="002508D3" w:rsidP="002508D3">
            <w:pPr>
              <w:widowControl w:val="0"/>
              <w:pBdr>
                <w:top w:val="nil"/>
                <w:left w:val="nil"/>
                <w:bottom w:val="nil"/>
                <w:right w:val="nil"/>
                <w:between w:val="nil"/>
              </w:pBdr>
              <w:spacing w:after="0"/>
              <w:ind w:firstLine="0"/>
              <w:rPr>
                <w:rFonts w:eastAsia="Times New Roman" w:cs="Times New Roman"/>
                <w:sz w:val="20"/>
                <w:szCs w:val="20"/>
              </w:rPr>
            </w:pPr>
          </w:p>
        </w:tc>
        <w:tc>
          <w:tcPr>
            <w:tcW w:w="1845" w:type="dxa"/>
            <w:vMerge/>
            <w:tcBorders>
              <w:top w:val="single" w:sz="4" w:space="0" w:color="auto"/>
              <w:left w:val="single" w:sz="4" w:space="0" w:color="auto"/>
              <w:bottom w:val="single" w:sz="4" w:space="0" w:color="auto"/>
              <w:right w:val="single" w:sz="4" w:space="0" w:color="auto"/>
            </w:tcBorders>
          </w:tcPr>
          <w:p w14:paraId="2DBAFDD8" w14:textId="77777777" w:rsidR="002508D3" w:rsidRDefault="002508D3" w:rsidP="002508D3">
            <w:pPr>
              <w:spacing w:after="0" w:line="240" w:lineRule="auto"/>
              <w:ind w:firstLine="0"/>
              <w:rPr>
                <w:rFonts w:eastAsia="Times New Roman" w:cs="Times New Roman"/>
                <w:sz w:val="20"/>
                <w:szCs w:val="20"/>
              </w:rPr>
            </w:pPr>
          </w:p>
        </w:tc>
        <w:tc>
          <w:tcPr>
            <w:tcW w:w="4254" w:type="dxa"/>
            <w:tcBorders>
              <w:top w:val="nil"/>
              <w:left w:val="single" w:sz="4" w:space="0" w:color="auto"/>
              <w:bottom w:val="single" w:sz="5" w:space="0" w:color="000000"/>
              <w:right w:val="single" w:sz="4" w:space="0" w:color="000000"/>
            </w:tcBorders>
            <w:shd w:val="clear" w:color="auto" w:fill="auto"/>
            <w:tcMar>
              <w:top w:w="0" w:type="dxa"/>
              <w:left w:w="100" w:type="dxa"/>
              <w:bottom w:w="0" w:type="dxa"/>
              <w:right w:w="100" w:type="dxa"/>
            </w:tcMar>
          </w:tcPr>
          <w:p w14:paraId="79A90B20"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4.1.3 Crearea unei rețele de monitorizare a depunerilor atmosferice în zona costieră</w:t>
            </w:r>
          </w:p>
        </w:tc>
        <w:tc>
          <w:tcPr>
            <w:tcW w:w="1277" w:type="dxa"/>
            <w:tcBorders>
              <w:top w:val="nil"/>
              <w:left w:val="single" w:sz="4" w:space="0" w:color="000000"/>
              <w:bottom w:val="single" w:sz="5" w:space="0" w:color="000000"/>
              <w:right w:val="single" w:sz="5" w:space="0" w:color="000000"/>
            </w:tcBorders>
            <w:shd w:val="clear" w:color="auto" w:fill="auto"/>
            <w:tcMar>
              <w:top w:w="0" w:type="dxa"/>
              <w:left w:w="100" w:type="dxa"/>
              <w:bottom w:w="0" w:type="dxa"/>
              <w:right w:w="100" w:type="dxa"/>
            </w:tcMar>
          </w:tcPr>
          <w:p w14:paraId="651CCBA6"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CBD976B"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0669DDE" w14:textId="56FCD881" w:rsidR="002508D3" w:rsidRDefault="002508D3" w:rsidP="002508D3">
            <w:pPr>
              <w:spacing w:after="0" w:line="240" w:lineRule="auto"/>
              <w:ind w:firstLine="51"/>
              <w:rPr>
                <w:rFonts w:eastAsia="Times New Roman" w:cs="Times New Roman"/>
                <w:sz w:val="20"/>
                <w:szCs w:val="20"/>
              </w:rPr>
            </w:pPr>
            <w:r>
              <w:rPr>
                <w:rFonts w:eastAsia="Times New Roman" w:cs="Times New Roman"/>
                <w:sz w:val="20"/>
                <w:szCs w:val="20"/>
              </w:rPr>
              <w:t>MMAP</w:t>
            </w:r>
            <w:r w:rsidR="00BB40D3">
              <w:rPr>
                <w:rFonts w:eastAsia="Times New Roman" w:cs="Times New Roman"/>
                <w:sz w:val="20"/>
                <w:szCs w:val="20"/>
              </w:rPr>
              <w:t xml:space="preserve">, MCID </w:t>
            </w:r>
            <w:r>
              <w:rPr>
                <w:rFonts w:eastAsia="Times New Roman" w:cs="Times New Roman"/>
                <w:sz w:val="20"/>
                <w:szCs w:val="20"/>
              </w:rPr>
              <w:t xml:space="preserve"> </w:t>
            </w:r>
            <w:r w:rsidR="00BB40D3" w:rsidRPr="00BB40D3">
              <w:rPr>
                <w:rFonts w:eastAsia="Times New Roman" w:cs="Times New Roman"/>
                <w:sz w:val="20"/>
                <w:szCs w:val="20"/>
              </w:rPr>
              <w:t>(INCD Geoecomar, INCDM Grigore Antipa, INCDDD)</w:t>
            </w:r>
          </w:p>
        </w:tc>
        <w:tc>
          <w:tcPr>
            <w:tcW w:w="1702"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BC317C0"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buget propriu MMAP*</w:t>
            </w:r>
          </w:p>
        </w:tc>
      </w:tr>
      <w:tr w:rsidR="002508D3" w14:paraId="696CA11F" w14:textId="77777777" w:rsidTr="00473248">
        <w:trPr>
          <w:trHeight w:val="786"/>
        </w:trPr>
        <w:tc>
          <w:tcPr>
            <w:tcW w:w="2164" w:type="dxa"/>
            <w:vMerge w:val="restart"/>
            <w:tcBorders>
              <w:top w:val="single" w:sz="4" w:space="0" w:color="auto"/>
              <w:left w:val="single" w:sz="5" w:space="0" w:color="000000"/>
              <w:bottom w:val="single" w:sz="5" w:space="0" w:color="000000"/>
              <w:right w:val="single" w:sz="4" w:space="0" w:color="auto"/>
            </w:tcBorders>
            <w:shd w:val="clear" w:color="auto" w:fill="auto"/>
            <w:tcMar>
              <w:top w:w="100" w:type="dxa"/>
              <w:left w:w="100" w:type="dxa"/>
              <w:bottom w:w="100" w:type="dxa"/>
              <w:right w:w="100" w:type="dxa"/>
            </w:tcMar>
          </w:tcPr>
          <w:p w14:paraId="77B5F9FA"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M4.2 Extinderea și modernizarea infrastructurii de canalizare și epurare în partea nordică a zonei costiere, aferentă Deltei Dunării</w:t>
            </w:r>
          </w:p>
        </w:tc>
        <w:tc>
          <w:tcPr>
            <w:tcW w:w="1845" w:type="dxa"/>
            <w:vMerge w:val="restart"/>
            <w:tcBorders>
              <w:top w:val="single" w:sz="4" w:space="0" w:color="auto"/>
              <w:left w:val="single" w:sz="4" w:space="0" w:color="auto"/>
              <w:right w:val="single" w:sz="4" w:space="0" w:color="auto"/>
            </w:tcBorders>
          </w:tcPr>
          <w:p w14:paraId="1B43DE77" w14:textId="77777777" w:rsidR="002508D3" w:rsidRPr="007663A0" w:rsidRDefault="002508D3" w:rsidP="002508D3">
            <w:pPr>
              <w:spacing w:line="240" w:lineRule="auto"/>
              <w:ind w:firstLine="0"/>
              <w:rPr>
                <w:rFonts w:eastAsia="Times New Roman" w:cs="Times New Roman"/>
                <w:sz w:val="20"/>
                <w:szCs w:val="20"/>
              </w:rPr>
            </w:pPr>
            <w:r w:rsidRPr="007663A0">
              <w:rPr>
                <w:rFonts w:eastAsia="Times New Roman" w:cs="Times New Roman"/>
                <w:sz w:val="20"/>
                <w:szCs w:val="20"/>
              </w:rPr>
              <w:t>Os2.a Atingerea stării ecologice bune a ecosistemelor;</w:t>
            </w:r>
          </w:p>
          <w:p w14:paraId="15BA2B6A" w14:textId="77777777" w:rsidR="002508D3" w:rsidRDefault="002508D3" w:rsidP="002508D3">
            <w:pPr>
              <w:spacing w:line="240" w:lineRule="auto"/>
              <w:ind w:firstLine="0"/>
              <w:rPr>
                <w:rFonts w:eastAsia="Times New Roman" w:cs="Times New Roman"/>
                <w:sz w:val="20"/>
                <w:szCs w:val="20"/>
              </w:rPr>
            </w:pPr>
            <w:r w:rsidRPr="007663A0">
              <w:rPr>
                <w:rFonts w:eastAsia="Times New Roman" w:cs="Times New Roman"/>
                <w:sz w:val="20"/>
                <w:szCs w:val="20"/>
              </w:rPr>
              <w:t>Os4.a Gestionarea durabi</w:t>
            </w:r>
            <w:r>
              <w:rPr>
                <w:rFonts w:eastAsia="Times New Roman" w:cs="Times New Roman"/>
                <w:sz w:val="20"/>
                <w:szCs w:val="20"/>
              </w:rPr>
              <w:t>lă a resurselor zonei de coastă;</w:t>
            </w:r>
            <w:r w:rsidRPr="007663A0">
              <w:rPr>
                <w:rFonts w:eastAsia="Times New Roman" w:cs="Times New Roman"/>
                <w:sz w:val="20"/>
                <w:szCs w:val="20"/>
              </w:rPr>
              <w:t xml:space="preserve"> Os1.a Protejarea eficientă a valorilor naturale, peisagistice și culturale</w:t>
            </w:r>
            <w:r>
              <w:rPr>
                <w:rFonts w:eastAsia="Times New Roman" w:cs="Times New Roman"/>
                <w:sz w:val="20"/>
                <w:szCs w:val="20"/>
              </w:rPr>
              <w:t>.</w:t>
            </w:r>
          </w:p>
        </w:tc>
        <w:tc>
          <w:tcPr>
            <w:tcW w:w="4254" w:type="dxa"/>
            <w:tcBorders>
              <w:top w:val="nil"/>
              <w:left w:val="single" w:sz="4" w:space="0" w:color="auto"/>
              <w:bottom w:val="single" w:sz="5" w:space="0" w:color="000000"/>
              <w:right w:val="single" w:sz="4" w:space="0" w:color="000000"/>
            </w:tcBorders>
            <w:shd w:val="clear" w:color="auto" w:fill="auto"/>
            <w:tcMar>
              <w:top w:w="0" w:type="dxa"/>
              <w:left w:w="100" w:type="dxa"/>
              <w:bottom w:w="0" w:type="dxa"/>
              <w:right w:w="100" w:type="dxa"/>
            </w:tcMar>
          </w:tcPr>
          <w:p w14:paraId="22202D1E"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4.2.1 Extinderea și modernizarea infrastructurii de canalizare în partea nordică a zonei costiere</w:t>
            </w:r>
          </w:p>
        </w:tc>
        <w:tc>
          <w:tcPr>
            <w:tcW w:w="1277" w:type="dxa"/>
            <w:tcBorders>
              <w:top w:val="nil"/>
              <w:left w:val="single" w:sz="4" w:space="0" w:color="000000"/>
              <w:bottom w:val="single" w:sz="5" w:space="0" w:color="000000"/>
              <w:right w:val="single" w:sz="5" w:space="0" w:color="000000"/>
            </w:tcBorders>
            <w:shd w:val="clear" w:color="auto" w:fill="auto"/>
            <w:tcMar>
              <w:top w:w="0" w:type="dxa"/>
              <w:left w:w="100" w:type="dxa"/>
              <w:bottom w:w="0" w:type="dxa"/>
              <w:right w:w="100" w:type="dxa"/>
            </w:tcMar>
          </w:tcPr>
          <w:p w14:paraId="476FA6CC"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15EC437"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B9A3F3B" w14:textId="77777777" w:rsidR="002508D3" w:rsidRDefault="002508D3" w:rsidP="00BB40D3">
            <w:pPr>
              <w:spacing w:after="0" w:line="240" w:lineRule="auto"/>
              <w:ind w:firstLine="0"/>
              <w:rPr>
                <w:rFonts w:eastAsia="Times New Roman" w:cs="Times New Roman"/>
                <w:sz w:val="20"/>
                <w:szCs w:val="20"/>
              </w:rPr>
            </w:pPr>
            <w:r>
              <w:rPr>
                <w:rFonts w:eastAsia="Times New Roman" w:cs="Times New Roman"/>
                <w:sz w:val="20"/>
                <w:szCs w:val="20"/>
              </w:rPr>
              <w:t>MDLPA, MMAP, autorități locale</w:t>
            </w:r>
          </w:p>
        </w:tc>
        <w:tc>
          <w:tcPr>
            <w:tcW w:w="1702" w:type="dxa"/>
            <w:vMerge w:val="restart"/>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7789EAF"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Bugete locale, bugetele operatorilor de servicii publice de apă uzată, Programul de Dezvoltare Durabilă, Invest EU, PNRR și Programul Național de Investiții Anghel Saligny.</w:t>
            </w:r>
          </w:p>
        </w:tc>
      </w:tr>
      <w:tr w:rsidR="002508D3" w14:paraId="0F905E03" w14:textId="77777777" w:rsidTr="002508D3">
        <w:trPr>
          <w:trHeight w:val="748"/>
        </w:trPr>
        <w:tc>
          <w:tcPr>
            <w:tcW w:w="2164" w:type="dxa"/>
            <w:vMerge/>
            <w:tcBorders>
              <w:top w:val="nil"/>
              <w:left w:val="single" w:sz="5" w:space="0" w:color="000000"/>
              <w:bottom w:val="single" w:sz="5" w:space="0" w:color="000000"/>
              <w:right w:val="single" w:sz="4" w:space="0" w:color="auto"/>
            </w:tcBorders>
            <w:shd w:val="clear" w:color="auto" w:fill="auto"/>
            <w:tcMar>
              <w:top w:w="100" w:type="dxa"/>
              <w:left w:w="100" w:type="dxa"/>
              <w:bottom w:w="100" w:type="dxa"/>
              <w:right w:w="100" w:type="dxa"/>
            </w:tcMar>
          </w:tcPr>
          <w:p w14:paraId="076E24B7" w14:textId="77777777" w:rsidR="002508D3" w:rsidRDefault="002508D3" w:rsidP="002508D3">
            <w:pPr>
              <w:widowControl w:val="0"/>
              <w:pBdr>
                <w:top w:val="nil"/>
                <w:left w:val="nil"/>
                <w:bottom w:val="nil"/>
                <w:right w:val="nil"/>
                <w:between w:val="nil"/>
              </w:pBdr>
              <w:spacing w:after="0"/>
              <w:ind w:firstLine="0"/>
              <w:rPr>
                <w:rFonts w:eastAsia="Times New Roman" w:cs="Times New Roman"/>
                <w:sz w:val="20"/>
                <w:szCs w:val="20"/>
              </w:rPr>
            </w:pPr>
          </w:p>
        </w:tc>
        <w:tc>
          <w:tcPr>
            <w:tcW w:w="1845" w:type="dxa"/>
            <w:vMerge/>
            <w:tcBorders>
              <w:left w:val="single" w:sz="4" w:space="0" w:color="auto"/>
              <w:bottom w:val="single" w:sz="4" w:space="0" w:color="auto"/>
              <w:right w:val="single" w:sz="4" w:space="0" w:color="auto"/>
            </w:tcBorders>
          </w:tcPr>
          <w:p w14:paraId="27833D06" w14:textId="77777777" w:rsidR="002508D3" w:rsidRDefault="002508D3" w:rsidP="002508D3">
            <w:pPr>
              <w:spacing w:after="0" w:line="240" w:lineRule="auto"/>
              <w:ind w:firstLine="0"/>
              <w:rPr>
                <w:rFonts w:eastAsia="Times New Roman" w:cs="Times New Roman"/>
                <w:sz w:val="20"/>
                <w:szCs w:val="20"/>
              </w:rPr>
            </w:pPr>
          </w:p>
        </w:tc>
        <w:tc>
          <w:tcPr>
            <w:tcW w:w="4254" w:type="dxa"/>
            <w:tcBorders>
              <w:top w:val="nil"/>
              <w:left w:val="single" w:sz="4" w:space="0" w:color="auto"/>
              <w:bottom w:val="single" w:sz="5" w:space="0" w:color="000000"/>
              <w:right w:val="single" w:sz="4" w:space="0" w:color="000000"/>
            </w:tcBorders>
            <w:shd w:val="clear" w:color="auto" w:fill="auto"/>
            <w:tcMar>
              <w:top w:w="0" w:type="dxa"/>
              <w:left w:w="100" w:type="dxa"/>
              <w:bottom w:w="0" w:type="dxa"/>
              <w:right w:w="100" w:type="dxa"/>
            </w:tcMar>
          </w:tcPr>
          <w:p w14:paraId="70C8E006"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4.2.2 Modernizarea infrastructurii de epurare în partea nordică a zonei costiere</w:t>
            </w:r>
          </w:p>
        </w:tc>
        <w:tc>
          <w:tcPr>
            <w:tcW w:w="1277" w:type="dxa"/>
            <w:tcBorders>
              <w:top w:val="nil"/>
              <w:left w:val="single" w:sz="4" w:space="0" w:color="000000"/>
              <w:bottom w:val="single" w:sz="5" w:space="0" w:color="000000"/>
              <w:right w:val="single" w:sz="5" w:space="0" w:color="000000"/>
            </w:tcBorders>
            <w:shd w:val="clear" w:color="auto" w:fill="auto"/>
            <w:tcMar>
              <w:top w:w="0" w:type="dxa"/>
              <w:left w:w="100" w:type="dxa"/>
              <w:bottom w:w="0" w:type="dxa"/>
              <w:right w:w="100" w:type="dxa"/>
            </w:tcMar>
          </w:tcPr>
          <w:p w14:paraId="65474601"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A559011"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F84D81C" w14:textId="77777777" w:rsidR="002508D3" w:rsidRDefault="002508D3" w:rsidP="002508D3">
            <w:pPr>
              <w:spacing w:after="0" w:line="240" w:lineRule="auto"/>
              <w:ind w:firstLine="51"/>
              <w:rPr>
                <w:rFonts w:eastAsia="Times New Roman" w:cs="Times New Roman"/>
                <w:sz w:val="20"/>
                <w:szCs w:val="20"/>
              </w:rPr>
            </w:pPr>
            <w:r>
              <w:rPr>
                <w:rFonts w:eastAsia="Times New Roman" w:cs="Times New Roman"/>
                <w:sz w:val="20"/>
                <w:szCs w:val="20"/>
              </w:rPr>
              <w:t>MDLPA, MMAP, autorități locale</w:t>
            </w:r>
          </w:p>
        </w:tc>
        <w:tc>
          <w:tcPr>
            <w:tcW w:w="1702" w:type="dxa"/>
            <w:vMerge/>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6636E6E" w14:textId="77777777" w:rsidR="002508D3" w:rsidRDefault="002508D3" w:rsidP="002508D3">
            <w:pPr>
              <w:widowControl w:val="0"/>
              <w:pBdr>
                <w:top w:val="nil"/>
                <w:left w:val="nil"/>
                <w:bottom w:val="nil"/>
                <w:right w:val="nil"/>
                <w:between w:val="nil"/>
              </w:pBdr>
              <w:spacing w:after="0"/>
              <w:ind w:firstLine="0"/>
              <w:rPr>
                <w:rFonts w:eastAsia="Times New Roman" w:cs="Times New Roman"/>
                <w:sz w:val="20"/>
                <w:szCs w:val="20"/>
              </w:rPr>
            </w:pPr>
          </w:p>
        </w:tc>
      </w:tr>
      <w:tr w:rsidR="002508D3" w14:paraId="3EC732CD" w14:textId="77777777" w:rsidTr="00473248">
        <w:trPr>
          <w:trHeight w:val="1397"/>
        </w:trPr>
        <w:tc>
          <w:tcPr>
            <w:tcW w:w="2164" w:type="dxa"/>
            <w:vMerge w:val="restart"/>
            <w:tcBorders>
              <w:top w:val="nil"/>
              <w:left w:val="single" w:sz="5" w:space="0" w:color="000000"/>
              <w:bottom w:val="single" w:sz="5" w:space="0" w:color="000000"/>
              <w:right w:val="single" w:sz="4" w:space="0" w:color="auto"/>
            </w:tcBorders>
            <w:shd w:val="clear" w:color="auto" w:fill="auto"/>
            <w:tcMar>
              <w:top w:w="100" w:type="dxa"/>
              <w:left w:w="100" w:type="dxa"/>
              <w:bottom w:w="100" w:type="dxa"/>
              <w:right w:w="100" w:type="dxa"/>
            </w:tcMar>
          </w:tcPr>
          <w:p w14:paraId="307349B8"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lastRenderedPageBreak/>
              <w:t>M4.3 Dezvoltarea unui program pentru studierea principalelor surse, căi de transport și impactului contaminanților emergenți asupra faunei și omului, precum și dezvoltarea unui program de monitorizare a acestora</w:t>
            </w:r>
          </w:p>
        </w:tc>
        <w:tc>
          <w:tcPr>
            <w:tcW w:w="1845" w:type="dxa"/>
            <w:vMerge w:val="restart"/>
            <w:tcBorders>
              <w:top w:val="single" w:sz="4" w:space="0" w:color="auto"/>
              <w:left w:val="single" w:sz="4" w:space="0" w:color="auto"/>
              <w:bottom w:val="single" w:sz="4" w:space="0" w:color="auto"/>
              <w:right w:val="single" w:sz="4" w:space="0" w:color="auto"/>
            </w:tcBorders>
          </w:tcPr>
          <w:p w14:paraId="51DFED43" w14:textId="77777777" w:rsidR="002508D3" w:rsidRPr="007663A0" w:rsidRDefault="002508D3" w:rsidP="002508D3">
            <w:pPr>
              <w:spacing w:line="240" w:lineRule="auto"/>
              <w:ind w:firstLine="0"/>
              <w:rPr>
                <w:rFonts w:eastAsia="Times New Roman" w:cs="Times New Roman"/>
                <w:sz w:val="20"/>
                <w:szCs w:val="20"/>
              </w:rPr>
            </w:pPr>
            <w:r w:rsidRPr="007663A0">
              <w:rPr>
                <w:rFonts w:eastAsia="Times New Roman" w:cs="Times New Roman"/>
                <w:sz w:val="20"/>
                <w:szCs w:val="20"/>
              </w:rPr>
              <w:t>Os2.a Atingerea stării ecologice bune a ecosistemelor;</w:t>
            </w:r>
          </w:p>
          <w:p w14:paraId="169DFFE1" w14:textId="77777777" w:rsidR="002508D3" w:rsidRDefault="002508D3" w:rsidP="002508D3">
            <w:pPr>
              <w:spacing w:line="240" w:lineRule="auto"/>
              <w:ind w:firstLine="0"/>
              <w:rPr>
                <w:rFonts w:eastAsia="Times New Roman" w:cs="Times New Roman"/>
                <w:sz w:val="20"/>
                <w:szCs w:val="20"/>
              </w:rPr>
            </w:pPr>
            <w:r w:rsidRPr="007663A0">
              <w:rPr>
                <w:rFonts w:eastAsia="Times New Roman" w:cs="Times New Roman"/>
                <w:sz w:val="20"/>
                <w:szCs w:val="20"/>
              </w:rPr>
              <w:t>Os1.a Protejarea eficientă a valorilor naturale, peisagistice și culturale.</w:t>
            </w:r>
          </w:p>
        </w:tc>
        <w:tc>
          <w:tcPr>
            <w:tcW w:w="4254" w:type="dxa"/>
            <w:tcBorders>
              <w:top w:val="nil"/>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466E1ABA"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4.3.1 Realizarea de studii privind bioacumularea, biomagnificarea și evaluarea riscului prezenței contaminanților emergenți în ecosistemele marine și dulcicole asupra faunei și sănătății omului</w:t>
            </w:r>
          </w:p>
        </w:tc>
        <w:tc>
          <w:tcPr>
            <w:tcW w:w="1277" w:type="dxa"/>
            <w:tcBorders>
              <w:top w:val="nil"/>
              <w:left w:val="single" w:sz="4" w:space="0" w:color="000000"/>
              <w:bottom w:val="single" w:sz="5" w:space="0" w:color="000000"/>
              <w:right w:val="single" w:sz="5" w:space="0" w:color="000000"/>
            </w:tcBorders>
            <w:shd w:val="clear" w:color="auto" w:fill="auto"/>
            <w:tcMar>
              <w:top w:w="0" w:type="dxa"/>
              <w:left w:w="100" w:type="dxa"/>
              <w:bottom w:w="0" w:type="dxa"/>
              <w:right w:w="100" w:type="dxa"/>
            </w:tcMar>
          </w:tcPr>
          <w:p w14:paraId="0904300F"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Medie</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0B464CD"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2027</w:t>
            </w:r>
          </w:p>
        </w:tc>
        <w:tc>
          <w:tcPr>
            <w:tcW w:w="1419"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38BCC8A" w14:textId="77777777" w:rsidR="002508D3" w:rsidRDefault="002508D3" w:rsidP="002508D3">
            <w:pPr>
              <w:spacing w:after="0" w:line="240" w:lineRule="auto"/>
              <w:ind w:firstLine="51"/>
              <w:rPr>
                <w:rFonts w:eastAsia="Times New Roman" w:cs="Times New Roman"/>
                <w:sz w:val="20"/>
                <w:szCs w:val="20"/>
              </w:rPr>
            </w:pPr>
            <w:r>
              <w:rPr>
                <w:rFonts w:eastAsia="Times New Roman" w:cs="Times New Roman"/>
                <w:sz w:val="20"/>
                <w:szCs w:val="20"/>
              </w:rPr>
              <w:t>MCID (INCD-urile din subordine), Academia Română și ME (departamente de cercetare ale universităților)</w:t>
            </w:r>
          </w:p>
        </w:tc>
        <w:tc>
          <w:tcPr>
            <w:tcW w:w="1702"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5328939"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Planul Național de Cercetare Dezvoltare și Inovare 2022-2027 (PNCDI IV), PNRR și Horizon Europe.</w:t>
            </w:r>
          </w:p>
        </w:tc>
      </w:tr>
      <w:tr w:rsidR="002508D3" w14:paraId="48C4FADF" w14:textId="77777777" w:rsidTr="00473248">
        <w:trPr>
          <w:trHeight w:val="411"/>
        </w:trPr>
        <w:tc>
          <w:tcPr>
            <w:tcW w:w="2164" w:type="dxa"/>
            <w:vMerge/>
            <w:tcBorders>
              <w:top w:val="nil"/>
              <w:left w:val="single" w:sz="5" w:space="0" w:color="000000"/>
              <w:bottom w:val="single" w:sz="5" w:space="0" w:color="000000"/>
              <w:right w:val="single" w:sz="4" w:space="0" w:color="auto"/>
            </w:tcBorders>
            <w:shd w:val="clear" w:color="auto" w:fill="auto"/>
            <w:tcMar>
              <w:top w:w="100" w:type="dxa"/>
              <w:left w:w="100" w:type="dxa"/>
              <w:bottom w:w="100" w:type="dxa"/>
              <w:right w:w="100" w:type="dxa"/>
            </w:tcMar>
          </w:tcPr>
          <w:p w14:paraId="7AF4B198" w14:textId="77777777" w:rsidR="002508D3" w:rsidRDefault="002508D3" w:rsidP="002508D3">
            <w:pPr>
              <w:widowControl w:val="0"/>
              <w:pBdr>
                <w:top w:val="nil"/>
                <w:left w:val="nil"/>
                <w:bottom w:val="nil"/>
                <w:right w:val="nil"/>
                <w:between w:val="nil"/>
              </w:pBdr>
              <w:spacing w:after="0"/>
              <w:ind w:firstLine="0"/>
              <w:rPr>
                <w:rFonts w:eastAsia="Times New Roman" w:cs="Times New Roman"/>
                <w:sz w:val="20"/>
                <w:szCs w:val="20"/>
              </w:rPr>
            </w:pPr>
          </w:p>
        </w:tc>
        <w:tc>
          <w:tcPr>
            <w:tcW w:w="1845" w:type="dxa"/>
            <w:vMerge/>
            <w:tcBorders>
              <w:top w:val="single" w:sz="4" w:space="0" w:color="auto"/>
              <w:left w:val="single" w:sz="4" w:space="0" w:color="auto"/>
              <w:right w:val="single" w:sz="4" w:space="0" w:color="auto"/>
            </w:tcBorders>
          </w:tcPr>
          <w:p w14:paraId="184E0D3B" w14:textId="77777777" w:rsidR="002508D3" w:rsidRDefault="002508D3" w:rsidP="002508D3">
            <w:pPr>
              <w:spacing w:after="0" w:line="240" w:lineRule="auto"/>
              <w:ind w:firstLine="0"/>
              <w:rPr>
                <w:rFonts w:eastAsia="Times New Roman" w:cs="Times New Roman"/>
                <w:sz w:val="20"/>
                <w:szCs w:val="20"/>
              </w:rPr>
            </w:pPr>
          </w:p>
        </w:tc>
        <w:tc>
          <w:tcPr>
            <w:tcW w:w="4254" w:type="dxa"/>
            <w:tcBorders>
              <w:top w:val="single" w:sz="4" w:space="0" w:color="auto"/>
              <w:left w:val="single" w:sz="4" w:space="0" w:color="auto"/>
              <w:bottom w:val="single" w:sz="5" w:space="0" w:color="000000"/>
              <w:right w:val="single" w:sz="4" w:space="0" w:color="000000"/>
            </w:tcBorders>
            <w:shd w:val="clear" w:color="auto" w:fill="auto"/>
            <w:tcMar>
              <w:top w:w="0" w:type="dxa"/>
              <w:left w:w="100" w:type="dxa"/>
              <w:bottom w:w="0" w:type="dxa"/>
              <w:right w:w="100" w:type="dxa"/>
            </w:tcMar>
          </w:tcPr>
          <w:p w14:paraId="055E5166"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4.3.2 Realizarea unui Registru al poluanților emergenți</w:t>
            </w:r>
          </w:p>
        </w:tc>
        <w:tc>
          <w:tcPr>
            <w:tcW w:w="1277" w:type="dxa"/>
            <w:tcBorders>
              <w:top w:val="nil"/>
              <w:left w:val="single" w:sz="4" w:space="0" w:color="000000"/>
              <w:bottom w:val="single" w:sz="5" w:space="0" w:color="000000"/>
              <w:right w:val="single" w:sz="5" w:space="0" w:color="000000"/>
            </w:tcBorders>
            <w:shd w:val="clear" w:color="auto" w:fill="auto"/>
            <w:tcMar>
              <w:top w:w="0" w:type="dxa"/>
              <w:left w:w="100" w:type="dxa"/>
              <w:bottom w:w="0" w:type="dxa"/>
              <w:right w:w="100" w:type="dxa"/>
            </w:tcMar>
          </w:tcPr>
          <w:p w14:paraId="0E657C0B"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Medie</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6545822" w14:textId="77777777" w:rsidR="002508D3" w:rsidRPr="00473248" w:rsidRDefault="002508D3" w:rsidP="002508D3">
            <w:pPr>
              <w:spacing w:after="0" w:line="240" w:lineRule="auto"/>
              <w:ind w:firstLine="0"/>
              <w:rPr>
                <w:rFonts w:eastAsia="Times New Roman" w:cs="Times New Roman"/>
                <w:sz w:val="20"/>
                <w:szCs w:val="20"/>
              </w:rPr>
            </w:pPr>
            <w:r w:rsidRPr="00473248">
              <w:rPr>
                <w:rFonts w:eastAsia="Times New Roman" w:cs="Times New Roman"/>
                <w:sz w:val="20"/>
                <w:szCs w:val="20"/>
              </w:rPr>
              <w:t>2027</w:t>
            </w:r>
          </w:p>
        </w:tc>
        <w:tc>
          <w:tcPr>
            <w:tcW w:w="1419"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CC5FBA6" w14:textId="77777777" w:rsidR="002508D3" w:rsidRDefault="002508D3" w:rsidP="002508D3">
            <w:pPr>
              <w:spacing w:after="0" w:line="240" w:lineRule="auto"/>
              <w:ind w:firstLine="51"/>
              <w:rPr>
                <w:rFonts w:eastAsia="Times New Roman" w:cs="Times New Roman"/>
                <w:sz w:val="20"/>
                <w:szCs w:val="20"/>
              </w:rPr>
            </w:pPr>
            <w:r>
              <w:rPr>
                <w:rFonts w:eastAsia="Times New Roman" w:cs="Times New Roman"/>
                <w:sz w:val="20"/>
                <w:szCs w:val="20"/>
              </w:rPr>
              <w:t>MMAP</w:t>
            </w:r>
          </w:p>
        </w:tc>
        <w:tc>
          <w:tcPr>
            <w:tcW w:w="1702"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253ED57"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fonduri proprii MMAP, PNCDI IV</w:t>
            </w:r>
          </w:p>
        </w:tc>
      </w:tr>
      <w:tr w:rsidR="002508D3" w14:paraId="023C2F28" w14:textId="77777777" w:rsidTr="002508D3">
        <w:trPr>
          <w:trHeight w:val="795"/>
        </w:trPr>
        <w:tc>
          <w:tcPr>
            <w:tcW w:w="2164" w:type="dxa"/>
            <w:vMerge/>
            <w:tcBorders>
              <w:top w:val="nil"/>
              <w:left w:val="single" w:sz="5" w:space="0" w:color="000000"/>
              <w:bottom w:val="single" w:sz="5" w:space="0" w:color="000000"/>
              <w:right w:val="single" w:sz="4" w:space="0" w:color="auto"/>
            </w:tcBorders>
            <w:shd w:val="clear" w:color="auto" w:fill="auto"/>
            <w:tcMar>
              <w:top w:w="100" w:type="dxa"/>
              <w:left w:w="100" w:type="dxa"/>
              <w:bottom w:w="100" w:type="dxa"/>
              <w:right w:w="100" w:type="dxa"/>
            </w:tcMar>
          </w:tcPr>
          <w:p w14:paraId="47D915CD" w14:textId="77777777" w:rsidR="002508D3" w:rsidRDefault="002508D3" w:rsidP="002508D3">
            <w:pPr>
              <w:widowControl w:val="0"/>
              <w:pBdr>
                <w:top w:val="nil"/>
                <w:left w:val="nil"/>
                <w:bottom w:val="nil"/>
                <w:right w:val="nil"/>
                <w:between w:val="nil"/>
              </w:pBdr>
              <w:spacing w:after="0"/>
              <w:ind w:firstLine="0"/>
              <w:rPr>
                <w:rFonts w:eastAsia="Times New Roman" w:cs="Times New Roman"/>
                <w:sz w:val="20"/>
                <w:szCs w:val="20"/>
              </w:rPr>
            </w:pPr>
          </w:p>
        </w:tc>
        <w:tc>
          <w:tcPr>
            <w:tcW w:w="1845" w:type="dxa"/>
            <w:vMerge/>
            <w:tcBorders>
              <w:left w:val="single" w:sz="4" w:space="0" w:color="auto"/>
              <w:right w:val="single" w:sz="4" w:space="0" w:color="auto"/>
            </w:tcBorders>
          </w:tcPr>
          <w:p w14:paraId="6E263CAD" w14:textId="77777777" w:rsidR="002508D3" w:rsidRDefault="002508D3" w:rsidP="002508D3">
            <w:pPr>
              <w:spacing w:after="0" w:line="240" w:lineRule="auto"/>
              <w:ind w:firstLine="0"/>
              <w:rPr>
                <w:rFonts w:eastAsia="Times New Roman" w:cs="Times New Roman"/>
                <w:sz w:val="20"/>
                <w:szCs w:val="20"/>
              </w:rPr>
            </w:pPr>
          </w:p>
        </w:tc>
        <w:tc>
          <w:tcPr>
            <w:tcW w:w="4254" w:type="dxa"/>
            <w:tcBorders>
              <w:top w:val="nil"/>
              <w:left w:val="single" w:sz="4" w:space="0" w:color="auto"/>
              <w:bottom w:val="single" w:sz="5" w:space="0" w:color="000000"/>
              <w:right w:val="single" w:sz="4" w:space="0" w:color="000000"/>
            </w:tcBorders>
            <w:shd w:val="clear" w:color="auto" w:fill="auto"/>
            <w:tcMar>
              <w:top w:w="0" w:type="dxa"/>
              <w:left w:w="100" w:type="dxa"/>
              <w:bottom w:w="0" w:type="dxa"/>
              <w:right w:w="100" w:type="dxa"/>
            </w:tcMar>
          </w:tcPr>
          <w:p w14:paraId="4BF2A591"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4.3.3 Dezvoltarea și testarea infrastructurii de monitorizare a poluanților emergenți în mediul acvatic</w:t>
            </w:r>
          </w:p>
        </w:tc>
        <w:tc>
          <w:tcPr>
            <w:tcW w:w="1277" w:type="dxa"/>
            <w:tcBorders>
              <w:top w:val="nil"/>
              <w:left w:val="single" w:sz="4" w:space="0" w:color="000000"/>
              <w:bottom w:val="single" w:sz="5" w:space="0" w:color="000000"/>
              <w:right w:val="single" w:sz="5" w:space="0" w:color="000000"/>
            </w:tcBorders>
            <w:shd w:val="clear" w:color="auto" w:fill="auto"/>
            <w:tcMar>
              <w:top w:w="0" w:type="dxa"/>
              <w:left w:w="100" w:type="dxa"/>
              <w:bottom w:w="0" w:type="dxa"/>
              <w:right w:w="100" w:type="dxa"/>
            </w:tcMar>
          </w:tcPr>
          <w:p w14:paraId="36C69B18"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Medie</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C38C560" w14:textId="77777777" w:rsidR="002508D3" w:rsidRPr="00473248" w:rsidRDefault="002508D3" w:rsidP="002508D3">
            <w:pPr>
              <w:spacing w:after="0" w:line="240" w:lineRule="auto"/>
              <w:ind w:firstLine="0"/>
              <w:rPr>
                <w:rFonts w:eastAsia="Times New Roman" w:cs="Times New Roman"/>
                <w:sz w:val="20"/>
                <w:szCs w:val="20"/>
              </w:rPr>
            </w:pPr>
            <w:r w:rsidRPr="00473248">
              <w:rPr>
                <w:rFonts w:eastAsia="Times New Roman" w:cs="Times New Roman"/>
                <w:sz w:val="20"/>
                <w:szCs w:val="20"/>
              </w:rPr>
              <w:t>2030</w:t>
            </w:r>
          </w:p>
        </w:tc>
        <w:tc>
          <w:tcPr>
            <w:tcW w:w="1419"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8F8F607" w14:textId="77777777" w:rsidR="002508D3" w:rsidRDefault="002508D3" w:rsidP="002508D3">
            <w:pPr>
              <w:spacing w:after="0" w:line="240" w:lineRule="auto"/>
              <w:ind w:firstLine="51"/>
              <w:rPr>
                <w:rFonts w:eastAsia="Times New Roman" w:cs="Times New Roman"/>
                <w:sz w:val="20"/>
                <w:szCs w:val="20"/>
              </w:rPr>
            </w:pPr>
            <w:r>
              <w:rPr>
                <w:rFonts w:eastAsia="Times New Roman" w:cs="Times New Roman"/>
                <w:sz w:val="20"/>
                <w:szCs w:val="20"/>
              </w:rPr>
              <w:t>MCID (INCD-urile din subordine), Academia Română și ME (departamente de cercetare ale universităților)</w:t>
            </w:r>
          </w:p>
        </w:tc>
        <w:tc>
          <w:tcPr>
            <w:tcW w:w="1702"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20331A6" w14:textId="77777777" w:rsidR="002508D3" w:rsidRDefault="002508D3" w:rsidP="002508D3">
            <w:pPr>
              <w:spacing w:after="0" w:line="240" w:lineRule="auto"/>
              <w:ind w:firstLine="0"/>
              <w:rPr>
                <w:rFonts w:eastAsia="Times New Roman" w:cs="Times New Roman"/>
                <w:sz w:val="20"/>
                <w:szCs w:val="20"/>
              </w:rPr>
            </w:pPr>
          </w:p>
          <w:p w14:paraId="7F94959A"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Planul Național de Cercetare Dezvoltare și Inovare 2022-2027 (PNCDI IV), PNRR și Horizon Europe.</w:t>
            </w:r>
          </w:p>
        </w:tc>
      </w:tr>
      <w:tr w:rsidR="002508D3" w14:paraId="1DC4476B" w14:textId="77777777" w:rsidTr="00473248">
        <w:trPr>
          <w:trHeight w:val="1257"/>
        </w:trPr>
        <w:tc>
          <w:tcPr>
            <w:tcW w:w="2164" w:type="dxa"/>
            <w:vMerge/>
            <w:tcBorders>
              <w:top w:val="nil"/>
              <w:left w:val="single" w:sz="5" w:space="0" w:color="000000"/>
              <w:bottom w:val="single" w:sz="4" w:space="0" w:color="auto"/>
              <w:right w:val="single" w:sz="4" w:space="0" w:color="auto"/>
            </w:tcBorders>
            <w:shd w:val="clear" w:color="auto" w:fill="auto"/>
            <w:tcMar>
              <w:top w:w="100" w:type="dxa"/>
              <w:left w:w="100" w:type="dxa"/>
              <w:bottom w:w="100" w:type="dxa"/>
              <w:right w:w="100" w:type="dxa"/>
            </w:tcMar>
          </w:tcPr>
          <w:p w14:paraId="59E9CEE5" w14:textId="77777777" w:rsidR="002508D3" w:rsidRDefault="002508D3" w:rsidP="002508D3">
            <w:pPr>
              <w:widowControl w:val="0"/>
              <w:pBdr>
                <w:top w:val="nil"/>
                <w:left w:val="nil"/>
                <w:bottom w:val="nil"/>
                <w:right w:val="nil"/>
                <w:between w:val="nil"/>
              </w:pBdr>
              <w:spacing w:after="0"/>
              <w:ind w:firstLine="0"/>
              <w:rPr>
                <w:rFonts w:eastAsia="Times New Roman" w:cs="Times New Roman"/>
                <w:sz w:val="20"/>
                <w:szCs w:val="20"/>
              </w:rPr>
            </w:pPr>
          </w:p>
        </w:tc>
        <w:tc>
          <w:tcPr>
            <w:tcW w:w="1845" w:type="dxa"/>
            <w:vMerge/>
            <w:tcBorders>
              <w:left w:val="single" w:sz="4" w:space="0" w:color="auto"/>
              <w:bottom w:val="single" w:sz="4" w:space="0" w:color="auto"/>
              <w:right w:val="single" w:sz="4" w:space="0" w:color="auto"/>
            </w:tcBorders>
          </w:tcPr>
          <w:p w14:paraId="79B31E54" w14:textId="77777777" w:rsidR="002508D3" w:rsidRDefault="002508D3" w:rsidP="002508D3">
            <w:pPr>
              <w:spacing w:after="0" w:line="240" w:lineRule="auto"/>
              <w:ind w:firstLine="0"/>
              <w:rPr>
                <w:rFonts w:eastAsia="Times New Roman" w:cs="Times New Roman"/>
                <w:sz w:val="20"/>
                <w:szCs w:val="20"/>
              </w:rPr>
            </w:pPr>
          </w:p>
        </w:tc>
        <w:tc>
          <w:tcPr>
            <w:tcW w:w="4254" w:type="dxa"/>
            <w:tcBorders>
              <w:top w:val="nil"/>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679F6603"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4.3.4 Dezvoltarea programelor de monitorizare a contaminanților emergenți în mediul acvatic.</w:t>
            </w:r>
          </w:p>
        </w:tc>
        <w:tc>
          <w:tcPr>
            <w:tcW w:w="1277" w:type="dxa"/>
            <w:tcBorders>
              <w:top w:val="nil"/>
              <w:left w:val="single" w:sz="4" w:space="0" w:color="000000"/>
              <w:bottom w:val="single" w:sz="4" w:space="0" w:color="auto"/>
              <w:right w:val="single" w:sz="5" w:space="0" w:color="000000"/>
            </w:tcBorders>
            <w:shd w:val="clear" w:color="auto" w:fill="auto"/>
            <w:tcMar>
              <w:top w:w="0" w:type="dxa"/>
              <w:left w:w="100" w:type="dxa"/>
              <w:bottom w:w="0" w:type="dxa"/>
              <w:right w:w="100" w:type="dxa"/>
            </w:tcMar>
          </w:tcPr>
          <w:p w14:paraId="691977B3"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Medie</w:t>
            </w:r>
          </w:p>
        </w:tc>
        <w:tc>
          <w:tcPr>
            <w:tcW w:w="1418"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1111FC7A" w14:textId="77777777" w:rsidR="002508D3" w:rsidRPr="00473248" w:rsidRDefault="002508D3" w:rsidP="002508D3">
            <w:pPr>
              <w:spacing w:after="0" w:line="240" w:lineRule="auto"/>
              <w:ind w:firstLine="0"/>
              <w:rPr>
                <w:rFonts w:eastAsia="Times New Roman" w:cs="Times New Roman"/>
                <w:sz w:val="20"/>
                <w:szCs w:val="20"/>
              </w:rPr>
            </w:pPr>
            <w:r w:rsidRPr="00473248">
              <w:rPr>
                <w:rFonts w:eastAsia="Times New Roman" w:cs="Times New Roman"/>
                <w:sz w:val="20"/>
                <w:szCs w:val="20"/>
              </w:rPr>
              <w:t>2030</w:t>
            </w:r>
          </w:p>
        </w:tc>
        <w:tc>
          <w:tcPr>
            <w:tcW w:w="1419"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7A0F7DC1" w14:textId="77777777" w:rsidR="002508D3" w:rsidRDefault="002508D3" w:rsidP="002508D3">
            <w:pPr>
              <w:spacing w:after="0" w:line="240" w:lineRule="auto"/>
              <w:ind w:firstLine="51"/>
              <w:rPr>
                <w:rFonts w:eastAsia="Times New Roman" w:cs="Times New Roman"/>
                <w:sz w:val="20"/>
                <w:szCs w:val="20"/>
              </w:rPr>
            </w:pPr>
            <w:r>
              <w:rPr>
                <w:rFonts w:eastAsia="Times New Roman" w:cs="Times New Roman"/>
                <w:sz w:val="20"/>
                <w:szCs w:val="20"/>
              </w:rPr>
              <w:t>MMAP, MCID (INCD-urile din subordine), Academia Română și ME (departamente de cercetare ale universităților)</w:t>
            </w:r>
          </w:p>
        </w:tc>
        <w:tc>
          <w:tcPr>
            <w:tcW w:w="1702"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3F58401C" w14:textId="77777777" w:rsidR="002508D3" w:rsidRDefault="002508D3" w:rsidP="002508D3">
            <w:pPr>
              <w:spacing w:after="0" w:line="240" w:lineRule="auto"/>
              <w:ind w:firstLine="0"/>
              <w:rPr>
                <w:rFonts w:eastAsia="Times New Roman" w:cs="Times New Roman"/>
                <w:sz w:val="20"/>
                <w:szCs w:val="20"/>
              </w:rPr>
            </w:pPr>
          </w:p>
          <w:p w14:paraId="37A05AB3"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Planul Național de Cercetare Dezvoltare și Inovare 2022-2027 (PNCDI IV), PNRR și Horizon Europe.</w:t>
            </w:r>
          </w:p>
        </w:tc>
      </w:tr>
      <w:tr w:rsidR="002508D3" w14:paraId="2260F0BC" w14:textId="77777777" w:rsidTr="002508D3">
        <w:trPr>
          <w:trHeight w:val="680"/>
        </w:trPr>
        <w:tc>
          <w:tcPr>
            <w:tcW w:w="2164" w:type="dxa"/>
            <w:vMerge w:val="restart"/>
            <w:tcBorders>
              <w:top w:val="single" w:sz="4" w:space="0" w:color="auto"/>
              <w:left w:val="single" w:sz="6" w:space="0" w:color="000000"/>
              <w:bottom w:val="single" w:sz="4" w:space="0" w:color="auto"/>
              <w:right w:val="single" w:sz="4" w:space="0" w:color="auto"/>
            </w:tcBorders>
            <w:shd w:val="clear" w:color="auto" w:fill="auto"/>
            <w:tcMar>
              <w:top w:w="100" w:type="dxa"/>
              <w:left w:w="100" w:type="dxa"/>
              <w:bottom w:w="100" w:type="dxa"/>
              <w:right w:w="100" w:type="dxa"/>
            </w:tcMar>
          </w:tcPr>
          <w:p w14:paraId="5FEAC010" w14:textId="77777777" w:rsidR="002508D3" w:rsidRDefault="002508D3" w:rsidP="002508D3">
            <w:pPr>
              <w:spacing w:after="0" w:line="240" w:lineRule="auto"/>
              <w:ind w:firstLine="0"/>
              <w:rPr>
                <w:rFonts w:eastAsia="Times New Roman" w:cs="Times New Roman"/>
                <w:color w:val="000000"/>
                <w:sz w:val="20"/>
                <w:szCs w:val="20"/>
              </w:rPr>
            </w:pPr>
          </w:p>
          <w:p w14:paraId="4BD710BC" w14:textId="77777777" w:rsidR="002508D3" w:rsidRDefault="002508D3" w:rsidP="002508D3">
            <w:pPr>
              <w:spacing w:after="0" w:line="240" w:lineRule="auto"/>
              <w:ind w:firstLine="0"/>
              <w:rPr>
                <w:rFonts w:eastAsia="Times New Roman" w:cs="Times New Roman"/>
                <w:color w:val="000000"/>
                <w:sz w:val="20"/>
                <w:szCs w:val="20"/>
              </w:rPr>
            </w:pPr>
          </w:p>
          <w:p w14:paraId="14A9DDDB" w14:textId="4834DECD"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lastRenderedPageBreak/>
              <w:t>M4.</w:t>
            </w:r>
            <w:r w:rsidR="00D96C25">
              <w:rPr>
                <w:rFonts w:eastAsia="Times New Roman" w:cs="Times New Roman"/>
                <w:color w:val="000000"/>
                <w:sz w:val="20"/>
                <w:szCs w:val="20"/>
              </w:rPr>
              <w:t>4</w:t>
            </w:r>
            <w:r>
              <w:rPr>
                <w:rFonts w:eastAsia="Times New Roman" w:cs="Times New Roman"/>
                <w:color w:val="000000"/>
                <w:sz w:val="20"/>
                <w:szCs w:val="20"/>
              </w:rPr>
              <w:t xml:space="preserve"> Inițierea și implementarea de programe pentru îmbunătățirea infrastructurii de gestionare a deșeurilor</w:t>
            </w:r>
          </w:p>
        </w:tc>
        <w:tc>
          <w:tcPr>
            <w:tcW w:w="1845" w:type="dxa"/>
            <w:vMerge w:val="restart"/>
            <w:tcBorders>
              <w:top w:val="single" w:sz="4" w:space="0" w:color="auto"/>
              <w:left w:val="single" w:sz="4" w:space="0" w:color="auto"/>
              <w:bottom w:val="single" w:sz="4" w:space="0" w:color="auto"/>
              <w:right w:val="single" w:sz="4" w:space="0" w:color="auto"/>
            </w:tcBorders>
          </w:tcPr>
          <w:p w14:paraId="53B0E111" w14:textId="77777777" w:rsidR="002508D3" w:rsidRPr="007663A0" w:rsidRDefault="002508D3" w:rsidP="002508D3">
            <w:pPr>
              <w:spacing w:line="240" w:lineRule="auto"/>
              <w:ind w:firstLine="0"/>
              <w:rPr>
                <w:rFonts w:eastAsia="Times New Roman" w:cs="Times New Roman"/>
                <w:color w:val="000000"/>
                <w:sz w:val="20"/>
                <w:szCs w:val="20"/>
              </w:rPr>
            </w:pPr>
            <w:r w:rsidRPr="007663A0">
              <w:rPr>
                <w:rFonts w:eastAsia="Times New Roman" w:cs="Times New Roman"/>
                <w:color w:val="000000"/>
                <w:sz w:val="20"/>
                <w:szCs w:val="20"/>
              </w:rPr>
              <w:lastRenderedPageBreak/>
              <w:t xml:space="preserve">Os2.b Gestionarea, revitalizare și reabilitarea zonelor </w:t>
            </w:r>
            <w:r w:rsidRPr="007663A0">
              <w:rPr>
                <w:rFonts w:eastAsia="Times New Roman" w:cs="Times New Roman"/>
                <w:color w:val="000000"/>
                <w:sz w:val="20"/>
                <w:szCs w:val="20"/>
              </w:rPr>
              <w:lastRenderedPageBreak/>
              <w:t>urbane şi rurale poluate;</w:t>
            </w:r>
          </w:p>
          <w:p w14:paraId="43B72018" w14:textId="77777777" w:rsidR="002508D3" w:rsidRPr="007663A0" w:rsidRDefault="002508D3" w:rsidP="002508D3">
            <w:pPr>
              <w:spacing w:line="240" w:lineRule="auto"/>
              <w:ind w:firstLine="0"/>
              <w:rPr>
                <w:rFonts w:eastAsia="Times New Roman" w:cs="Times New Roman"/>
                <w:color w:val="000000"/>
                <w:sz w:val="20"/>
                <w:szCs w:val="20"/>
              </w:rPr>
            </w:pPr>
            <w:r w:rsidRPr="007663A0">
              <w:rPr>
                <w:rFonts w:eastAsia="Times New Roman" w:cs="Times New Roman"/>
                <w:color w:val="000000"/>
                <w:sz w:val="20"/>
                <w:szCs w:val="20"/>
              </w:rPr>
              <w:t xml:space="preserve"> Os2.a Atingerea stării ecologice bune a ecosistemelor;</w:t>
            </w:r>
          </w:p>
          <w:p w14:paraId="6357072B" w14:textId="77777777" w:rsidR="002508D3" w:rsidRDefault="002508D3" w:rsidP="002508D3">
            <w:pPr>
              <w:spacing w:line="240" w:lineRule="auto"/>
              <w:ind w:firstLine="0"/>
              <w:rPr>
                <w:rFonts w:eastAsia="Times New Roman" w:cs="Times New Roman"/>
                <w:color w:val="000000"/>
                <w:sz w:val="20"/>
                <w:szCs w:val="20"/>
              </w:rPr>
            </w:pPr>
            <w:r w:rsidRPr="007663A0">
              <w:rPr>
                <w:rFonts w:eastAsia="Times New Roman" w:cs="Times New Roman"/>
                <w:color w:val="000000"/>
                <w:sz w:val="20"/>
                <w:szCs w:val="20"/>
              </w:rPr>
              <w:t>Os1.a Protejarea eficientă a valorilor naturale, peisagistice și culturale.</w:t>
            </w:r>
          </w:p>
        </w:tc>
        <w:tc>
          <w:tcPr>
            <w:tcW w:w="4254" w:type="dxa"/>
            <w:tcBorders>
              <w:top w:val="single" w:sz="4" w:space="0" w:color="auto"/>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1CBADD48" w14:textId="4EC2052E"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lastRenderedPageBreak/>
              <w:t>A 4.</w:t>
            </w:r>
            <w:r w:rsidR="00056FC5">
              <w:rPr>
                <w:rFonts w:eastAsia="Times New Roman" w:cs="Times New Roman"/>
                <w:color w:val="000000"/>
                <w:sz w:val="20"/>
                <w:szCs w:val="20"/>
              </w:rPr>
              <w:t>4</w:t>
            </w:r>
            <w:r>
              <w:rPr>
                <w:rFonts w:eastAsia="Times New Roman" w:cs="Times New Roman"/>
                <w:color w:val="000000"/>
                <w:sz w:val="20"/>
                <w:szCs w:val="20"/>
              </w:rPr>
              <w:t>.1 Realizarea programelor pentru creștere a gradului de colectare a deșeurilor în partea nordică a zonei costiere</w:t>
            </w:r>
          </w:p>
        </w:tc>
        <w:tc>
          <w:tcPr>
            <w:tcW w:w="1277" w:type="dxa"/>
            <w:tcBorders>
              <w:top w:val="single" w:sz="4" w:space="0" w:color="000000"/>
              <w:left w:val="single" w:sz="4" w:space="0" w:color="000000"/>
              <w:bottom w:val="single" w:sz="4" w:space="0" w:color="auto"/>
              <w:right w:val="single" w:sz="5" w:space="0" w:color="000000"/>
            </w:tcBorders>
            <w:shd w:val="clear" w:color="auto" w:fill="auto"/>
            <w:tcMar>
              <w:top w:w="0" w:type="dxa"/>
              <w:left w:w="100" w:type="dxa"/>
              <w:bottom w:w="0" w:type="dxa"/>
              <w:right w:w="100" w:type="dxa"/>
            </w:tcMar>
          </w:tcPr>
          <w:p w14:paraId="47C7D2C5"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Ridicată</w:t>
            </w:r>
          </w:p>
        </w:tc>
        <w:tc>
          <w:tcPr>
            <w:tcW w:w="1418" w:type="dxa"/>
            <w:tcBorders>
              <w:top w:val="single" w:sz="4" w:space="0" w:color="000000"/>
              <w:left w:val="nil"/>
              <w:bottom w:val="single" w:sz="4" w:space="0" w:color="auto"/>
              <w:right w:val="single" w:sz="6" w:space="0" w:color="000000"/>
            </w:tcBorders>
            <w:shd w:val="clear" w:color="auto" w:fill="auto"/>
            <w:tcMar>
              <w:top w:w="0" w:type="dxa"/>
              <w:left w:w="100" w:type="dxa"/>
              <w:bottom w:w="0" w:type="dxa"/>
              <w:right w:w="100" w:type="dxa"/>
            </w:tcMar>
          </w:tcPr>
          <w:p w14:paraId="57EDB192" w14:textId="77777777" w:rsidR="002508D3" w:rsidRPr="00473248" w:rsidRDefault="002508D3" w:rsidP="002508D3">
            <w:pPr>
              <w:spacing w:after="0" w:line="240" w:lineRule="auto"/>
              <w:ind w:firstLine="0"/>
              <w:rPr>
                <w:rFonts w:eastAsia="Times New Roman" w:cs="Times New Roman"/>
                <w:sz w:val="20"/>
                <w:szCs w:val="20"/>
              </w:rPr>
            </w:pPr>
            <w:r w:rsidRPr="00473248">
              <w:rPr>
                <w:rFonts w:eastAsia="Times New Roman" w:cs="Times New Roman"/>
                <w:color w:val="000000"/>
                <w:sz w:val="20"/>
                <w:szCs w:val="20"/>
              </w:rPr>
              <w:t>2030</w:t>
            </w:r>
          </w:p>
        </w:tc>
        <w:tc>
          <w:tcPr>
            <w:tcW w:w="1419" w:type="dxa"/>
            <w:tcBorders>
              <w:top w:val="single" w:sz="4" w:space="0" w:color="000000"/>
              <w:left w:val="single" w:sz="6" w:space="0" w:color="000000"/>
              <w:bottom w:val="single" w:sz="4" w:space="0" w:color="auto"/>
              <w:right w:val="single" w:sz="6" w:space="0" w:color="000000"/>
            </w:tcBorders>
            <w:shd w:val="clear" w:color="auto" w:fill="auto"/>
            <w:tcMar>
              <w:top w:w="0" w:type="dxa"/>
              <w:left w:w="100" w:type="dxa"/>
              <w:bottom w:w="0" w:type="dxa"/>
              <w:right w:w="100" w:type="dxa"/>
            </w:tcMar>
          </w:tcPr>
          <w:p w14:paraId="54C21E5B" w14:textId="77777777" w:rsidR="002508D3" w:rsidRDefault="002508D3" w:rsidP="002508D3">
            <w:pPr>
              <w:spacing w:after="0" w:line="240" w:lineRule="auto"/>
              <w:ind w:firstLine="51"/>
              <w:rPr>
                <w:rFonts w:eastAsia="Times New Roman" w:cs="Times New Roman"/>
                <w:sz w:val="20"/>
                <w:szCs w:val="20"/>
              </w:rPr>
            </w:pPr>
            <w:r>
              <w:rPr>
                <w:rFonts w:eastAsia="Times New Roman" w:cs="Times New Roman"/>
                <w:color w:val="000000"/>
                <w:sz w:val="20"/>
                <w:szCs w:val="20"/>
              </w:rPr>
              <w:t>MMAP, autorități locale</w:t>
            </w:r>
          </w:p>
        </w:tc>
        <w:tc>
          <w:tcPr>
            <w:tcW w:w="1702" w:type="dxa"/>
            <w:vMerge w:val="restart"/>
            <w:tcBorders>
              <w:top w:val="single" w:sz="4" w:space="0" w:color="000000"/>
              <w:left w:val="single" w:sz="6" w:space="0" w:color="000000"/>
              <w:bottom w:val="single" w:sz="4" w:space="0" w:color="auto"/>
              <w:right w:val="single" w:sz="6" w:space="0" w:color="000000"/>
            </w:tcBorders>
            <w:shd w:val="clear" w:color="auto" w:fill="auto"/>
            <w:tcMar>
              <w:top w:w="0" w:type="dxa"/>
              <w:left w:w="100" w:type="dxa"/>
              <w:bottom w:w="0" w:type="dxa"/>
              <w:right w:w="100" w:type="dxa"/>
            </w:tcMar>
          </w:tcPr>
          <w:p w14:paraId="36136D9D"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 xml:space="preserve">PNRR, Programul de Dezvoltare Durabilă, bugetul </w:t>
            </w:r>
            <w:r>
              <w:rPr>
                <w:rFonts w:eastAsia="Times New Roman" w:cs="Times New Roman"/>
                <w:color w:val="000000"/>
                <w:sz w:val="20"/>
                <w:szCs w:val="20"/>
              </w:rPr>
              <w:lastRenderedPageBreak/>
              <w:t>propriu al MMAP și bugetele locale</w:t>
            </w:r>
          </w:p>
        </w:tc>
      </w:tr>
      <w:tr w:rsidR="002508D3" w14:paraId="0ADDA9F3" w14:textId="77777777" w:rsidTr="002508D3">
        <w:trPr>
          <w:trHeight w:val="1497"/>
        </w:trPr>
        <w:tc>
          <w:tcPr>
            <w:tcW w:w="2164" w:type="dxa"/>
            <w:vMerge/>
            <w:tcBorders>
              <w:top w:val="single" w:sz="4" w:space="0" w:color="auto"/>
              <w:left w:val="single" w:sz="5" w:space="0" w:color="000000"/>
              <w:right w:val="single" w:sz="4" w:space="0" w:color="auto"/>
            </w:tcBorders>
            <w:shd w:val="clear" w:color="auto" w:fill="auto"/>
            <w:tcMar>
              <w:top w:w="100" w:type="dxa"/>
              <w:left w:w="100" w:type="dxa"/>
              <w:bottom w:w="100" w:type="dxa"/>
              <w:right w:w="100" w:type="dxa"/>
            </w:tcMar>
          </w:tcPr>
          <w:p w14:paraId="7C0027D2" w14:textId="77777777" w:rsidR="002508D3" w:rsidRDefault="002508D3" w:rsidP="002508D3">
            <w:pPr>
              <w:widowControl w:val="0"/>
              <w:pBdr>
                <w:top w:val="nil"/>
                <w:left w:val="nil"/>
                <w:bottom w:val="nil"/>
                <w:right w:val="nil"/>
                <w:between w:val="nil"/>
              </w:pBdr>
              <w:spacing w:after="0"/>
              <w:ind w:firstLine="0"/>
              <w:rPr>
                <w:rFonts w:eastAsia="Times New Roman" w:cs="Times New Roman"/>
                <w:sz w:val="20"/>
                <w:szCs w:val="20"/>
              </w:rPr>
            </w:pPr>
          </w:p>
        </w:tc>
        <w:tc>
          <w:tcPr>
            <w:tcW w:w="1845" w:type="dxa"/>
            <w:vMerge/>
            <w:tcBorders>
              <w:top w:val="single" w:sz="4" w:space="0" w:color="auto"/>
              <w:left w:val="single" w:sz="4" w:space="0" w:color="auto"/>
              <w:right w:val="single" w:sz="4" w:space="0" w:color="auto"/>
            </w:tcBorders>
          </w:tcPr>
          <w:p w14:paraId="2D04A717" w14:textId="77777777" w:rsidR="002508D3" w:rsidRDefault="002508D3" w:rsidP="002508D3">
            <w:pPr>
              <w:ind w:firstLine="0"/>
              <w:rPr>
                <w:rFonts w:eastAsia="Times New Roman" w:cs="Times New Roman"/>
                <w:color w:val="000000"/>
                <w:sz w:val="20"/>
                <w:szCs w:val="20"/>
              </w:rPr>
            </w:pPr>
          </w:p>
        </w:tc>
        <w:tc>
          <w:tcPr>
            <w:tcW w:w="4254" w:type="dxa"/>
            <w:tcBorders>
              <w:top w:val="single" w:sz="4" w:space="0" w:color="auto"/>
              <w:left w:val="single" w:sz="4" w:space="0" w:color="auto"/>
              <w:bottom w:val="single" w:sz="5" w:space="0" w:color="000000"/>
              <w:right w:val="single" w:sz="4" w:space="0" w:color="000000"/>
            </w:tcBorders>
            <w:shd w:val="clear" w:color="auto" w:fill="auto"/>
            <w:tcMar>
              <w:top w:w="0" w:type="dxa"/>
              <w:left w:w="100" w:type="dxa"/>
              <w:bottom w:w="0" w:type="dxa"/>
              <w:right w:w="100" w:type="dxa"/>
            </w:tcMar>
          </w:tcPr>
          <w:p w14:paraId="268AE450" w14:textId="6CCA3675" w:rsidR="002508D3" w:rsidRDefault="002508D3" w:rsidP="002508D3">
            <w:pPr>
              <w:ind w:firstLine="0"/>
              <w:rPr>
                <w:rFonts w:eastAsia="Times New Roman" w:cs="Times New Roman"/>
                <w:sz w:val="20"/>
                <w:szCs w:val="20"/>
              </w:rPr>
            </w:pPr>
            <w:r>
              <w:rPr>
                <w:rFonts w:eastAsia="Times New Roman" w:cs="Times New Roman"/>
                <w:color w:val="000000"/>
                <w:sz w:val="20"/>
                <w:szCs w:val="20"/>
              </w:rPr>
              <w:t>A 4.</w:t>
            </w:r>
            <w:r w:rsidR="00056FC5">
              <w:rPr>
                <w:rFonts w:eastAsia="Times New Roman" w:cs="Times New Roman"/>
                <w:color w:val="000000"/>
                <w:sz w:val="20"/>
                <w:szCs w:val="20"/>
              </w:rPr>
              <w:t>4</w:t>
            </w:r>
            <w:r>
              <w:rPr>
                <w:rFonts w:eastAsia="Times New Roman" w:cs="Times New Roman"/>
                <w:color w:val="000000"/>
                <w:sz w:val="20"/>
                <w:szCs w:val="20"/>
              </w:rPr>
              <w:t>.2 Identificarea și aplicarea de soluții ecologice pentru reducerea cantității de deșeuri biodegradabile rezultate în mediul rural sau în zonele de case din mediul urban</w:t>
            </w:r>
          </w:p>
        </w:tc>
        <w:tc>
          <w:tcPr>
            <w:tcW w:w="1277" w:type="dxa"/>
            <w:tcBorders>
              <w:top w:val="single" w:sz="4" w:space="0" w:color="auto"/>
              <w:left w:val="single" w:sz="4" w:space="0" w:color="000000"/>
              <w:bottom w:val="single" w:sz="5" w:space="0" w:color="000000"/>
              <w:right w:val="single" w:sz="5" w:space="0" w:color="000000"/>
            </w:tcBorders>
            <w:shd w:val="clear" w:color="auto" w:fill="auto"/>
            <w:tcMar>
              <w:top w:w="0" w:type="dxa"/>
              <w:left w:w="100" w:type="dxa"/>
              <w:bottom w:w="0" w:type="dxa"/>
              <w:right w:w="100" w:type="dxa"/>
            </w:tcMar>
          </w:tcPr>
          <w:p w14:paraId="3965AB6D" w14:textId="77777777" w:rsidR="002508D3" w:rsidRDefault="002508D3" w:rsidP="002508D3">
            <w:pPr>
              <w:ind w:firstLine="0"/>
              <w:rPr>
                <w:rFonts w:eastAsia="Times New Roman" w:cs="Times New Roman"/>
              </w:rPr>
            </w:pPr>
            <w:r>
              <w:rPr>
                <w:rFonts w:eastAsia="Times New Roman" w:cs="Times New Roman"/>
                <w:color w:val="000000"/>
              </w:rPr>
              <w:t>Ridicată</w:t>
            </w:r>
          </w:p>
        </w:tc>
        <w:tc>
          <w:tcPr>
            <w:tcW w:w="1418" w:type="dxa"/>
            <w:tcBorders>
              <w:top w:val="single" w:sz="4" w:space="0" w:color="auto"/>
              <w:left w:val="nil"/>
              <w:bottom w:val="single" w:sz="5" w:space="0" w:color="000000"/>
              <w:right w:val="single" w:sz="6" w:space="0" w:color="000000"/>
            </w:tcBorders>
            <w:shd w:val="clear" w:color="auto" w:fill="auto"/>
            <w:tcMar>
              <w:top w:w="0" w:type="dxa"/>
              <w:left w:w="100" w:type="dxa"/>
              <w:bottom w:w="0" w:type="dxa"/>
              <w:right w:w="100" w:type="dxa"/>
            </w:tcMar>
          </w:tcPr>
          <w:p w14:paraId="0C6E50B0" w14:textId="77777777" w:rsidR="002508D3" w:rsidRPr="00473248" w:rsidRDefault="002508D3" w:rsidP="002508D3">
            <w:pPr>
              <w:ind w:firstLine="0"/>
              <w:rPr>
                <w:rFonts w:eastAsia="Times New Roman" w:cs="Times New Roman"/>
                <w:sz w:val="20"/>
                <w:szCs w:val="20"/>
              </w:rPr>
            </w:pPr>
            <w:r w:rsidRPr="00473248">
              <w:rPr>
                <w:rFonts w:eastAsia="Times New Roman" w:cs="Times New Roman"/>
                <w:color w:val="000000"/>
                <w:sz w:val="20"/>
                <w:szCs w:val="20"/>
              </w:rPr>
              <w:t>2030</w:t>
            </w:r>
          </w:p>
        </w:tc>
        <w:tc>
          <w:tcPr>
            <w:tcW w:w="1419" w:type="dxa"/>
            <w:tcBorders>
              <w:top w:val="single" w:sz="4" w:space="0" w:color="auto"/>
              <w:left w:val="single" w:sz="6" w:space="0" w:color="000000"/>
              <w:bottom w:val="single" w:sz="5" w:space="0" w:color="000000"/>
              <w:right w:val="single" w:sz="6" w:space="0" w:color="000000"/>
            </w:tcBorders>
            <w:shd w:val="clear" w:color="auto" w:fill="auto"/>
            <w:tcMar>
              <w:top w:w="0" w:type="dxa"/>
              <w:left w:w="100" w:type="dxa"/>
              <w:bottom w:w="0" w:type="dxa"/>
              <w:right w:w="100" w:type="dxa"/>
            </w:tcMar>
          </w:tcPr>
          <w:p w14:paraId="7F1A2C7A" w14:textId="77777777" w:rsidR="002508D3" w:rsidRDefault="002508D3" w:rsidP="002508D3">
            <w:pPr>
              <w:spacing w:after="0" w:line="257" w:lineRule="auto"/>
              <w:ind w:firstLine="51"/>
              <w:rPr>
                <w:rFonts w:eastAsia="Times New Roman" w:cs="Times New Roman"/>
                <w:sz w:val="20"/>
                <w:szCs w:val="20"/>
              </w:rPr>
            </w:pPr>
            <w:r>
              <w:rPr>
                <w:rFonts w:eastAsia="Times New Roman" w:cs="Times New Roman"/>
                <w:color w:val="000000"/>
                <w:sz w:val="20"/>
                <w:szCs w:val="20"/>
              </w:rPr>
              <w:t>MMAP, MCID (INCD-uri), ME (departamente cercetare din universități) </w:t>
            </w:r>
          </w:p>
        </w:tc>
        <w:tc>
          <w:tcPr>
            <w:tcW w:w="1702" w:type="dxa"/>
            <w:vMerge/>
            <w:tcBorders>
              <w:top w:val="single" w:sz="4" w:space="0" w:color="auto"/>
              <w:left w:val="single" w:sz="6" w:space="0" w:color="000000"/>
              <w:right w:val="single" w:sz="5" w:space="0" w:color="000000"/>
            </w:tcBorders>
            <w:shd w:val="clear" w:color="auto" w:fill="auto"/>
            <w:tcMar>
              <w:top w:w="0" w:type="dxa"/>
              <w:left w:w="100" w:type="dxa"/>
              <w:bottom w:w="0" w:type="dxa"/>
              <w:right w:w="100" w:type="dxa"/>
            </w:tcMar>
          </w:tcPr>
          <w:p w14:paraId="2A293B88" w14:textId="77777777" w:rsidR="002508D3" w:rsidRDefault="002508D3" w:rsidP="002508D3">
            <w:pPr>
              <w:widowControl w:val="0"/>
              <w:pBdr>
                <w:top w:val="nil"/>
                <w:left w:val="nil"/>
                <w:bottom w:val="nil"/>
                <w:right w:val="nil"/>
                <w:between w:val="nil"/>
              </w:pBdr>
              <w:spacing w:after="0"/>
              <w:ind w:firstLine="0"/>
              <w:rPr>
                <w:rFonts w:eastAsia="Times New Roman" w:cs="Times New Roman"/>
                <w:sz w:val="20"/>
                <w:szCs w:val="20"/>
              </w:rPr>
            </w:pPr>
          </w:p>
        </w:tc>
      </w:tr>
      <w:tr w:rsidR="002508D3" w14:paraId="02F1A9C4" w14:textId="77777777" w:rsidTr="002508D3">
        <w:trPr>
          <w:trHeight w:val="1046"/>
        </w:trPr>
        <w:tc>
          <w:tcPr>
            <w:tcW w:w="2164" w:type="dxa"/>
            <w:vMerge/>
            <w:tcBorders>
              <w:top w:val="nil"/>
              <w:left w:val="single" w:sz="5" w:space="0" w:color="000000"/>
              <w:bottom w:val="single" w:sz="4" w:space="0" w:color="auto"/>
              <w:right w:val="single" w:sz="4" w:space="0" w:color="auto"/>
            </w:tcBorders>
            <w:shd w:val="clear" w:color="auto" w:fill="auto"/>
            <w:tcMar>
              <w:top w:w="100" w:type="dxa"/>
              <w:left w:w="100" w:type="dxa"/>
              <w:bottom w:w="100" w:type="dxa"/>
              <w:right w:w="100" w:type="dxa"/>
            </w:tcMar>
          </w:tcPr>
          <w:p w14:paraId="74CD8513" w14:textId="77777777" w:rsidR="002508D3" w:rsidRDefault="002508D3" w:rsidP="002508D3">
            <w:pPr>
              <w:widowControl w:val="0"/>
              <w:pBdr>
                <w:top w:val="nil"/>
                <w:left w:val="nil"/>
                <w:bottom w:val="nil"/>
                <w:right w:val="nil"/>
                <w:between w:val="nil"/>
              </w:pBdr>
              <w:spacing w:after="0"/>
              <w:ind w:firstLine="0"/>
              <w:rPr>
                <w:rFonts w:eastAsia="Times New Roman" w:cs="Times New Roman"/>
                <w:sz w:val="20"/>
                <w:szCs w:val="20"/>
              </w:rPr>
            </w:pPr>
          </w:p>
        </w:tc>
        <w:tc>
          <w:tcPr>
            <w:tcW w:w="1845" w:type="dxa"/>
            <w:vMerge/>
            <w:tcBorders>
              <w:left w:val="single" w:sz="4" w:space="0" w:color="auto"/>
              <w:bottom w:val="single" w:sz="4" w:space="0" w:color="auto"/>
              <w:right w:val="single" w:sz="4" w:space="0" w:color="auto"/>
            </w:tcBorders>
          </w:tcPr>
          <w:p w14:paraId="0B7713C8" w14:textId="77777777" w:rsidR="002508D3" w:rsidRDefault="002508D3" w:rsidP="002508D3">
            <w:pPr>
              <w:spacing w:after="0" w:line="257" w:lineRule="auto"/>
              <w:ind w:firstLine="0"/>
              <w:rPr>
                <w:rFonts w:eastAsia="Times New Roman" w:cs="Times New Roman"/>
                <w:color w:val="000000"/>
                <w:sz w:val="20"/>
                <w:szCs w:val="20"/>
              </w:rPr>
            </w:pPr>
          </w:p>
        </w:tc>
        <w:tc>
          <w:tcPr>
            <w:tcW w:w="4254" w:type="dxa"/>
            <w:tcBorders>
              <w:top w:val="nil"/>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723E8617" w14:textId="79BBDA66" w:rsidR="002508D3" w:rsidRDefault="002508D3" w:rsidP="002508D3">
            <w:pPr>
              <w:spacing w:after="0" w:line="257" w:lineRule="auto"/>
              <w:ind w:firstLine="0"/>
              <w:rPr>
                <w:rFonts w:eastAsia="Times New Roman" w:cs="Times New Roman"/>
                <w:sz w:val="20"/>
                <w:szCs w:val="20"/>
              </w:rPr>
            </w:pPr>
            <w:r>
              <w:rPr>
                <w:rFonts w:eastAsia="Times New Roman" w:cs="Times New Roman"/>
                <w:color w:val="000000"/>
                <w:sz w:val="20"/>
                <w:szCs w:val="20"/>
              </w:rPr>
              <w:t>A 4.</w:t>
            </w:r>
            <w:r w:rsidR="00056FC5">
              <w:rPr>
                <w:rFonts w:eastAsia="Times New Roman" w:cs="Times New Roman"/>
                <w:color w:val="000000"/>
                <w:sz w:val="20"/>
                <w:szCs w:val="20"/>
              </w:rPr>
              <w:t>4</w:t>
            </w:r>
            <w:r>
              <w:rPr>
                <w:rFonts w:eastAsia="Times New Roman" w:cs="Times New Roman"/>
                <w:color w:val="000000"/>
                <w:sz w:val="20"/>
                <w:szCs w:val="20"/>
              </w:rPr>
              <w:t>.3 Realizarea unor programe pentru extinderea infrastructurii de tratare a deșeurilor folosind soluții ecologice;</w:t>
            </w:r>
          </w:p>
        </w:tc>
        <w:tc>
          <w:tcPr>
            <w:tcW w:w="1277" w:type="dxa"/>
            <w:tcBorders>
              <w:top w:val="nil"/>
              <w:left w:val="single" w:sz="4" w:space="0" w:color="000000"/>
              <w:bottom w:val="single" w:sz="4" w:space="0" w:color="auto"/>
              <w:right w:val="single" w:sz="5" w:space="0" w:color="000000"/>
            </w:tcBorders>
            <w:shd w:val="clear" w:color="auto" w:fill="auto"/>
            <w:tcMar>
              <w:top w:w="0" w:type="dxa"/>
              <w:left w:w="100" w:type="dxa"/>
              <w:bottom w:w="0" w:type="dxa"/>
              <w:right w:w="100" w:type="dxa"/>
            </w:tcMar>
          </w:tcPr>
          <w:p w14:paraId="63AB2786" w14:textId="77777777" w:rsidR="002508D3" w:rsidRDefault="002508D3" w:rsidP="002508D3">
            <w:pPr>
              <w:ind w:firstLine="0"/>
              <w:rPr>
                <w:rFonts w:eastAsia="Times New Roman" w:cs="Times New Roman"/>
              </w:rPr>
            </w:pPr>
            <w:r>
              <w:rPr>
                <w:rFonts w:eastAsia="Times New Roman" w:cs="Times New Roman"/>
                <w:color w:val="000000"/>
              </w:rPr>
              <w:t>Ridicată</w:t>
            </w:r>
          </w:p>
        </w:tc>
        <w:tc>
          <w:tcPr>
            <w:tcW w:w="1418" w:type="dxa"/>
            <w:tcBorders>
              <w:top w:val="nil"/>
              <w:left w:val="nil"/>
              <w:bottom w:val="single" w:sz="4" w:space="0" w:color="auto"/>
              <w:right w:val="single" w:sz="6" w:space="0" w:color="000000"/>
            </w:tcBorders>
            <w:shd w:val="clear" w:color="auto" w:fill="auto"/>
            <w:tcMar>
              <w:top w:w="0" w:type="dxa"/>
              <w:left w:w="100" w:type="dxa"/>
              <w:bottom w:w="0" w:type="dxa"/>
              <w:right w:w="100" w:type="dxa"/>
            </w:tcMar>
          </w:tcPr>
          <w:p w14:paraId="38183398" w14:textId="77777777" w:rsidR="002508D3" w:rsidRPr="00473248" w:rsidRDefault="002508D3" w:rsidP="002508D3">
            <w:pPr>
              <w:ind w:firstLine="0"/>
              <w:rPr>
                <w:rFonts w:eastAsia="Times New Roman" w:cs="Times New Roman"/>
                <w:sz w:val="20"/>
                <w:szCs w:val="20"/>
              </w:rPr>
            </w:pPr>
            <w:r w:rsidRPr="00473248">
              <w:rPr>
                <w:rFonts w:eastAsia="Times New Roman" w:cs="Times New Roman"/>
                <w:color w:val="000000"/>
                <w:sz w:val="20"/>
                <w:szCs w:val="20"/>
              </w:rPr>
              <w:t>2030</w:t>
            </w:r>
          </w:p>
        </w:tc>
        <w:tc>
          <w:tcPr>
            <w:tcW w:w="1419" w:type="dxa"/>
            <w:tcBorders>
              <w:top w:val="nil"/>
              <w:left w:val="single" w:sz="6" w:space="0" w:color="000000"/>
              <w:bottom w:val="single" w:sz="4" w:space="0" w:color="auto"/>
              <w:right w:val="single" w:sz="6" w:space="0" w:color="000000"/>
            </w:tcBorders>
            <w:shd w:val="clear" w:color="auto" w:fill="auto"/>
            <w:tcMar>
              <w:top w:w="0" w:type="dxa"/>
              <w:left w:w="100" w:type="dxa"/>
              <w:bottom w:w="0" w:type="dxa"/>
              <w:right w:w="100" w:type="dxa"/>
            </w:tcMar>
          </w:tcPr>
          <w:p w14:paraId="138027FC" w14:textId="77777777" w:rsidR="002508D3" w:rsidRDefault="002508D3" w:rsidP="002508D3">
            <w:pPr>
              <w:ind w:firstLine="51"/>
              <w:rPr>
                <w:rFonts w:eastAsia="Times New Roman" w:cs="Times New Roman"/>
                <w:sz w:val="20"/>
                <w:szCs w:val="20"/>
              </w:rPr>
            </w:pPr>
            <w:r>
              <w:rPr>
                <w:rFonts w:eastAsia="Times New Roman" w:cs="Times New Roman"/>
                <w:color w:val="000000"/>
                <w:sz w:val="20"/>
                <w:szCs w:val="20"/>
              </w:rPr>
              <w:t>MMAP</w:t>
            </w:r>
          </w:p>
        </w:tc>
        <w:tc>
          <w:tcPr>
            <w:tcW w:w="1702" w:type="dxa"/>
            <w:vMerge/>
            <w:tcBorders>
              <w:top w:val="single" w:sz="4" w:space="0" w:color="000000"/>
              <w:left w:val="single" w:sz="6" w:space="0" w:color="000000"/>
              <w:bottom w:val="single" w:sz="4" w:space="0" w:color="auto"/>
              <w:right w:val="single" w:sz="5" w:space="0" w:color="000000"/>
            </w:tcBorders>
            <w:shd w:val="clear" w:color="auto" w:fill="auto"/>
            <w:tcMar>
              <w:top w:w="0" w:type="dxa"/>
              <w:left w:w="100" w:type="dxa"/>
              <w:bottom w:w="0" w:type="dxa"/>
              <w:right w:w="100" w:type="dxa"/>
            </w:tcMar>
          </w:tcPr>
          <w:p w14:paraId="368AB940" w14:textId="77777777" w:rsidR="002508D3" w:rsidRDefault="002508D3" w:rsidP="002508D3">
            <w:pPr>
              <w:widowControl w:val="0"/>
              <w:pBdr>
                <w:top w:val="nil"/>
                <w:left w:val="nil"/>
                <w:bottom w:val="nil"/>
                <w:right w:val="nil"/>
                <w:between w:val="nil"/>
              </w:pBdr>
              <w:spacing w:after="0"/>
              <w:ind w:firstLine="0"/>
              <w:rPr>
                <w:rFonts w:eastAsia="Times New Roman" w:cs="Times New Roman"/>
                <w:sz w:val="20"/>
                <w:szCs w:val="20"/>
              </w:rPr>
            </w:pPr>
          </w:p>
        </w:tc>
      </w:tr>
      <w:tr w:rsidR="002508D3" w14:paraId="58F8C362" w14:textId="77777777" w:rsidTr="002508D3">
        <w:trPr>
          <w:trHeight w:val="1277"/>
        </w:trPr>
        <w:tc>
          <w:tcPr>
            <w:tcW w:w="2164" w:type="dxa"/>
            <w:vMerge/>
            <w:tcBorders>
              <w:top w:val="single" w:sz="4" w:space="0" w:color="auto"/>
              <w:left w:val="single" w:sz="5" w:space="0" w:color="000000"/>
              <w:bottom w:val="single" w:sz="4" w:space="0" w:color="000000"/>
              <w:right w:val="single" w:sz="4" w:space="0" w:color="auto"/>
            </w:tcBorders>
            <w:shd w:val="clear" w:color="auto" w:fill="auto"/>
            <w:tcMar>
              <w:top w:w="100" w:type="dxa"/>
              <w:left w:w="100" w:type="dxa"/>
              <w:bottom w:w="100" w:type="dxa"/>
              <w:right w:w="100" w:type="dxa"/>
            </w:tcMar>
          </w:tcPr>
          <w:p w14:paraId="0C0A6BB2" w14:textId="77777777" w:rsidR="002508D3" w:rsidRDefault="002508D3" w:rsidP="002508D3">
            <w:pPr>
              <w:widowControl w:val="0"/>
              <w:pBdr>
                <w:top w:val="nil"/>
                <w:left w:val="nil"/>
                <w:bottom w:val="nil"/>
                <w:right w:val="nil"/>
                <w:between w:val="nil"/>
              </w:pBdr>
              <w:spacing w:after="0"/>
              <w:ind w:firstLine="0"/>
              <w:rPr>
                <w:rFonts w:eastAsia="Times New Roman" w:cs="Times New Roman"/>
                <w:sz w:val="20"/>
                <w:szCs w:val="20"/>
              </w:rPr>
            </w:pPr>
          </w:p>
        </w:tc>
        <w:tc>
          <w:tcPr>
            <w:tcW w:w="1845" w:type="dxa"/>
            <w:vMerge/>
            <w:tcBorders>
              <w:top w:val="single" w:sz="4" w:space="0" w:color="auto"/>
              <w:left w:val="single" w:sz="4" w:space="0" w:color="auto"/>
              <w:bottom w:val="single" w:sz="4" w:space="0" w:color="auto"/>
              <w:right w:val="single" w:sz="4" w:space="0" w:color="auto"/>
            </w:tcBorders>
          </w:tcPr>
          <w:p w14:paraId="06D23495" w14:textId="77777777" w:rsidR="002508D3" w:rsidRDefault="002508D3" w:rsidP="002508D3">
            <w:pPr>
              <w:spacing w:after="0" w:line="257" w:lineRule="auto"/>
              <w:ind w:firstLine="0"/>
              <w:rPr>
                <w:rFonts w:eastAsia="Times New Roman" w:cs="Times New Roman"/>
                <w:color w:val="000000"/>
                <w:sz w:val="20"/>
                <w:szCs w:val="20"/>
              </w:rPr>
            </w:pPr>
          </w:p>
        </w:tc>
        <w:tc>
          <w:tcPr>
            <w:tcW w:w="4254"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4937E2FA" w14:textId="0ED7A501" w:rsidR="002508D3" w:rsidRDefault="002508D3" w:rsidP="002508D3">
            <w:pPr>
              <w:spacing w:after="0" w:line="257" w:lineRule="auto"/>
              <w:ind w:firstLine="0"/>
              <w:rPr>
                <w:rFonts w:eastAsia="Times New Roman" w:cs="Times New Roman"/>
                <w:sz w:val="20"/>
                <w:szCs w:val="20"/>
              </w:rPr>
            </w:pPr>
            <w:r>
              <w:rPr>
                <w:rFonts w:eastAsia="Times New Roman" w:cs="Times New Roman"/>
                <w:color w:val="000000"/>
                <w:sz w:val="20"/>
                <w:szCs w:val="20"/>
              </w:rPr>
              <w:t>A 4.</w:t>
            </w:r>
            <w:r w:rsidR="00056FC5">
              <w:rPr>
                <w:rFonts w:eastAsia="Times New Roman" w:cs="Times New Roman"/>
                <w:color w:val="000000"/>
                <w:sz w:val="20"/>
                <w:szCs w:val="20"/>
              </w:rPr>
              <w:t>4</w:t>
            </w:r>
            <w:r>
              <w:rPr>
                <w:rFonts w:eastAsia="Times New Roman" w:cs="Times New Roman"/>
                <w:color w:val="000000"/>
                <w:sz w:val="20"/>
                <w:szCs w:val="20"/>
              </w:rPr>
              <w:t>.4 Programe pentru dezvoltarea infrastructurii de tratare a deșeurilor provenite din construcții, care să asigure reutilizarea și reciclarea prin transformarea acestora în materiale sau materii secundare gata de utilizare</w:t>
            </w:r>
          </w:p>
        </w:tc>
        <w:tc>
          <w:tcPr>
            <w:tcW w:w="1277" w:type="dxa"/>
            <w:tcBorders>
              <w:top w:val="single" w:sz="4" w:space="0" w:color="auto"/>
              <w:left w:val="single" w:sz="4" w:space="0" w:color="000000"/>
              <w:bottom w:val="single" w:sz="4" w:space="0" w:color="000000"/>
              <w:right w:val="single" w:sz="5" w:space="0" w:color="000000"/>
            </w:tcBorders>
            <w:shd w:val="clear" w:color="auto" w:fill="auto"/>
            <w:tcMar>
              <w:top w:w="0" w:type="dxa"/>
              <w:left w:w="100" w:type="dxa"/>
              <w:bottom w:w="0" w:type="dxa"/>
              <w:right w:w="100" w:type="dxa"/>
            </w:tcMar>
          </w:tcPr>
          <w:p w14:paraId="000B7DE0" w14:textId="77777777" w:rsidR="002508D3" w:rsidRDefault="002508D3" w:rsidP="002508D3">
            <w:pPr>
              <w:ind w:firstLine="0"/>
              <w:rPr>
                <w:rFonts w:eastAsia="Times New Roman" w:cs="Times New Roman"/>
              </w:rPr>
            </w:pPr>
            <w:r>
              <w:rPr>
                <w:rFonts w:eastAsia="Times New Roman" w:cs="Times New Roman"/>
                <w:color w:val="000000"/>
              </w:rPr>
              <w:t>Ridicată</w:t>
            </w:r>
          </w:p>
        </w:tc>
        <w:tc>
          <w:tcPr>
            <w:tcW w:w="1418" w:type="dxa"/>
            <w:tcBorders>
              <w:top w:val="single" w:sz="4" w:space="0" w:color="auto"/>
              <w:left w:val="nil"/>
              <w:bottom w:val="single" w:sz="4" w:space="0" w:color="000000"/>
              <w:right w:val="single" w:sz="5" w:space="0" w:color="000000"/>
            </w:tcBorders>
            <w:shd w:val="clear" w:color="auto" w:fill="auto"/>
            <w:tcMar>
              <w:top w:w="0" w:type="dxa"/>
              <w:left w:w="100" w:type="dxa"/>
              <w:bottom w:w="0" w:type="dxa"/>
              <w:right w:w="100" w:type="dxa"/>
            </w:tcMar>
          </w:tcPr>
          <w:p w14:paraId="53E899EB" w14:textId="77777777" w:rsidR="002508D3" w:rsidRPr="00473248" w:rsidRDefault="002508D3" w:rsidP="002508D3">
            <w:pPr>
              <w:ind w:firstLine="0"/>
              <w:rPr>
                <w:rFonts w:eastAsia="Times New Roman" w:cs="Times New Roman"/>
                <w:sz w:val="20"/>
                <w:szCs w:val="20"/>
              </w:rPr>
            </w:pPr>
            <w:r w:rsidRPr="00473248">
              <w:rPr>
                <w:rFonts w:eastAsia="Times New Roman" w:cs="Times New Roman"/>
                <w:color w:val="000000"/>
                <w:sz w:val="20"/>
                <w:szCs w:val="20"/>
              </w:rPr>
              <w:t>2030</w:t>
            </w:r>
          </w:p>
        </w:tc>
        <w:tc>
          <w:tcPr>
            <w:tcW w:w="1419" w:type="dxa"/>
            <w:tcBorders>
              <w:top w:val="single" w:sz="4" w:space="0" w:color="auto"/>
              <w:left w:val="nil"/>
              <w:bottom w:val="single" w:sz="4" w:space="0" w:color="000000"/>
              <w:right w:val="single" w:sz="5" w:space="0" w:color="000000"/>
            </w:tcBorders>
            <w:shd w:val="clear" w:color="auto" w:fill="auto"/>
            <w:tcMar>
              <w:top w:w="0" w:type="dxa"/>
              <w:left w:w="100" w:type="dxa"/>
              <w:bottom w:w="0" w:type="dxa"/>
              <w:right w:w="100" w:type="dxa"/>
            </w:tcMar>
          </w:tcPr>
          <w:p w14:paraId="1D65B846" w14:textId="77777777" w:rsidR="002508D3" w:rsidRDefault="002508D3" w:rsidP="002508D3">
            <w:pPr>
              <w:ind w:firstLine="51"/>
              <w:rPr>
                <w:rFonts w:eastAsia="Times New Roman" w:cs="Times New Roman"/>
                <w:sz w:val="20"/>
                <w:szCs w:val="20"/>
              </w:rPr>
            </w:pPr>
            <w:r>
              <w:rPr>
                <w:rFonts w:eastAsia="Times New Roman" w:cs="Times New Roman"/>
                <w:color w:val="000000"/>
                <w:sz w:val="20"/>
                <w:szCs w:val="20"/>
              </w:rPr>
              <w:t>MMAP, autorități locale</w:t>
            </w:r>
          </w:p>
        </w:tc>
        <w:tc>
          <w:tcPr>
            <w:tcW w:w="1702" w:type="dxa"/>
            <w:vMerge/>
            <w:tcBorders>
              <w:top w:val="single" w:sz="4" w:space="0" w:color="auto"/>
              <w:left w:val="nil"/>
              <w:bottom w:val="single" w:sz="4" w:space="0" w:color="000000"/>
              <w:right w:val="single" w:sz="5" w:space="0" w:color="000000"/>
            </w:tcBorders>
            <w:shd w:val="clear" w:color="auto" w:fill="auto"/>
            <w:tcMar>
              <w:top w:w="0" w:type="dxa"/>
              <w:left w:w="100" w:type="dxa"/>
              <w:bottom w:w="0" w:type="dxa"/>
              <w:right w:w="100" w:type="dxa"/>
            </w:tcMar>
          </w:tcPr>
          <w:p w14:paraId="625B05C2" w14:textId="77777777" w:rsidR="002508D3" w:rsidRDefault="002508D3" w:rsidP="002508D3">
            <w:pPr>
              <w:widowControl w:val="0"/>
              <w:pBdr>
                <w:top w:val="nil"/>
                <w:left w:val="nil"/>
                <w:bottom w:val="nil"/>
                <w:right w:val="nil"/>
                <w:between w:val="nil"/>
              </w:pBdr>
              <w:spacing w:after="0"/>
              <w:ind w:firstLine="0"/>
              <w:rPr>
                <w:rFonts w:eastAsia="Times New Roman" w:cs="Times New Roman"/>
                <w:sz w:val="20"/>
                <w:szCs w:val="20"/>
              </w:rPr>
            </w:pPr>
          </w:p>
        </w:tc>
      </w:tr>
      <w:tr w:rsidR="002508D3" w14:paraId="74CA15C6" w14:textId="77777777" w:rsidTr="002508D3">
        <w:trPr>
          <w:trHeight w:val="1243"/>
        </w:trPr>
        <w:tc>
          <w:tcPr>
            <w:tcW w:w="2164" w:type="dxa"/>
            <w:vMerge w:val="restart"/>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5A6C739F" w14:textId="329D3401" w:rsidR="002508D3" w:rsidRDefault="002508D3" w:rsidP="002508D3">
            <w:pPr>
              <w:spacing w:after="0" w:line="240" w:lineRule="auto"/>
              <w:ind w:firstLine="0"/>
              <w:rPr>
                <w:rFonts w:eastAsia="Times New Roman" w:cs="Times New Roman"/>
              </w:rPr>
            </w:pPr>
            <w:r>
              <w:rPr>
                <w:rFonts w:eastAsia="Times New Roman" w:cs="Times New Roman"/>
                <w:sz w:val="20"/>
                <w:szCs w:val="20"/>
              </w:rPr>
              <w:t>M4.</w:t>
            </w:r>
            <w:r w:rsidR="00D96C25">
              <w:rPr>
                <w:rFonts w:eastAsia="Times New Roman" w:cs="Times New Roman"/>
                <w:sz w:val="20"/>
                <w:szCs w:val="20"/>
              </w:rPr>
              <w:t xml:space="preserve">5 </w:t>
            </w:r>
            <w:r>
              <w:rPr>
                <w:rFonts w:eastAsia="Times New Roman" w:cs="Times New Roman"/>
                <w:sz w:val="20"/>
                <w:szCs w:val="20"/>
              </w:rPr>
              <w:t>Dezvoltarea infrastructurii verzi în zona carierelor active de calcare și șisturi verzi (zona Tașaul-Luminița)</w:t>
            </w:r>
          </w:p>
        </w:tc>
        <w:tc>
          <w:tcPr>
            <w:tcW w:w="1845" w:type="dxa"/>
            <w:vMerge w:val="restart"/>
            <w:tcBorders>
              <w:top w:val="single" w:sz="4" w:space="0" w:color="auto"/>
              <w:left w:val="single" w:sz="4" w:space="0" w:color="auto"/>
              <w:bottom w:val="single" w:sz="4" w:space="0" w:color="auto"/>
              <w:right w:val="single" w:sz="4" w:space="0" w:color="auto"/>
            </w:tcBorders>
          </w:tcPr>
          <w:p w14:paraId="0D9C7F9E" w14:textId="77777777" w:rsidR="002508D3" w:rsidRPr="00DF369E" w:rsidRDefault="002508D3" w:rsidP="002508D3">
            <w:pPr>
              <w:spacing w:line="257" w:lineRule="auto"/>
              <w:ind w:firstLine="0"/>
              <w:rPr>
                <w:rFonts w:eastAsia="Times New Roman" w:cs="Times New Roman"/>
                <w:color w:val="000000"/>
                <w:sz w:val="20"/>
                <w:szCs w:val="20"/>
              </w:rPr>
            </w:pPr>
            <w:r w:rsidRPr="00DF369E">
              <w:rPr>
                <w:rFonts w:eastAsia="Times New Roman" w:cs="Times New Roman"/>
                <w:color w:val="000000"/>
                <w:sz w:val="20"/>
                <w:szCs w:val="20"/>
              </w:rPr>
              <w:t>Os2.b Gestionarea, revitalizare și reabilitarea zonelor urbane şi rurale poluate;</w:t>
            </w:r>
          </w:p>
          <w:p w14:paraId="47D8969B" w14:textId="77777777" w:rsidR="002508D3" w:rsidRPr="00DF369E" w:rsidRDefault="002508D3" w:rsidP="002508D3">
            <w:pPr>
              <w:spacing w:line="257" w:lineRule="auto"/>
              <w:ind w:firstLine="0"/>
              <w:rPr>
                <w:rFonts w:eastAsia="Times New Roman" w:cs="Times New Roman"/>
                <w:color w:val="000000"/>
                <w:sz w:val="20"/>
                <w:szCs w:val="20"/>
              </w:rPr>
            </w:pPr>
            <w:r w:rsidRPr="00DF369E">
              <w:rPr>
                <w:rFonts w:eastAsia="Times New Roman" w:cs="Times New Roman"/>
                <w:color w:val="000000"/>
                <w:sz w:val="20"/>
                <w:szCs w:val="20"/>
              </w:rPr>
              <w:t>Os2.c Stimularea dezvoltării infrastructurii verzi;</w:t>
            </w:r>
          </w:p>
          <w:p w14:paraId="5B1699B7" w14:textId="77777777" w:rsidR="002508D3" w:rsidRPr="00DF369E" w:rsidRDefault="002508D3" w:rsidP="002508D3">
            <w:pPr>
              <w:spacing w:line="257" w:lineRule="auto"/>
              <w:ind w:firstLine="0"/>
              <w:rPr>
                <w:rFonts w:eastAsia="Times New Roman" w:cs="Times New Roman"/>
                <w:color w:val="000000"/>
                <w:sz w:val="20"/>
                <w:szCs w:val="20"/>
              </w:rPr>
            </w:pPr>
            <w:r w:rsidRPr="00DF369E">
              <w:rPr>
                <w:rFonts w:eastAsia="Times New Roman" w:cs="Times New Roman"/>
                <w:color w:val="000000"/>
                <w:sz w:val="20"/>
                <w:szCs w:val="20"/>
              </w:rPr>
              <w:lastRenderedPageBreak/>
              <w:t>Os1.a Protejarea eficientă a valorilor naturale, peisagistice și culturale;</w:t>
            </w:r>
          </w:p>
          <w:p w14:paraId="0D13E06B" w14:textId="77777777" w:rsidR="002508D3" w:rsidRPr="00DF369E" w:rsidRDefault="002508D3" w:rsidP="002508D3">
            <w:pPr>
              <w:spacing w:line="257" w:lineRule="auto"/>
              <w:ind w:firstLine="0"/>
              <w:rPr>
                <w:rFonts w:eastAsia="Times New Roman" w:cs="Times New Roman"/>
                <w:color w:val="000000"/>
                <w:sz w:val="20"/>
                <w:szCs w:val="20"/>
              </w:rPr>
            </w:pPr>
            <w:r w:rsidRPr="00DF369E">
              <w:rPr>
                <w:rFonts w:eastAsia="Times New Roman" w:cs="Times New Roman"/>
                <w:color w:val="000000"/>
                <w:sz w:val="20"/>
                <w:szCs w:val="20"/>
              </w:rPr>
              <w:t>Os6.b Creșterea gradului de conștientizare cu privire la necesitatea de a păstra și îmbunătăți resursele zonei de coastă;</w:t>
            </w:r>
          </w:p>
          <w:p w14:paraId="4E9521AB" w14:textId="77777777" w:rsidR="002508D3" w:rsidRDefault="002508D3" w:rsidP="002508D3">
            <w:pPr>
              <w:spacing w:line="257" w:lineRule="auto"/>
              <w:ind w:firstLine="0"/>
              <w:rPr>
                <w:rFonts w:eastAsia="Times New Roman" w:cs="Times New Roman"/>
                <w:color w:val="000000"/>
                <w:sz w:val="20"/>
                <w:szCs w:val="20"/>
              </w:rPr>
            </w:pPr>
            <w:r w:rsidRPr="00DF369E">
              <w:rPr>
                <w:rFonts w:eastAsia="Times New Roman" w:cs="Times New Roman"/>
                <w:color w:val="000000"/>
                <w:sz w:val="20"/>
                <w:szCs w:val="20"/>
              </w:rPr>
              <w:t>Os6.c Implicarea cetățenilor în monitorizarea stării de sănătate a mediului costier (Citizen-science)</w:t>
            </w: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4A396AD2" w14:textId="31773B25" w:rsidR="002508D3" w:rsidRDefault="002508D3" w:rsidP="002508D3">
            <w:pPr>
              <w:spacing w:after="0" w:line="257" w:lineRule="auto"/>
              <w:ind w:firstLine="0"/>
              <w:rPr>
                <w:rFonts w:eastAsia="Times New Roman" w:cs="Times New Roman"/>
                <w:color w:val="000000"/>
                <w:sz w:val="20"/>
                <w:szCs w:val="20"/>
              </w:rPr>
            </w:pPr>
            <w:r>
              <w:rPr>
                <w:rFonts w:eastAsia="Times New Roman" w:cs="Times New Roman"/>
                <w:color w:val="000000"/>
                <w:sz w:val="20"/>
                <w:szCs w:val="20"/>
              </w:rPr>
              <w:lastRenderedPageBreak/>
              <w:t>A 4.</w:t>
            </w:r>
            <w:r w:rsidR="00056FC5">
              <w:rPr>
                <w:rFonts w:eastAsia="Times New Roman" w:cs="Times New Roman"/>
                <w:color w:val="000000"/>
                <w:sz w:val="20"/>
                <w:szCs w:val="20"/>
              </w:rPr>
              <w:t>5</w:t>
            </w:r>
            <w:r>
              <w:rPr>
                <w:rFonts w:eastAsia="Times New Roman" w:cs="Times New Roman"/>
                <w:color w:val="000000"/>
                <w:sz w:val="20"/>
                <w:szCs w:val="20"/>
              </w:rPr>
              <w:t>.1 Realizarea de campanii de conștientizare a impactului negativ al activității de exploatare a calcarelor și șisturilor verzi în rândul operatorilor economici, administrației publice și altor factori interesați locali</w:t>
            </w:r>
          </w:p>
        </w:tc>
        <w:tc>
          <w:tcPr>
            <w:tcW w:w="1277"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17C3E1FE" w14:textId="77777777" w:rsidR="002508D3" w:rsidRDefault="002508D3" w:rsidP="002508D3">
            <w:pPr>
              <w:ind w:firstLine="0"/>
              <w:rPr>
                <w:rFonts w:eastAsia="Times New Roman" w:cs="Times New Roman"/>
                <w:color w:val="000000"/>
              </w:rPr>
            </w:pPr>
            <w:r>
              <w:rPr>
                <w:rFonts w:eastAsia="Times New Roman" w:cs="Times New Roman"/>
                <w:color w:val="000000"/>
              </w:rPr>
              <w:t>Medie</w:t>
            </w:r>
          </w:p>
        </w:tc>
        <w:tc>
          <w:tcPr>
            <w:tcW w:w="1418"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50C18FBC" w14:textId="77777777" w:rsidR="002508D3" w:rsidRPr="00473248" w:rsidRDefault="002508D3" w:rsidP="002508D3">
            <w:pPr>
              <w:ind w:firstLine="0"/>
              <w:rPr>
                <w:rFonts w:eastAsia="Times New Roman" w:cs="Times New Roman"/>
                <w:color w:val="000000"/>
                <w:sz w:val="20"/>
                <w:szCs w:val="20"/>
              </w:rPr>
            </w:pPr>
            <w:r w:rsidRPr="00473248">
              <w:rPr>
                <w:rFonts w:eastAsia="Times New Roman" w:cs="Times New Roman"/>
                <w:color w:val="000000"/>
                <w:sz w:val="20"/>
                <w:szCs w:val="20"/>
              </w:rPr>
              <w:t>2040</w:t>
            </w:r>
          </w:p>
        </w:tc>
        <w:tc>
          <w:tcPr>
            <w:tcW w:w="1419"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2CB3FD8F" w14:textId="24E89710" w:rsidR="002508D3" w:rsidRDefault="002508D3" w:rsidP="002508D3">
            <w:pPr>
              <w:ind w:firstLine="51"/>
              <w:rPr>
                <w:rFonts w:eastAsia="Times New Roman" w:cs="Times New Roman"/>
                <w:color w:val="000000"/>
                <w:sz w:val="20"/>
                <w:szCs w:val="20"/>
              </w:rPr>
            </w:pPr>
            <w:r>
              <w:rPr>
                <w:rFonts w:eastAsia="Times New Roman" w:cs="Times New Roman"/>
                <w:color w:val="000000"/>
                <w:sz w:val="20"/>
                <w:szCs w:val="20"/>
              </w:rPr>
              <w:t>MMAP, MT</w:t>
            </w:r>
          </w:p>
        </w:tc>
        <w:tc>
          <w:tcPr>
            <w:tcW w:w="1702" w:type="dxa"/>
            <w:vMerge w:val="restart"/>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10131DC2" w14:textId="77777777" w:rsidR="002508D3" w:rsidRDefault="002508D3" w:rsidP="002508D3">
            <w:pPr>
              <w:ind w:firstLine="0"/>
              <w:rPr>
                <w:rFonts w:eastAsia="Times New Roman" w:cs="Times New Roman"/>
              </w:rPr>
            </w:pPr>
          </w:p>
          <w:p w14:paraId="486967E7" w14:textId="77777777" w:rsidR="002508D3" w:rsidRDefault="002508D3" w:rsidP="002508D3">
            <w:pPr>
              <w:ind w:firstLine="0"/>
              <w:rPr>
                <w:rFonts w:eastAsia="Times New Roman" w:cs="Times New Roman"/>
              </w:rPr>
            </w:pPr>
          </w:p>
          <w:p w14:paraId="0EC3ED40" w14:textId="77777777" w:rsidR="002508D3" w:rsidRDefault="002508D3" w:rsidP="002508D3">
            <w:pPr>
              <w:ind w:firstLine="0"/>
              <w:rPr>
                <w:rFonts w:eastAsia="Times New Roman" w:cs="Times New Roman"/>
              </w:rPr>
            </w:pPr>
          </w:p>
          <w:p w14:paraId="0D716C0C" w14:textId="77777777" w:rsidR="002508D3" w:rsidRDefault="002508D3" w:rsidP="002508D3">
            <w:pPr>
              <w:ind w:firstLine="0"/>
              <w:rPr>
                <w:rFonts w:eastAsia="Times New Roman" w:cs="Times New Roman"/>
              </w:rPr>
            </w:pPr>
          </w:p>
          <w:p w14:paraId="534AB9E3" w14:textId="77777777" w:rsidR="002508D3" w:rsidRDefault="002508D3" w:rsidP="002508D3">
            <w:pPr>
              <w:ind w:firstLine="0"/>
              <w:rPr>
                <w:rFonts w:eastAsia="Times New Roman" w:cs="Times New Roman"/>
              </w:rPr>
            </w:pPr>
            <w:r>
              <w:rPr>
                <w:rFonts w:eastAsia="Times New Roman" w:cs="Times New Roman"/>
                <w:sz w:val="20"/>
                <w:szCs w:val="20"/>
              </w:rPr>
              <w:t xml:space="preserve">Programul Regional Sud-Est, </w:t>
            </w:r>
            <w:r>
              <w:rPr>
                <w:rFonts w:eastAsia="Times New Roman" w:cs="Times New Roman"/>
                <w:sz w:val="20"/>
                <w:szCs w:val="20"/>
              </w:rPr>
              <w:lastRenderedPageBreak/>
              <w:t>Programul de Dezvoltare Durabilă, Programul InvestEU, LIFE, PNCDI IV, fonduri proprii ale MMAP, MT, MEAT</w:t>
            </w:r>
          </w:p>
        </w:tc>
      </w:tr>
      <w:tr w:rsidR="002508D3" w14:paraId="1A29D20F" w14:textId="77777777" w:rsidTr="002508D3">
        <w:trPr>
          <w:trHeight w:val="444"/>
        </w:trPr>
        <w:tc>
          <w:tcPr>
            <w:tcW w:w="2164" w:type="dxa"/>
            <w:vMerge/>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07B244BE" w14:textId="77777777" w:rsidR="002508D3" w:rsidRDefault="002508D3" w:rsidP="002508D3">
            <w:pPr>
              <w:widowControl w:val="0"/>
              <w:pBdr>
                <w:top w:val="nil"/>
                <w:left w:val="nil"/>
                <w:bottom w:val="nil"/>
                <w:right w:val="nil"/>
                <w:between w:val="nil"/>
              </w:pBdr>
              <w:spacing w:after="0"/>
              <w:rPr>
                <w:rFonts w:eastAsia="Times New Roman" w:cs="Times New Roman"/>
              </w:rPr>
            </w:pPr>
          </w:p>
        </w:tc>
        <w:tc>
          <w:tcPr>
            <w:tcW w:w="1845" w:type="dxa"/>
            <w:vMerge/>
            <w:tcBorders>
              <w:top w:val="single" w:sz="4" w:space="0" w:color="auto"/>
              <w:left w:val="single" w:sz="4" w:space="0" w:color="auto"/>
              <w:right w:val="single" w:sz="4" w:space="0" w:color="auto"/>
            </w:tcBorders>
          </w:tcPr>
          <w:p w14:paraId="5D03F195" w14:textId="77777777" w:rsidR="002508D3" w:rsidRDefault="002508D3" w:rsidP="002508D3">
            <w:pPr>
              <w:spacing w:after="0" w:line="257" w:lineRule="auto"/>
              <w:rPr>
                <w:rFonts w:eastAsia="Times New Roman" w:cs="Times New Roman"/>
                <w:color w:val="000000"/>
                <w:sz w:val="20"/>
                <w:szCs w:val="20"/>
              </w:rPr>
            </w:pPr>
          </w:p>
        </w:tc>
        <w:tc>
          <w:tcPr>
            <w:tcW w:w="4254"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7B57C2AF" w14:textId="0C4CF2B7" w:rsidR="002508D3" w:rsidRDefault="002508D3" w:rsidP="002508D3">
            <w:pPr>
              <w:spacing w:after="0" w:line="257" w:lineRule="auto"/>
              <w:ind w:firstLine="0"/>
              <w:rPr>
                <w:rFonts w:eastAsia="Times New Roman" w:cs="Times New Roman"/>
                <w:color w:val="000000"/>
                <w:sz w:val="20"/>
                <w:szCs w:val="20"/>
              </w:rPr>
            </w:pPr>
            <w:r>
              <w:rPr>
                <w:rFonts w:eastAsia="Times New Roman" w:cs="Times New Roman"/>
                <w:color w:val="000000"/>
                <w:sz w:val="20"/>
                <w:szCs w:val="20"/>
              </w:rPr>
              <w:t>A 4.</w:t>
            </w:r>
            <w:r w:rsidR="00056FC5">
              <w:rPr>
                <w:rFonts w:eastAsia="Times New Roman" w:cs="Times New Roman"/>
                <w:color w:val="000000"/>
                <w:sz w:val="20"/>
                <w:szCs w:val="20"/>
              </w:rPr>
              <w:t>5</w:t>
            </w:r>
            <w:r>
              <w:rPr>
                <w:rFonts w:eastAsia="Times New Roman" w:cs="Times New Roman"/>
                <w:color w:val="000000"/>
                <w:sz w:val="20"/>
                <w:szCs w:val="20"/>
              </w:rPr>
              <w:t>.2 Realizarea de campanii de conștientizare și atragerea a publicului în acțiuni de monitorizare a sitului;</w:t>
            </w:r>
          </w:p>
        </w:tc>
        <w:tc>
          <w:tcPr>
            <w:tcW w:w="1277"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0D4A071" w14:textId="77777777" w:rsidR="002508D3" w:rsidRPr="002508D3" w:rsidRDefault="002508D3" w:rsidP="002508D3">
            <w:pPr>
              <w:ind w:firstLine="0"/>
              <w:rPr>
                <w:rFonts w:eastAsia="Times New Roman" w:cs="Times New Roman"/>
                <w:color w:val="000000"/>
                <w:sz w:val="22"/>
              </w:rPr>
            </w:pPr>
            <w:r w:rsidRPr="002508D3">
              <w:rPr>
                <w:rFonts w:eastAsia="Times New Roman" w:cs="Times New Roman"/>
                <w:color w:val="000000"/>
                <w:sz w:val="22"/>
              </w:rPr>
              <w:t>Medie</w:t>
            </w:r>
          </w:p>
        </w:tc>
        <w:tc>
          <w:tcPr>
            <w:tcW w:w="1418"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81C0C68" w14:textId="77777777" w:rsidR="002508D3" w:rsidRPr="00473248" w:rsidRDefault="002508D3" w:rsidP="002508D3">
            <w:pPr>
              <w:ind w:firstLine="0"/>
              <w:rPr>
                <w:rFonts w:eastAsia="Times New Roman" w:cs="Times New Roman"/>
                <w:color w:val="000000"/>
                <w:sz w:val="20"/>
                <w:szCs w:val="20"/>
              </w:rPr>
            </w:pPr>
            <w:r w:rsidRPr="00473248">
              <w:rPr>
                <w:rFonts w:eastAsia="Times New Roman" w:cs="Times New Roman"/>
                <w:color w:val="000000"/>
                <w:sz w:val="20"/>
                <w:szCs w:val="20"/>
              </w:rPr>
              <w:t>2040</w:t>
            </w:r>
          </w:p>
        </w:tc>
        <w:tc>
          <w:tcPr>
            <w:tcW w:w="1419"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714C746" w14:textId="77777777" w:rsidR="002508D3" w:rsidRDefault="002508D3" w:rsidP="002508D3">
            <w:pPr>
              <w:ind w:firstLine="51"/>
              <w:rPr>
                <w:rFonts w:eastAsia="Times New Roman" w:cs="Times New Roman"/>
                <w:color w:val="000000"/>
                <w:sz w:val="20"/>
                <w:szCs w:val="20"/>
              </w:rPr>
            </w:pPr>
            <w:r>
              <w:rPr>
                <w:rFonts w:eastAsia="Times New Roman" w:cs="Times New Roman"/>
                <w:color w:val="000000"/>
                <w:sz w:val="20"/>
                <w:szCs w:val="20"/>
              </w:rPr>
              <w:t>MMAP</w:t>
            </w:r>
          </w:p>
        </w:tc>
        <w:tc>
          <w:tcPr>
            <w:tcW w:w="1702" w:type="dxa"/>
            <w:vMerge/>
            <w:tcBorders>
              <w:top w:val="single" w:sz="4" w:space="0" w:color="auto"/>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532DABEF" w14:textId="77777777" w:rsidR="002508D3" w:rsidRDefault="002508D3" w:rsidP="002508D3">
            <w:pPr>
              <w:widowControl w:val="0"/>
              <w:pBdr>
                <w:top w:val="nil"/>
                <w:left w:val="nil"/>
                <w:bottom w:val="nil"/>
                <w:right w:val="nil"/>
                <w:between w:val="nil"/>
              </w:pBdr>
              <w:spacing w:after="0"/>
              <w:rPr>
                <w:rFonts w:eastAsia="Times New Roman" w:cs="Times New Roman"/>
                <w:color w:val="000000"/>
                <w:sz w:val="20"/>
                <w:szCs w:val="20"/>
              </w:rPr>
            </w:pPr>
          </w:p>
        </w:tc>
      </w:tr>
      <w:tr w:rsidR="002508D3" w14:paraId="7F3891B1" w14:textId="77777777" w:rsidTr="002508D3">
        <w:trPr>
          <w:trHeight w:val="1830"/>
        </w:trPr>
        <w:tc>
          <w:tcPr>
            <w:tcW w:w="2164"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516C41F2" w14:textId="77777777" w:rsidR="002508D3" w:rsidRDefault="002508D3" w:rsidP="002508D3">
            <w:pPr>
              <w:widowControl w:val="0"/>
              <w:pBdr>
                <w:top w:val="nil"/>
                <w:left w:val="nil"/>
                <w:bottom w:val="nil"/>
                <w:right w:val="nil"/>
                <w:between w:val="nil"/>
              </w:pBdr>
              <w:spacing w:after="0"/>
              <w:rPr>
                <w:rFonts w:eastAsia="Times New Roman" w:cs="Times New Roman"/>
                <w:color w:val="000000"/>
                <w:sz w:val="20"/>
                <w:szCs w:val="20"/>
              </w:rPr>
            </w:pPr>
          </w:p>
        </w:tc>
        <w:tc>
          <w:tcPr>
            <w:tcW w:w="1845" w:type="dxa"/>
            <w:vMerge/>
            <w:tcBorders>
              <w:left w:val="single" w:sz="4" w:space="0" w:color="auto"/>
              <w:right w:val="single" w:sz="4" w:space="0" w:color="auto"/>
            </w:tcBorders>
          </w:tcPr>
          <w:p w14:paraId="412AB91B" w14:textId="77777777" w:rsidR="002508D3" w:rsidRDefault="002508D3" w:rsidP="002508D3">
            <w:pPr>
              <w:spacing w:after="0" w:line="257" w:lineRule="auto"/>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1F0C12A2" w14:textId="708FE366" w:rsidR="002508D3" w:rsidRDefault="002508D3" w:rsidP="002508D3">
            <w:pPr>
              <w:spacing w:after="0" w:line="257" w:lineRule="auto"/>
              <w:ind w:firstLine="0"/>
              <w:rPr>
                <w:rFonts w:eastAsia="Times New Roman" w:cs="Times New Roman"/>
                <w:color w:val="000000"/>
                <w:sz w:val="20"/>
                <w:szCs w:val="20"/>
              </w:rPr>
            </w:pPr>
            <w:r>
              <w:rPr>
                <w:rFonts w:eastAsia="Times New Roman" w:cs="Times New Roman"/>
                <w:color w:val="000000"/>
                <w:sz w:val="20"/>
                <w:szCs w:val="20"/>
              </w:rPr>
              <w:t>A 4.</w:t>
            </w:r>
            <w:r w:rsidR="00056FC5">
              <w:rPr>
                <w:rFonts w:eastAsia="Times New Roman" w:cs="Times New Roman"/>
                <w:color w:val="000000"/>
                <w:sz w:val="20"/>
                <w:szCs w:val="20"/>
              </w:rPr>
              <w:t>5</w:t>
            </w:r>
            <w:r>
              <w:rPr>
                <w:rFonts w:eastAsia="Times New Roman" w:cs="Times New Roman"/>
                <w:color w:val="000000"/>
                <w:sz w:val="20"/>
                <w:szCs w:val="20"/>
              </w:rPr>
              <w:t>.3 Inițierea și implementarea de proiecte de dezvoltare a infrastructurii verzi (perdele forestiere, ecrane de protecție împotriva zgomotului, reciclarea materialelor reziduale - resturi de piatră, etc.) pentru reducerea poluării generate de activitatea de minerit și activitățile conexe (transport)</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D3391D1" w14:textId="77777777" w:rsidR="002508D3" w:rsidRPr="002508D3" w:rsidRDefault="002508D3" w:rsidP="002508D3">
            <w:pPr>
              <w:ind w:firstLine="0"/>
              <w:rPr>
                <w:rFonts w:eastAsia="Times New Roman" w:cs="Times New Roman"/>
                <w:color w:val="000000"/>
                <w:sz w:val="22"/>
              </w:rPr>
            </w:pPr>
            <w:r w:rsidRPr="002508D3">
              <w:rPr>
                <w:rFonts w:eastAsia="Times New Roman" w:cs="Times New Roman"/>
                <w:color w:val="000000"/>
                <w:sz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E6DC4E9" w14:textId="77777777" w:rsidR="002508D3" w:rsidRPr="00473248" w:rsidRDefault="002508D3" w:rsidP="002508D3">
            <w:pPr>
              <w:ind w:firstLine="0"/>
              <w:rPr>
                <w:rFonts w:eastAsia="Times New Roman" w:cs="Times New Roman"/>
                <w:color w:val="000000"/>
                <w:sz w:val="20"/>
                <w:szCs w:val="20"/>
              </w:rPr>
            </w:pPr>
            <w:r w:rsidRPr="00473248">
              <w:rPr>
                <w:rFonts w:eastAsia="Times New Roman" w:cs="Times New Roman"/>
                <w:color w:val="000000"/>
                <w:sz w:val="20"/>
                <w:szCs w:val="20"/>
              </w:rPr>
              <w:t>2040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427EB25" w14:textId="09F81110" w:rsidR="002508D3" w:rsidRDefault="002508D3" w:rsidP="002508D3">
            <w:pPr>
              <w:spacing w:after="0" w:line="257" w:lineRule="auto"/>
              <w:ind w:firstLine="51"/>
              <w:rPr>
                <w:rFonts w:eastAsia="Times New Roman" w:cs="Times New Roman"/>
                <w:color w:val="000000"/>
                <w:sz w:val="20"/>
                <w:szCs w:val="20"/>
              </w:rPr>
            </w:pPr>
            <w:r>
              <w:rPr>
                <w:rFonts w:eastAsia="Times New Roman" w:cs="Times New Roman"/>
                <w:color w:val="000000"/>
                <w:sz w:val="20"/>
                <w:szCs w:val="20"/>
              </w:rPr>
              <w:t>MMAP, MT, MCID (INCD-uri) și ME (departamente de cercetare din universități)</w:t>
            </w:r>
          </w:p>
        </w:tc>
        <w:tc>
          <w:tcPr>
            <w:tcW w:w="1702" w:type="dxa"/>
            <w:vMerge/>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4A74D5BD" w14:textId="77777777" w:rsidR="002508D3" w:rsidRDefault="002508D3" w:rsidP="002508D3">
            <w:pPr>
              <w:widowControl w:val="0"/>
              <w:pBdr>
                <w:top w:val="nil"/>
                <w:left w:val="nil"/>
                <w:bottom w:val="nil"/>
                <w:right w:val="nil"/>
                <w:between w:val="nil"/>
              </w:pBdr>
              <w:spacing w:after="0"/>
              <w:rPr>
                <w:rFonts w:eastAsia="Times New Roman" w:cs="Times New Roman"/>
                <w:color w:val="000000"/>
                <w:sz w:val="20"/>
                <w:szCs w:val="20"/>
              </w:rPr>
            </w:pPr>
          </w:p>
        </w:tc>
      </w:tr>
      <w:tr w:rsidR="002508D3" w14:paraId="23FB86EA" w14:textId="77777777" w:rsidTr="002508D3">
        <w:trPr>
          <w:trHeight w:val="1929"/>
        </w:trPr>
        <w:tc>
          <w:tcPr>
            <w:tcW w:w="2164"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383A31EE" w14:textId="77777777" w:rsidR="002508D3" w:rsidRDefault="002508D3" w:rsidP="002508D3">
            <w:pPr>
              <w:widowControl w:val="0"/>
              <w:pBdr>
                <w:top w:val="nil"/>
                <w:left w:val="nil"/>
                <w:bottom w:val="nil"/>
                <w:right w:val="nil"/>
                <w:between w:val="nil"/>
              </w:pBdr>
              <w:spacing w:after="0"/>
              <w:rPr>
                <w:rFonts w:eastAsia="Times New Roman" w:cs="Times New Roman"/>
                <w:color w:val="000000"/>
                <w:sz w:val="20"/>
                <w:szCs w:val="20"/>
              </w:rPr>
            </w:pPr>
          </w:p>
        </w:tc>
        <w:tc>
          <w:tcPr>
            <w:tcW w:w="1845" w:type="dxa"/>
            <w:vMerge/>
            <w:tcBorders>
              <w:left w:val="single" w:sz="4" w:space="0" w:color="auto"/>
              <w:bottom w:val="single" w:sz="4" w:space="0" w:color="auto"/>
              <w:right w:val="single" w:sz="4" w:space="0" w:color="auto"/>
            </w:tcBorders>
          </w:tcPr>
          <w:p w14:paraId="2B9A5067" w14:textId="77777777" w:rsidR="002508D3" w:rsidRDefault="002508D3" w:rsidP="002508D3">
            <w:pPr>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5A0B4A32" w14:textId="1FFCF324" w:rsidR="002508D3" w:rsidRDefault="002508D3" w:rsidP="002508D3">
            <w:pPr>
              <w:ind w:firstLine="0"/>
              <w:rPr>
                <w:rFonts w:eastAsia="Times New Roman" w:cs="Times New Roman"/>
                <w:color w:val="000000"/>
                <w:sz w:val="20"/>
                <w:szCs w:val="20"/>
              </w:rPr>
            </w:pPr>
            <w:r>
              <w:rPr>
                <w:rFonts w:eastAsia="Times New Roman" w:cs="Times New Roman"/>
                <w:color w:val="000000"/>
                <w:sz w:val="20"/>
                <w:szCs w:val="20"/>
              </w:rPr>
              <w:t>A 4.</w:t>
            </w:r>
            <w:r w:rsidR="00056FC5">
              <w:rPr>
                <w:rFonts w:eastAsia="Times New Roman" w:cs="Times New Roman"/>
                <w:color w:val="000000"/>
                <w:sz w:val="20"/>
                <w:szCs w:val="20"/>
              </w:rPr>
              <w:t>5</w:t>
            </w:r>
            <w:r>
              <w:rPr>
                <w:rFonts w:eastAsia="Times New Roman" w:cs="Times New Roman"/>
                <w:color w:val="000000"/>
                <w:sz w:val="20"/>
                <w:szCs w:val="20"/>
              </w:rPr>
              <w:t xml:space="preserve">.4 Testarea și definirea metodelor de pregătire a infrastructurii fizice a carierei în timpul proceselor de exploatare, pentru a facilita stabilirea planurilor de refacere care să crească serviciile ecosistemice și biodiversitatea în perioada </w:t>
            </w:r>
            <w:sdt>
              <w:sdtPr>
                <w:tag w:val="goog_rdk_55"/>
                <w:id w:val="-686288460"/>
              </w:sdtPr>
              <w:sdtContent>
                <w:r>
                  <w:rPr>
                    <w:rFonts w:eastAsia="Times New Roman" w:cs="Times New Roman"/>
                    <w:color w:val="000000"/>
                    <w:sz w:val="20"/>
                    <w:szCs w:val="20"/>
                  </w:rPr>
                  <w:t>post-exploatare</w:t>
                </w:r>
              </w:sdtContent>
            </w:sdt>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E2A44A4" w14:textId="77777777" w:rsidR="002508D3" w:rsidRDefault="002508D3" w:rsidP="002508D3">
            <w:pPr>
              <w:ind w:firstLine="0"/>
              <w:rPr>
                <w:rFonts w:eastAsia="Times New Roman" w:cs="Times New Roman"/>
                <w:color w:val="000000"/>
              </w:rPr>
            </w:pPr>
            <w:r w:rsidRPr="002508D3">
              <w:rPr>
                <w:rFonts w:eastAsia="Times New Roman" w:cs="Times New Roman"/>
                <w:color w:val="000000"/>
                <w:sz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69837AC" w14:textId="77777777" w:rsidR="002508D3" w:rsidRPr="00473248" w:rsidRDefault="002508D3" w:rsidP="002508D3">
            <w:pPr>
              <w:ind w:firstLine="0"/>
              <w:rPr>
                <w:rFonts w:eastAsia="Times New Roman" w:cs="Times New Roman"/>
                <w:color w:val="000000"/>
                <w:sz w:val="20"/>
                <w:szCs w:val="20"/>
              </w:rPr>
            </w:pPr>
            <w:r w:rsidRPr="00473248">
              <w:rPr>
                <w:rFonts w:eastAsia="Times New Roman" w:cs="Times New Roman"/>
                <w:color w:val="000000"/>
                <w:sz w:val="20"/>
                <w:szCs w:val="20"/>
              </w:rPr>
              <w:t>2040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89C9123" w14:textId="77777777" w:rsidR="002508D3" w:rsidRDefault="002508D3" w:rsidP="002508D3">
            <w:pPr>
              <w:spacing w:after="0" w:line="257" w:lineRule="auto"/>
              <w:ind w:firstLine="51"/>
              <w:rPr>
                <w:rFonts w:eastAsia="Times New Roman" w:cs="Times New Roman"/>
                <w:color w:val="000000"/>
                <w:sz w:val="20"/>
                <w:szCs w:val="20"/>
              </w:rPr>
            </w:pPr>
            <w:r>
              <w:rPr>
                <w:rFonts w:eastAsia="Times New Roman" w:cs="Times New Roman"/>
                <w:color w:val="000000"/>
                <w:sz w:val="20"/>
                <w:szCs w:val="20"/>
              </w:rPr>
              <w:t>MMAP, MCID (INCD-uri) și ME (departamente de cercetare din universități)</w:t>
            </w:r>
          </w:p>
        </w:tc>
        <w:tc>
          <w:tcPr>
            <w:tcW w:w="1702" w:type="dxa"/>
            <w:vMerge/>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7978A269" w14:textId="77777777" w:rsidR="002508D3" w:rsidRDefault="002508D3" w:rsidP="002508D3">
            <w:pPr>
              <w:widowControl w:val="0"/>
              <w:pBdr>
                <w:top w:val="nil"/>
                <w:left w:val="nil"/>
                <w:bottom w:val="nil"/>
                <w:right w:val="nil"/>
                <w:between w:val="nil"/>
              </w:pBdr>
              <w:spacing w:after="0"/>
              <w:rPr>
                <w:rFonts w:eastAsia="Times New Roman" w:cs="Times New Roman"/>
                <w:color w:val="000000"/>
                <w:sz w:val="20"/>
                <w:szCs w:val="20"/>
              </w:rPr>
            </w:pPr>
          </w:p>
        </w:tc>
      </w:tr>
    </w:tbl>
    <w:p w14:paraId="037380B9" w14:textId="77777777" w:rsidR="002508D3" w:rsidRDefault="002508D3" w:rsidP="002508D3">
      <w:pPr>
        <w:rPr>
          <w:rFonts w:eastAsia="Times New Roman" w:cs="Times New Roman"/>
        </w:rPr>
      </w:pPr>
    </w:p>
    <w:p w14:paraId="011DF827" w14:textId="77777777" w:rsidR="002508D3" w:rsidRDefault="002508D3" w:rsidP="002508D3">
      <w:pPr>
        <w:spacing w:before="0"/>
        <w:rPr>
          <w:rFonts w:eastAsia="Times New Roman" w:cs="Times New Roman"/>
        </w:rPr>
      </w:pPr>
      <w:r>
        <w:rPr>
          <w:rFonts w:eastAsia="Times New Roman" w:cs="Times New Roman"/>
        </w:rPr>
        <w:t>Activitățile ce se vor realiza în vederea implementării p</w:t>
      </w:r>
      <w:r w:rsidRPr="00DD49F4">
        <w:rPr>
          <w:rFonts w:eastAsia="Times New Roman" w:cs="Times New Roman"/>
        </w:rPr>
        <w:t>rogramului de</w:t>
      </w:r>
      <w:r>
        <w:rPr>
          <w:rFonts w:eastAsia="Times New Roman" w:cs="Times New Roman"/>
          <w:b/>
          <w:i/>
        </w:rPr>
        <w:t xml:space="preserve"> Măsuri pentru remedierea poluării</w:t>
      </w:r>
      <w:r>
        <w:rPr>
          <w:rFonts w:eastAsia="Times New Roman" w:cs="Times New Roman"/>
        </w:rPr>
        <w:t xml:space="preserve"> sunt prezentate în Tabelul de mai jos, unde sunt indicate termenele de implementare, organizațiile responsabile pentru realizarea activităților, și implicit implementarea măsurilor, precum și posibilele surse de finanțare.</w:t>
      </w:r>
    </w:p>
    <w:tbl>
      <w:tblPr>
        <w:tblW w:w="14056" w:type="dxa"/>
        <w:tblInd w:w="-22" w:type="dxa"/>
        <w:tblBorders>
          <w:top w:val="nil"/>
          <w:left w:val="nil"/>
          <w:bottom w:val="nil"/>
          <w:right w:val="nil"/>
          <w:insideH w:val="nil"/>
          <w:insideV w:val="nil"/>
        </w:tblBorders>
        <w:tblLayout w:type="fixed"/>
        <w:tblLook w:val="0600" w:firstRow="0" w:lastRow="0" w:firstColumn="0" w:lastColumn="0" w:noHBand="1" w:noVBand="1"/>
      </w:tblPr>
      <w:tblGrid>
        <w:gridCol w:w="1892"/>
        <w:gridCol w:w="2109"/>
        <w:gridCol w:w="4251"/>
        <w:gridCol w:w="1274"/>
        <w:gridCol w:w="1415"/>
        <w:gridCol w:w="1416"/>
        <w:gridCol w:w="1699"/>
      </w:tblGrid>
      <w:tr w:rsidR="002508D3" w14:paraId="7F097D8B" w14:textId="77777777" w:rsidTr="002508D3">
        <w:trPr>
          <w:trHeight w:val="570"/>
        </w:trPr>
        <w:tc>
          <w:tcPr>
            <w:tcW w:w="1892" w:type="dxa"/>
            <w:tcBorders>
              <w:top w:val="single" w:sz="5" w:space="0" w:color="000000"/>
              <w:left w:val="single" w:sz="5" w:space="0" w:color="000000"/>
              <w:bottom w:val="single" w:sz="5" w:space="0" w:color="000000"/>
              <w:right w:val="single" w:sz="4" w:space="0" w:color="auto"/>
            </w:tcBorders>
            <w:tcMar>
              <w:top w:w="0" w:type="dxa"/>
              <w:left w:w="100" w:type="dxa"/>
              <w:bottom w:w="0" w:type="dxa"/>
              <w:right w:w="100" w:type="dxa"/>
            </w:tcMar>
          </w:tcPr>
          <w:p w14:paraId="75C59375" w14:textId="77777777" w:rsidR="002508D3" w:rsidRDefault="002508D3" w:rsidP="002508D3">
            <w:pPr>
              <w:spacing w:after="0" w:line="240" w:lineRule="auto"/>
              <w:ind w:firstLine="0"/>
              <w:rPr>
                <w:rFonts w:eastAsia="Times New Roman" w:cs="Times New Roman"/>
                <w:sz w:val="20"/>
                <w:szCs w:val="20"/>
              </w:rPr>
            </w:pPr>
            <w:bookmarkStart w:id="147" w:name="_heading=h.43ky6rz" w:colFirst="0" w:colLast="0"/>
            <w:bookmarkEnd w:id="147"/>
            <w:r>
              <w:rPr>
                <w:rFonts w:eastAsia="Times New Roman" w:cs="Times New Roman"/>
                <w:sz w:val="20"/>
                <w:szCs w:val="20"/>
              </w:rPr>
              <w:t>Măsură</w:t>
            </w:r>
          </w:p>
        </w:tc>
        <w:tc>
          <w:tcPr>
            <w:tcW w:w="2109" w:type="dxa"/>
            <w:tcBorders>
              <w:top w:val="single" w:sz="4" w:space="0" w:color="auto"/>
              <w:left w:val="single" w:sz="4" w:space="0" w:color="auto"/>
              <w:bottom w:val="single" w:sz="4" w:space="0" w:color="auto"/>
              <w:right w:val="single" w:sz="4" w:space="0" w:color="auto"/>
            </w:tcBorders>
          </w:tcPr>
          <w:p w14:paraId="37B6DE8D"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Obiective vizate</w:t>
            </w:r>
          </w:p>
        </w:tc>
        <w:tc>
          <w:tcPr>
            <w:tcW w:w="4251" w:type="dxa"/>
            <w:tcBorders>
              <w:top w:val="single" w:sz="5" w:space="0" w:color="000000"/>
              <w:left w:val="single" w:sz="4" w:space="0" w:color="auto"/>
              <w:bottom w:val="single" w:sz="5" w:space="0" w:color="000000"/>
              <w:right w:val="single" w:sz="5" w:space="0" w:color="000000"/>
            </w:tcBorders>
            <w:tcMar>
              <w:top w:w="0" w:type="dxa"/>
              <w:left w:w="100" w:type="dxa"/>
              <w:bottom w:w="0" w:type="dxa"/>
              <w:right w:w="100" w:type="dxa"/>
            </w:tcMar>
          </w:tcPr>
          <w:p w14:paraId="7D848D94"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Activitate</w:t>
            </w:r>
          </w:p>
        </w:tc>
        <w:tc>
          <w:tcPr>
            <w:tcW w:w="1274"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6138561B" w14:textId="77777777" w:rsidR="002508D3" w:rsidRDefault="002508D3" w:rsidP="002508D3">
            <w:pPr>
              <w:spacing w:after="0" w:line="240" w:lineRule="auto"/>
              <w:ind w:firstLine="26"/>
              <w:rPr>
                <w:rFonts w:eastAsia="Times New Roman" w:cs="Times New Roman"/>
                <w:sz w:val="20"/>
                <w:szCs w:val="20"/>
              </w:rPr>
            </w:pPr>
            <w:r>
              <w:rPr>
                <w:rFonts w:eastAsia="Times New Roman" w:cs="Times New Roman"/>
                <w:sz w:val="20"/>
                <w:szCs w:val="20"/>
              </w:rPr>
              <w:t>Prioritate</w:t>
            </w:r>
          </w:p>
        </w:tc>
        <w:tc>
          <w:tcPr>
            <w:tcW w:w="141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494C4703" w14:textId="77777777" w:rsidR="002508D3" w:rsidRDefault="002508D3" w:rsidP="002508D3">
            <w:pPr>
              <w:spacing w:after="0" w:line="240" w:lineRule="auto"/>
              <w:ind w:firstLine="27"/>
              <w:rPr>
                <w:rFonts w:eastAsia="Times New Roman" w:cs="Times New Roman"/>
                <w:sz w:val="20"/>
                <w:szCs w:val="20"/>
              </w:rPr>
            </w:pPr>
            <w:r>
              <w:rPr>
                <w:rFonts w:eastAsia="Times New Roman" w:cs="Times New Roman"/>
                <w:sz w:val="20"/>
                <w:szCs w:val="20"/>
              </w:rPr>
              <w:t>Termen de implementare</w:t>
            </w:r>
          </w:p>
        </w:tc>
        <w:tc>
          <w:tcPr>
            <w:tcW w:w="1416"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E4D2BF0" w14:textId="77777777" w:rsidR="002508D3" w:rsidRDefault="002508D3" w:rsidP="002508D3">
            <w:pPr>
              <w:spacing w:after="0" w:line="240" w:lineRule="auto"/>
              <w:ind w:firstLine="30"/>
              <w:rPr>
                <w:rFonts w:eastAsia="Times New Roman" w:cs="Times New Roman"/>
                <w:sz w:val="20"/>
                <w:szCs w:val="20"/>
              </w:rPr>
            </w:pPr>
            <w:r>
              <w:rPr>
                <w:rFonts w:eastAsia="Times New Roman" w:cs="Times New Roman"/>
                <w:sz w:val="20"/>
                <w:szCs w:val="20"/>
              </w:rPr>
              <w:t>Instituții responsabile</w:t>
            </w:r>
          </w:p>
        </w:tc>
        <w:tc>
          <w:tcPr>
            <w:tcW w:w="1699"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419B549A"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Finanțare</w:t>
            </w:r>
          </w:p>
        </w:tc>
      </w:tr>
      <w:tr w:rsidR="002508D3" w14:paraId="0AA61BE2" w14:textId="77777777" w:rsidTr="002508D3">
        <w:trPr>
          <w:trHeight w:val="420"/>
        </w:trPr>
        <w:tc>
          <w:tcPr>
            <w:tcW w:w="1892" w:type="dxa"/>
            <w:vMerge w:val="restart"/>
            <w:tcBorders>
              <w:top w:val="nil"/>
              <w:left w:val="single" w:sz="5" w:space="0" w:color="000000"/>
              <w:bottom w:val="single" w:sz="5" w:space="0" w:color="000000"/>
              <w:right w:val="single" w:sz="4" w:space="0" w:color="auto"/>
            </w:tcBorders>
            <w:shd w:val="clear" w:color="auto" w:fill="auto"/>
            <w:tcMar>
              <w:top w:w="100" w:type="dxa"/>
              <w:left w:w="100" w:type="dxa"/>
              <w:bottom w:w="100" w:type="dxa"/>
              <w:right w:w="100" w:type="dxa"/>
            </w:tcMar>
          </w:tcPr>
          <w:p w14:paraId="2A224964" w14:textId="4935B36F"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 xml:space="preserve">M5.1 </w:t>
            </w:r>
            <w:r w:rsidR="00B02DAD">
              <w:rPr>
                <w:rFonts w:eastAsia="Times New Roman" w:cs="Times New Roman"/>
                <w:sz w:val="20"/>
                <w:szCs w:val="20"/>
              </w:rPr>
              <w:t>Gestionarea</w:t>
            </w:r>
            <w:r>
              <w:rPr>
                <w:rFonts w:eastAsia="Times New Roman" w:cs="Times New Roman"/>
                <w:sz w:val="20"/>
                <w:szCs w:val="20"/>
              </w:rPr>
              <w:t xml:space="preserve"> siturilor contaminate și potențial contaminate din zona costieră </w:t>
            </w:r>
          </w:p>
          <w:p w14:paraId="0066399A" w14:textId="77777777" w:rsidR="002508D3" w:rsidRDefault="002508D3" w:rsidP="002508D3">
            <w:pPr>
              <w:spacing w:after="0" w:line="240" w:lineRule="auto"/>
              <w:ind w:firstLine="0"/>
              <w:rPr>
                <w:rFonts w:eastAsia="Times New Roman" w:cs="Times New Roman"/>
                <w:sz w:val="20"/>
                <w:szCs w:val="20"/>
              </w:rPr>
            </w:pPr>
          </w:p>
        </w:tc>
        <w:tc>
          <w:tcPr>
            <w:tcW w:w="2109" w:type="dxa"/>
            <w:vMerge w:val="restart"/>
            <w:tcBorders>
              <w:top w:val="single" w:sz="4" w:space="0" w:color="auto"/>
              <w:left w:val="single" w:sz="4" w:space="0" w:color="auto"/>
              <w:right w:val="single" w:sz="4" w:space="0" w:color="auto"/>
            </w:tcBorders>
          </w:tcPr>
          <w:p w14:paraId="6CBC8C3B" w14:textId="77777777" w:rsidR="002508D3" w:rsidRPr="00DF369E" w:rsidRDefault="002508D3" w:rsidP="002508D3">
            <w:pPr>
              <w:spacing w:line="240" w:lineRule="auto"/>
              <w:ind w:firstLine="0"/>
              <w:rPr>
                <w:rFonts w:eastAsia="Times New Roman" w:cs="Times New Roman"/>
                <w:sz w:val="20"/>
                <w:szCs w:val="20"/>
              </w:rPr>
            </w:pPr>
            <w:r w:rsidRPr="00DF369E">
              <w:rPr>
                <w:rFonts w:eastAsia="Times New Roman" w:cs="Times New Roman"/>
                <w:sz w:val="20"/>
                <w:szCs w:val="20"/>
              </w:rPr>
              <w:lastRenderedPageBreak/>
              <w:t xml:space="preserve">Os2.b Gestionarea, revitalizare și reabilitarea zonelor </w:t>
            </w:r>
            <w:r w:rsidRPr="00DF369E">
              <w:rPr>
                <w:rFonts w:eastAsia="Times New Roman" w:cs="Times New Roman"/>
                <w:sz w:val="20"/>
                <w:szCs w:val="20"/>
              </w:rPr>
              <w:lastRenderedPageBreak/>
              <w:t>urbane şi rurale poluate;</w:t>
            </w:r>
          </w:p>
          <w:p w14:paraId="185C919F" w14:textId="77777777" w:rsidR="002508D3" w:rsidRDefault="002508D3" w:rsidP="002508D3">
            <w:pPr>
              <w:spacing w:line="240" w:lineRule="auto"/>
              <w:ind w:firstLine="0"/>
              <w:rPr>
                <w:rFonts w:eastAsia="Times New Roman" w:cs="Times New Roman"/>
                <w:sz w:val="20"/>
                <w:szCs w:val="20"/>
              </w:rPr>
            </w:pPr>
            <w:r w:rsidRPr="00DF369E">
              <w:rPr>
                <w:rFonts w:eastAsia="Times New Roman" w:cs="Times New Roman"/>
                <w:sz w:val="20"/>
                <w:szCs w:val="20"/>
              </w:rPr>
              <w:t>Os2.c Stimularea dezvoltării infrastructurii verzi.</w:t>
            </w:r>
          </w:p>
        </w:tc>
        <w:tc>
          <w:tcPr>
            <w:tcW w:w="4251"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324B4F10"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lastRenderedPageBreak/>
              <w:t>A 5.1.1 Actualizarea inventarului siturilor contaminate și potențial contaminate</w:t>
            </w:r>
          </w:p>
        </w:tc>
        <w:tc>
          <w:tcPr>
            <w:tcW w:w="1274"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E24EB89" w14:textId="77777777" w:rsidR="002508D3" w:rsidRDefault="002508D3" w:rsidP="002508D3">
            <w:pPr>
              <w:spacing w:after="0" w:line="240" w:lineRule="auto"/>
              <w:ind w:firstLine="26"/>
              <w:rPr>
                <w:rFonts w:eastAsia="Times New Roman" w:cs="Times New Roman"/>
                <w:sz w:val="20"/>
                <w:szCs w:val="20"/>
              </w:rPr>
            </w:pPr>
            <w:r>
              <w:rPr>
                <w:rFonts w:eastAsia="Times New Roman" w:cs="Times New Roman"/>
                <w:sz w:val="20"/>
                <w:szCs w:val="20"/>
              </w:rPr>
              <w:t>Ridicată</w:t>
            </w:r>
          </w:p>
        </w:tc>
        <w:tc>
          <w:tcPr>
            <w:tcW w:w="141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96CAEA0" w14:textId="77777777" w:rsidR="002508D3" w:rsidRDefault="002508D3" w:rsidP="002508D3">
            <w:pPr>
              <w:spacing w:after="0" w:line="240" w:lineRule="auto"/>
              <w:ind w:firstLine="27"/>
              <w:rPr>
                <w:rFonts w:eastAsia="Times New Roman" w:cs="Times New Roman"/>
                <w:sz w:val="20"/>
                <w:szCs w:val="20"/>
              </w:rPr>
            </w:pPr>
            <w:r>
              <w:rPr>
                <w:rFonts w:eastAsia="Times New Roman" w:cs="Times New Roman"/>
                <w:sz w:val="20"/>
                <w:szCs w:val="20"/>
              </w:rPr>
              <w:t>2027</w:t>
            </w:r>
          </w:p>
        </w:tc>
        <w:tc>
          <w:tcPr>
            <w:tcW w:w="141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9741162" w14:textId="5D9221D3" w:rsidR="002508D3" w:rsidRDefault="002508D3" w:rsidP="002508D3">
            <w:pPr>
              <w:spacing w:after="0" w:line="240" w:lineRule="auto"/>
              <w:ind w:firstLine="30"/>
              <w:rPr>
                <w:rFonts w:eastAsia="Times New Roman" w:cs="Times New Roman"/>
                <w:sz w:val="20"/>
                <w:szCs w:val="20"/>
              </w:rPr>
            </w:pPr>
            <w:r>
              <w:rPr>
                <w:rFonts w:eastAsia="Times New Roman" w:cs="Times New Roman"/>
                <w:sz w:val="20"/>
                <w:szCs w:val="20"/>
              </w:rPr>
              <w:t>MMAP</w:t>
            </w:r>
            <w:r w:rsidR="00B02DAD">
              <w:rPr>
                <w:rFonts w:eastAsia="Times New Roman" w:cs="Times New Roman"/>
                <w:sz w:val="20"/>
                <w:szCs w:val="20"/>
              </w:rPr>
              <w:t>, autorități locale</w:t>
            </w:r>
            <w:r>
              <w:rPr>
                <w:rFonts w:eastAsia="Times New Roman" w:cs="Times New Roman"/>
                <w:sz w:val="20"/>
                <w:szCs w:val="20"/>
              </w:rPr>
              <w:t xml:space="preserve"> </w:t>
            </w:r>
          </w:p>
        </w:tc>
        <w:tc>
          <w:tcPr>
            <w:tcW w:w="1699"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E526980" w14:textId="4DF3E736"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 xml:space="preserve">Programul de Dezvoltare Durabilă, Programul InvestEU) și </w:t>
            </w:r>
            <w:r>
              <w:rPr>
                <w:rFonts w:eastAsia="Times New Roman" w:cs="Times New Roman"/>
                <w:sz w:val="20"/>
                <w:szCs w:val="20"/>
              </w:rPr>
              <w:lastRenderedPageBreak/>
              <w:t>naționale (PNCDI IV, fonduri proprii ale MMAP*</w:t>
            </w:r>
            <w:r w:rsidR="00B02DAD">
              <w:rPr>
                <w:rFonts w:eastAsia="Times New Roman" w:cs="Times New Roman"/>
                <w:sz w:val="20"/>
                <w:szCs w:val="20"/>
              </w:rPr>
              <w:t>, bugetul local</w:t>
            </w:r>
          </w:p>
        </w:tc>
      </w:tr>
      <w:tr w:rsidR="00E65A44" w14:paraId="7680893E" w14:textId="77777777" w:rsidTr="00B615BD">
        <w:trPr>
          <w:trHeight w:val="420"/>
        </w:trPr>
        <w:tc>
          <w:tcPr>
            <w:tcW w:w="1892" w:type="dxa"/>
            <w:vMerge/>
            <w:tcBorders>
              <w:top w:val="nil"/>
              <w:left w:val="single" w:sz="5" w:space="0" w:color="000000"/>
              <w:bottom w:val="single" w:sz="5" w:space="0" w:color="000000"/>
              <w:right w:val="single" w:sz="4" w:space="0" w:color="auto"/>
            </w:tcBorders>
            <w:shd w:val="clear" w:color="auto" w:fill="auto"/>
            <w:tcMar>
              <w:top w:w="100" w:type="dxa"/>
              <w:left w:w="100" w:type="dxa"/>
              <w:bottom w:w="100" w:type="dxa"/>
              <w:right w:w="100" w:type="dxa"/>
            </w:tcMar>
          </w:tcPr>
          <w:p w14:paraId="2188726A" w14:textId="77777777" w:rsidR="00E65A44" w:rsidRDefault="00E65A44" w:rsidP="00E65A44">
            <w:pPr>
              <w:widowControl w:val="0"/>
              <w:pBdr>
                <w:top w:val="nil"/>
                <w:left w:val="nil"/>
                <w:bottom w:val="nil"/>
                <w:right w:val="nil"/>
                <w:between w:val="nil"/>
              </w:pBdr>
              <w:spacing w:after="0"/>
              <w:ind w:firstLine="0"/>
              <w:rPr>
                <w:rFonts w:eastAsia="Times New Roman" w:cs="Times New Roman"/>
                <w:sz w:val="20"/>
                <w:szCs w:val="20"/>
              </w:rPr>
            </w:pPr>
          </w:p>
        </w:tc>
        <w:tc>
          <w:tcPr>
            <w:tcW w:w="2109" w:type="dxa"/>
            <w:vMerge/>
            <w:tcBorders>
              <w:left w:val="single" w:sz="4" w:space="0" w:color="auto"/>
              <w:right w:val="single" w:sz="4" w:space="0" w:color="auto"/>
            </w:tcBorders>
          </w:tcPr>
          <w:p w14:paraId="0A9A00A9" w14:textId="77777777" w:rsidR="00E65A44" w:rsidRDefault="00E65A44" w:rsidP="00E65A44">
            <w:pPr>
              <w:spacing w:after="0" w:line="240" w:lineRule="auto"/>
              <w:ind w:firstLine="0"/>
              <w:rPr>
                <w:rFonts w:eastAsia="Times New Roman" w:cs="Times New Roman"/>
                <w:sz w:val="20"/>
                <w:szCs w:val="20"/>
              </w:rPr>
            </w:pPr>
          </w:p>
        </w:tc>
        <w:tc>
          <w:tcPr>
            <w:tcW w:w="4251"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5118170E" w14:textId="49D6C5AE" w:rsidR="00E65A44" w:rsidRDefault="00E65A44" w:rsidP="00E65A44">
            <w:pPr>
              <w:spacing w:after="0" w:line="240" w:lineRule="auto"/>
              <w:ind w:firstLine="0"/>
              <w:rPr>
                <w:rFonts w:eastAsia="Times New Roman" w:cs="Times New Roman"/>
                <w:sz w:val="20"/>
                <w:szCs w:val="20"/>
              </w:rPr>
            </w:pPr>
            <w:r>
              <w:rPr>
                <w:rFonts w:eastAsia="Times New Roman" w:cs="Times New Roman"/>
                <w:sz w:val="20"/>
                <w:szCs w:val="20"/>
              </w:rPr>
              <w:t xml:space="preserve">A 5.1.2 Identificarea și aplicarea de noi soluții ecologice, inovative, pentru remedierea siturilor </w:t>
            </w:r>
            <w:r w:rsidR="00B02DAD">
              <w:rPr>
                <w:rFonts w:eastAsia="Times New Roman" w:cs="Times New Roman"/>
                <w:sz w:val="20"/>
                <w:szCs w:val="20"/>
              </w:rPr>
              <w:t>contaminate</w:t>
            </w:r>
            <w:r>
              <w:rPr>
                <w:rFonts w:eastAsia="Times New Roman" w:cs="Times New Roman"/>
                <w:sz w:val="20"/>
                <w:szCs w:val="20"/>
              </w:rPr>
              <w:t>, cât și a celor din proximitatea acestora</w:t>
            </w:r>
          </w:p>
        </w:tc>
        <w:tc>
          <w:tcPr>
            <w:tcW w:w="1274"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4394EC0" w14:textId="77777777" w:rsidR="00E65A44" w:rsidRDefault="00E65A44" w:rsidP="00E65A44">
            <w:pPr>
              <w:spacing w:after="0" w:line="240" w:lineRule="auto"/>
              <w:ind w:firstLine="26"/>
              <w:rPr>
                <w:rFonts w:eastAsia="Times New Roman" w:cs="Times New Roman"/>
                <w:sz w:val="20"/>
                <w:szCs w:val="20"/>
              </w:rPr>
            </w:pPr>
            <w:r>
              <w:rPr>
                <w:rFonts w:eastAsia="Times New Roman" w:cs="Times New Roman"/>
                <w:sz w:val="20"/>
                <w:szCs w:val="20"/>
              </w:rPr>
              <w:t>Ridicată</w:t>
            </w:r>
          </w:p>
        </w:tc>
        <w:tc>
          <w:tcPr>
            <w:tcW w:w="141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58EED59" w14:textId="77777777" w:rsidR="00E65A44" w:rsidRDefault="00E65A44" w:rsidP="00E65A44">
            <w:pPr>
              <w:spacing w:after="0" w:line="240" w:lineRule="auto"/>
              <w:ind w:firstLine="27"/>
              <w:rPr>
                <w:rFonts w:eastAsia="Times New Roman" w:cs="Times New Roman"/>
                <w:sz w:val="20"/>
                <w:szCs w:val="20"/>
              </w:rPr>
            </w:pPr>
            <w:r>
              <w:rPr>
                <w:rFonts w:eastAsia="Times New Roman" w:cs="Times New Roman"/>
                <w:sz w:val="20"/>
                <w:szCs w:val="20"/>
              </w:rPr>
              <w:t>2030</w:t>
            </w:r>
          </w:p>
        </w:tc>
        <w:tc>
          <w:tcPr>
            <w:tcW w:w="141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73441C2" w14:textId="77777777" w:rsidR="00E65A44" w:rsidRDefault="00E65A44" w:rsidP="00E65A44">
            <w:pPr>
              <w:spacing w:after="0" w:line="240" w:lineRule="auto"/>
              <w:ind w:firstLine="30"/>
              <w:rPr>
                <w:rFonts w:eastAsia="Times New Roman" w:cs="Times New Roman"/>
                <w:sz w:val="20"/>
                <w:szCs w:val="20"/>
              </w:rPr>
            </w:pPr>
            <w:r>
              <w:rPr>
                <w:rFonts w:eastAsia="Times New Roman" w:cs="Times New Roman"/>
                <w:sz w:val="20"/>
                <w:szCs w:val="20"/>
              </w:rPr>
              <w:t>MMAP, MCID (INCD-uri), ME (departamente de cercetare din universități)</w:t>
            </w:r>
          </w:p>
        </w:tc>
        <w:tc>
          <w:tcPr>
            <w:tcW w:w="1699" w:type="dxa"/>
            <w:vMerge w:val="restart"/>
            <w:tcBorders>
              <w:top w:val="nil"/>
              <w:left w:val="nil"/>
              <w:right w:val="single" w:sz="5" w:space="0" w:color="000000"/>
            </w:tcBorders>
            <w:shd w:val="clear" w:color="auto" w:fill="auto"/>
            <w:tcMar>
              <w:top w:w="0" w:type="dxa"/>
              <w:left w:w="100" w:type="dxa"/>
              <w:bottom w:w="0" w:type="dxa"/>
              <w:right w:w="100" w:type="dxa"/>
            </w:tcMar>
          </w:tcPr>
          <w:p w14:paraId="4ACB5B76" w14:textId="561597CD" w:rsidR="00E65A44" w:rsidRDefault="00E65A44" w:rsidP="00E65A44">
            <w:pPr>
              <w:widowControl w:val="0"/>
              <w:pBdr>
                <w:top w:val="nil"/>
                <w:left w:val="nil"/>
                <w:bottom w:val="nil"/>
                <w:right w:val="nil"/>
                <w:between w:val="nil"/>
              </w:pBdr>
              <w:spacing w:after="0"/>
              <w:ind w:firstLine="0"/>
              <w:rPr>
                <w:rFonts w:eastAsia="Times New Roman" w:cs="Times New Roman"/>
                <w:sz w:val="20"/>
                <w:szCs w:val="20"/>
              </w:rPr>
            </w:pPr>
            <w:r>
              <w:rPr>
                <w:rFonts w:eastAsia="Times New Roman" w:cs="Times New Roman"/>
                <w:sz w:val="20"/>
                <w:szCs w:val="20"/>
              </w:rPr>
              <w:t>Programul Regional Sud-Est, Programul de Dezvoltare Durabilă, Programul InvestEU) și naționale (PNCDI IV, fonduri proprii ale MMAP*</w:t>
            </w:r>
            <w:r w:rsidR="00B02DAD">
              <w:rPr>
                <w:rFonts w:eastAsia="Times New Roman" w:cs="Times New Roman"/>
                <w:sz w:val="20"/>
                <w:szCs w:val="20"/>
              </w:rPr>
              <w:t>, bugetul local</w:t>
            </w:r>
          </w:p>
        </w:tc>
      </w:tr>
      <w:tr w:rsidR="00E65A44" w14:paraId="3AE37D6E" w14:textId="77777777" w:rsidTr="00B615BD">
        <w:trPr>
          <w:trHeight w:val="420"/>
        </w:trPr>
        <w:tc>
          <w:tcPr>
            <w:tcW w:w="1892" w:type="dxa"/>
            <w:vMerge/>
            <w:tcBorders>
              <w:top w:val="nil"/>
              <w:left w:val="single" w:sz="5" w:space="0" w:color="000000"/>
              <w:bottom w:val="single" w:sz="5" w:space="0" w:color="000000"/>
              <w:right w:val="single" w:sz="4" w:space="0" w:color="auto"/>
            </w:tcBorders>
            <w:shd w:val="clear" w:color="auto" w:fill="auto"/>
            <w:tcMar>
              <w:top w:w="100" w:type="dxa"/>
              <w:left w:w="100" w:type="dxa"/>
              <w:bottom w:w="100" w:type="dxa"/>
              <w:right w:w="100" w:type="dxa"/>
            </w:tcMar>
          </w:tcPr>
          <w:p w14:paraId="3C1E0563" w14:textId="77777777" w:rsidR="00E65A44" w:rsidRDefault="00E65A44" w:rsidP="00E65A44">
            <w:pPr>
              <w:widowControl w:val="0"/>
              <w:pBdr>
                <w:top w:val="nil"/>
                <w:left w:val="nil"/>
                <w:bottom w:val="nil"/>
                <w:right w:val="nil"/>
                <w:between w:val="nil"/>
              </w:pBdr>
              <w:spacing w:after="0"/>
              <w:ind w:firstLine="0"/>
              <w:rPr>
                <w:rFonts w:eastAsia="Times New Roman" w:cs="Times New Roman"/>
                <w:sz w:val="20"/>
                <w:szCs w:val="20"/>
              </w:rPr>
            </w:pPr>
          </w:p>
        </w:tc>
        <w:tc>
          <w:tcPr>
            <w:tcW w:w="2109" w:type="dxa"/>
            <w:vMerge/>
            <w:tcBorders>
              <w:left w:val="single" w:sz="4" w:space="0" w:color="auto"/>
              <w:bottom w:val="single" w:sz="4" w:space="0" w:color="auto"/>
              <w:right w:val="single" w:sz="4" w:space="0" w:color="auto"/>
            </w:tcBorders>
          </w:tcPr>
          <w:p w14:paraId="66C17629" w14:textId="77777777" w:rsidR="00E65A44" w:rsidRDefault="00E65A44" w:rsidP="00E65A44">
            <w:pPr>
              <w:spacing w:after="0" w:line="240" w:lineRule="auto"/>
              <w:ind w:firstLine="0"/>
              <w:rPr>
                <w:rFonts w:eastAsia="Times New Roman" w:cs="Times New Roman"/>
                <w:sz w:val="20"/>
                <w:szCs w:val="20"/>
              </w:rPr>
            </w:pPr>
          </w:p>
        </w:tc>
        <w:tc>
          <w:tcPr>
            <w:tcW w:w="4251" w:type="dxa"/>
            <w:tcBorders>
              <w:top w:val="nil"/>
              <w:left w:val="single" w:sz="4" w:space="0" w:color="auto"/>
              <w:bottom w:val="single" w:sz="4" w:space="0" w:color="000000"/>
              <w:right w:val="single" w:sz="5" w:space="0" w:color="000000"/>
            </w:tcBorders>
            <w:shd w:val="clear" w:color="auto" w:fill="auto"/>
            <w:tcMar>
              <w:top w:w="0" w:type="dxa"/>
              <w:left w:w="100" w:type="dxa"/>
              <w:bottom w:w="0" w:type="dxa"/>
              <w:right w:w="100" w:type="dxa"/>
            </w:tcMar>
          </w:tcPr>
          <w:p w14:paraId="26DF02E0" w14:textId="77777777" w:rsidR="00E65A44" w:rsidRDefault="00E65A44" w:rsidP="00E65A44">
            <w:pPr>
              <w:spacing w:after="0" w:line="240" w:lineRule="auto"/>
              <w:ind w:firstLine="0"/>
              <w:rPr>
                <w:rFonts w:eastAsia="Times New Roman" w:cs="Times New Roman"/>
                <w:sz w:val="20"/>
                <w:szCs w:val="20"/>
              </w:rPr>
            </w:pPr>
            <w:r>
              <w:rPr>
                <w:rFonts w:eastAsia="Times New Roman" w:cs="Times New Roman"/>
                <w:sz w:val="20"/>
                <w:szCs w:val="20"/>
              </w:rPr>
              <w:t>A 5.1.3 Creșterea capacității de monitorizare post remediere prin sisteme inteligente de supraveghere,control și investigare</w:t>
            </w:r>
          </w:p>
        </w:tc>
        <w:tc>
          <w:tcPr>
            <w:tcW w:w="1274" w:type="dxa"/>
            <w:tcBorders>
              <w:top w:val="nil"/>
              <w:left w:val="nil"/>
              <w:bottom w:val="single" w:sz="4" w:space="0" w:color="000000"/>
              <w:right w:val="single" w:sz="5" w:space="0" w:color="000000"/>
            </w:tcBorders>
            <w:shd w:val="clear" w:color="auto" w:fill="auto"/>
            <w:tcMar>
              <w:top w:w="0" w:type="dxa"/>
              <w:left w:w="100" w:type="dxa"/>
              <w:bottom w:w="0" w:type="dxa"/>
              <w:right w:w="100" w:type="dxa"/>
            </w:tcMar>
          </w:tcPr>
          <w:p w14:paraId="547E0824" w14:textId="77777777" w:rsidR="00E65A44" w:rsidRDefault="00E65A44" w:rsidP="00E65A44">
            <w:pPr>
              <w:spacing w:after="0" w:line="240" w:lineRule="auto"/>
              <w:ind w:firstLine="26"/>
              <w:rPr>
                <w:rFonts w:eastAsia="Times New Roman" w:cs="Times New Roman"/>
                <w:sz w:val="20"/>
                <w:szCs w:val="20"/>
              </w:rPr>
            </w:pPr>
            <w:r>
              <w:rPr>
                <w:rFonts w:eastAsia="Times New Roman" w:cs="Times New Roman"/>
                <w:sz w:val="20"/>
                <w:szCs w:val="20"/>
              </w:rPr>
              <w:t>Medie</w:t>
            </w:r>
          </w:p>
        </w:tc>
        <w:tc>
          <w:tcPr>
            <w:tcW w:w="1415" w:type="dxa"/>
            <w:tcBorders>
              <w:top w:val="nil"/>
              <w:left w:val="nil"/>
              <w:bottom w:val="single" w:sz="4" w:space="0" w:color="000000"/>
              <w:right w:val="single" w:sz="5" w:space="0" w:color="000000"/>
            </w:tcBorders>
            <w:shd w:val="clear" w:color="auto" w:fill="auto"/>
            <w:tcMar>
              <w:top w:w="0" w:type="dxa"/>
              <w:left w:w="100" w:type="dxa"/>
              <w:bottom w:w="0" w:type="dxa"/>
              <w:right w:w="100" w:type="dxa"/>
            </w:tcMar>
          </w:tcPr>
          <w:p w14:paraId="020B32D6" w14:textId="77777777" w:rsidR="00E65A44" w:rsidRDefault="00E65A44" w:rsidP="00E65A44">
            <w:pPr>
              <w:spacing w:after="0" w:line="240" w:lineRule="auto"/>
              <w:ind w:firstLine="27"/>
              <w:rPr>
                <w:rFonts w:eastAsia="Times New Roman" w:cs="Times New Roman"/>
                <w:sz w:val="20"/>
                <w:szCs w:val="20"/>
              </w:rPr>
            </w:pPr>
            <w:r>
              <w:rPr>
                <w:rFonts w:eastAsia="Times New Roman" w:cs="Times New Roman"/>
                <w:sz w:val="20"/>
                <w:szCs w:val="20"/>
              </w:rPr>
              <w:t>2030</w:t>
            </w:r>
          </w:p>
        </w:tc>
        <w:tc>
          <w:tcPr>
            <w:tcW w:w="1416" w:type="dxa"/>
            <w:tcBorders>
              <w:top w:val="nil"/>
              <w:left w:val="nil"/>
              <w:bottom w:val="single" w:sz="4" w:space="0" w:color="000000"/>
              <w:right w:val="single" w:sz="5" w:space="0" w:color="000000"/>
            </w:tcBorders>
            <w:shd w:val="clear" w:color="auto" w:fill="auto"/>
            <w:tcMar>
              <w:top w:w="0" w:type="dxa"/>
              <w:left w:w="100" w:type="dxa"/>
              <w:bottom w:w="0" w:type="dxa"/>
              <w:right w:w="100" w:type="dxa"/>
            </w:tcMar>
          </w:tcPr>
          <w:p w14:paraId="02A9E27C" w14:textId="1C2040DA" w:rsidR="00E65A44" w:rsidRDefault="00E65A44" w:rsidP="00E65A44">
            <w:pPr>
              <w:spacing w:after="0" w:line="240" w:lineRule="auto"/>
              <w:ind w:firstLine="30"/>
              <w:rPr>
                <w:rFonts w:eastAsia="Times New Roman" w:cs="Times New Roman"/>
                <w:sz w:val="20"/>
                <w:szCs w:val="20"/>
              </w:rPr>
            </w:pPr>
            <w:r>
              <w:rPr>
                <w:rFonts w:eastAsia="Times New Roman" w:cs="Times New Roman"/>
                <w:sz w:val="20"/>
                <w:szCs w:val="20"/>
              </w:rPr>
              <w:t xml:space="preserve">MMAP, </w:t>
            </w:r>
            <w:r w:rsidR="00B02DAD">
              <w:rPr>
                <w:rFonts w:eastAsia="Times New Roman" w:cs="Times New Roman"/>
                <w:sz w:val="20"/>
                <w:szCs w:val="20"/>
              </w:rPr>
              <w:t xml:space="preserve">autorități locale, </w:t>
            </w:r>
            <w:r>
              <w:rPr>
                <w:rFonts w:eastAsia="Times New Roman" w:cs="Times New Roman"/>
                <w:sz w:val="20"/>
                <w:szCs w:val="20"/>
              </w:rPr>
              <w:t>MCID (INCD-uri), ME (departamente cercetare din universități)</w:t>
            </w:r>
          </w:p>
        </w:tc>
        <w:tc>
          <w:tcPr>
            <w:tcW w:w="1699" w:type="dxa"/>
            <w:vMerge/>
            <w:tcBorders>
              <w:left w:val="nil"/>
              <w:bottom w:val="single" w:sz="5" w:space="0" w:color="000000"/>
              <w:right w:val="single" w:sz="5" w:space="0" w:color="000000"/>
            </w:tcBorders>
            <w:shd w:val="clear" w:color="auto" w:fill="auto"/>
            <w:tcMar>
              <w:top w:w="0" w:type="dxa"/>
              <w:left w:w="100" w:type="dxa"/>
              <w:bottom w:w="0" w:type="dxa"/>
              <w:right w:w="100" w:type="dxa"/>
            </w:tcMar>
          </w:tcPr>
          <w:p w14:paraId="4A625F01" w14:textId="77777777" w:rsidR="00E65A44" w:rsidRDefault="00E65A44" w:rsidP="00E65A44">
            <w:pPr>
              <w:widowControl w:val="0"/>
              <w:pBdr>
                <w:top w:val="nil"/>
                <w:left w:val="nil"/>
                <w:bottom w:val="nil"/>
                <w:right w:val="nil"/>
                <w:between w:val="nil"/>
              </w:pBdr>
              <w:spacing w:after="0"/>
              <w:ind w:firstLine="0"/>
              <w:rPr>
                <w:rFonts w:eastAsia="Times New Roman" w:cs="Times New Roman"/>
                <w:sz w:val="20"/>
                <w:szCs w:val="20"/>
              </w:rPr>
            </w:pPr>
          </w:p>
        </w:tc>
      </w:tr>
      <w:tr w:rsidR="00E65A44" w14:paraId="3F27CB52" w14:textId="77777777" w:rsidTr="002508D3">
        <w:trPr>
          <w:trHeight w:val="633"/>
        </w:trPr>
        <w:tc>
          <w:tcPr>
            <w:tcW w:w="1892" w:type="dxa"/>
            <w:vMerge w:val="restart"/>
            <w:tcBorders>
              <w:top w:val="single" w:sz="4" w:space="0" w:color="000000"/>
              <w:left w:val="single" w:sz="4" w:space="0" w:color="000000"/>
              <w:right w:val="single" w:sz="4" w:space="0" w:color="auto"/>
            </w:tcBorders>
            <w:shd w:val="clear" w:color="auto" w:fill="auto"/>
            <w:tcMar>
              <w:top w:w="0" w:type="dxa"/>
              <w:left w:w="100" w:type="dxa"/>
              <w:bottom w:w="0" w:type="dxa"/>
              <w:right w:w="100" w:type="dxa"/>
            </w:tcMar>
          </w:tcPr>
          <w:p w14:paraId="444FAF84" w14:textId="77777777" w:rsidR="00E65A44" w:rsidRDefault="00E65A44" w:rsidP="00E65A44">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M5.2 Restaurarea ecologică a lacurilor urbane în scopul valorificării potențialului lor natural și turistic (lacurile Tăbăcărie, Costinești, Belona, Neptun, etc.)</w:t>
            </w:r>
          </w:p>
        </w:tc>
        <w:tc>
          <w:tcPr>
            <w:tcW w:w="2109" w:type="dxa"/>
            <w:vMerge w:val="restart"/>
            <w:tcBorders>
              <w:top w:val="single" w:sz="4" w:space="0" w:color="auto"/>
              <w:left w:val="single" w:sz="4" w:space="0" w:color="auto"/>
              <w:right w:val="single" w:sz="4" w:space="0" w:color="auto"/>
            </w:tcBorders>
          </w:tcPr>
          <w:p w14:paraId="400D2A87" w14:textId="77777777" w:rsidR="00E65A44" w:rsidRPr="00DF369E" w:rsidRDefault="00E65A44" w:rsidP="00E65A44">
            <w:pPr>
              <w:spacing w:line="240" w:lineRule="auto"/>
              <w:ind w:firstLine="0"/>
              <w:rPr>
                <w:rFonts w:eastAsia="Times New Roman" w:cs="Times New Roman"/>
                <w:color w:val="000000"/>
                <w:sz w:val="20"/>
                <w:szCs w:val="20"/>
              </w:rPr>
            </w:pPr>
            <w:r w:rsidRPr="00DF369E">
              <w:rPr>
                <w:rFonts w:eastAsia="Times New Roman" w:cs="Times New Roman"/>
                <w:color w:val="000000"/>
                <w:sz w:val="20"/>
                <w:szCs w:val="20"/>
              </w:rPr>
              <w:t>Os2.b Gestionarea, revitalizare și reabilitarea zonelor urbane şi rurale poluate;</w:t>
            </w:r>
          </w:p>
          <w:p w14:paraId="54255322" w14:textId="77777777" w:rsidR="00E65A44" w:rsidRPr="00DF369E" w:rsidRDefault="00E65A44" w:rsidP="00E65A44">
            <w:pPr>
              <w:spacing w:line="240" w:lineRule="auto"/>
              <w:ind w:firstLine="0"/>
              <w:rPr>
                <w:rFonts w:eastAsia="Times New Roman" w:cs="Times New Roman"/>
                <w:color w:val="000000"/>
                <w:sz w:val="20"/>
                <w:szCs w:val="20"/>
              </w:rPr>
            </w:pPr>
            <w:r w:rsidRPr="00DF369E">
              <w:rPr>
                <w:rFonts w:eastAsia="Times New Roman" w:cs="Times New Roman"/>
                <w:color w:val="000000"/>
                <w:sz w:val="20"/>
                <w:szCs w:val="20"/>
              </w:rPr>
              <w:t>Os2.c Stimularea dezvoltării infrastructurii verzi</w:t>
            </w:r>
          </w:p>
          <w:p w14:paraId="36F3343E" w14:textId="77777777" w:rsidR="00E65A44" w:rsidRPr="00DF369E" w:rsidRDefault="00E65A44" w:rsidP="00E65A44">
            <w:pPr>
              <w:spacing w:line="240" w:lineRule="auto"/>
              <w:ind w:firstLine="0"/>
              <w:rPr>
                <w:rFonts w:eastAsia="Times New Roman" w:cs="Times New Roman"/>
                <w:color w:val="000000"/>
                <w:sz w:val="20"/>
                <w:szCs w:val="20"/>
              </w:rPr>
            </w:pPr>
            <w:r w:rsidRPr="00DF369E">
              <w:rPr>
                <w:rFonts w:eastAsia="Times New Roman" w:cs="Times New Roman"/>
                <w:color w:val="000000"/>
                <w:sz w:val="20"/>
                <w:szCs w:val="20"/>
              </w:rPr>
              <w:t xml:space="preserve">Os1.a Protejarea eficientă a valorilor naturale, peisagistice și culturale; </w:t>
            </w:r>
          </w:p>
          <w:p w14:paraId="2B27EFCA" w14:textId="77777777" w:rsidR="00E65A44" w:rsidRPr="00DF369E" w:rsidRDefault="00E65A44" w:rsidP="00E65A44">
            <w:pPr>
              <w:spacing w:line="240" w:lineRule="auto"/>
              <w:ind w:firstLine="0"/>
              <w:rPr>
                <w:rFonts w:eastAsia="Times New Roman" w:cs="Times New Roman"/>
                <w:color w:val="000000"/>
                <w:sz w:val="20"/>
                <w:szCs w:val="20"/>
              </w:rPr>
            </w:pPr>
            <w:r w:rsidRPr="00DF369E">
              <w:rPr>
                <w:rFonts w:eastAsia="Times New Roman" w:cs="Times New Roman"/>
                <w:color w:val="000000"/>
                <w:sz w:val="20"/>
                <w:szCs w:val="20"/>
              </w:rPr>
              <w:lastRenderedPageBreak/>
              <w:t xml:space="preserve">Os4.a Gestionarea durabilă a resurselor zonei de coastă; Os4.b Dezvoltarea “verde” a zonei costiere; </w:t>
            </w:r>
          </w:p>
          <w:p w14:paraId="3626D3E0" w14:textId="77777777" w:rsidR="00E65A44" w:rsidRPr="00DF369E" w:rsidRDefault="00E65A44" w:rsidP="00E65A44">
            <w:pPr>
              <w:spacing w:line="240" w:lineRule="auto"/>
              <w:ind w:firstLine="0"/>
              <w:rPr>
                <w:rFonts w:eastAsia="Times New Roman" w:cs="Times New Roman"/>
                <w:color w:val="000000"/>
                <w:sz w:val="20"/>
                <w:szCs w:val="20"/>
              </w:rPr>
            </w:pPr>
            <w:r w:rsidRPr="00DF369E">
              <w:rPr>
                <w:rFonts w:eastAsia="Times New Roman" w:cs="Times New Roman"/>
                <w:color w:val="000000"/>
                <w:sz w:val="20"/>
                <w:szCs w:val="20"/>
              </w:rPr>
              <w:t>Os6.b Creșterea gradului de conștientizare cu privire la necesitatea de a păstra și îmbunătăți resursele zonei de coastă;</w:t>
            </w:r>
          </w:p>
          <w:p w14:paraId="0A9B1AC2" w14:textId="77777777" w:rsidR="00E65A44" w:rsidRDefault="00E65A44" w:rsidP="00E65A44">
            <w:pPr>
              <w:spacing w:line="240" w:lineRule="auto"/>
              <w:ind w:firstLine="0"/>
              <w:rPr>
                <w:rFonts w:eastAsia="Times New Roman" w:cs="Times New Roman"/>
                <w:color w:val="000000"/>
                <w:sz w:val="20"/>
                <w:szCs w:val="20"/>
              </w:rPr>
            </w:pPr>
            <w:r w:rsidRPr="00DF369E">
              <w:rPr>
                <w:rFonts w:eastAsia="Times New Roman" w:cs="Times New Roman"/>
                <w:color w:val="000000"/>
                <w:sz w:val="20"/>
                <w:szCs w:val="20"/>
              </w:rPr>
              <w:t>Os6.c Implicarea cetățenilor în monitorizarea stării de sănătate a mediului costier (Citizen-science).</w:t>
            </w:r>
          </w:p>
        </w:tc>
        <w:tc>
          <w:tcPr>
            <w:tcW w:w="4251"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7B5E4AE8" w14:textId="77777777" w:rsidR="00E65A44" w:rsidRDefault="00E65A44" w:rsidP="00E65A44">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lastRenderedPageBreak/>
              <w:t>A 5.2.1 Derularea de campanii de conștientizare a potențialului natural și turistic al lacurilor urbane și de atragere a societății civile în proiectele de restaurare</w:t>
            </w:r>
          </w:p>
        </w:tc>
        <w:tc>
          <w:tcPr>
            <w:tcW w:w="1274"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B6C9C97" w14:textId="77777777" w:rsidR="00E65A44" w:rsidRDefault="00E65A44" w:rsidP="00E65A44">
            <w:pPr>
              <w:spacing w:after="0" w:line="240" w:lineRule="auto"/>
              <w:ind w:firstLine="26"/>
              <w:rPr>
                <w:rFonts w:eastAsia="Times New Roman" w:cs="Times New Roman"/>
                <w:color w:val="000000"/>
                <w:sz w:val="20"/>
                <w:szCs w:val="20"/>
              </w:rPr>
            </w:pPr>
            <w:r>
              <w:rPr>
                <w:rFonts w:eastAsia="Times New Roman" w:cs="Times New Roman"/>
                <w:color w:val="000000"/>
                <w:sz w:val="20"/>
                <w:szCs w:val="20"/>
              </w:rPr>
              <w:t>Medie</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0C045DD" w14:textId="77777777" w:rsidR="00E65A44" w:rsidRDefault="00E65A44" w:rsidP="00E65A44">
            <w:pPr>
              <w:spacing w:after="0" w:line="240" w:lineRule="auto"/>
              <w:ind w:firstLine="27"/>
              <w:rPr>
                <w:rFonts w:eastAsia="Times New Roman" w:cs="Times New Roman"/>
                <w:color w:val="000000"/>
                <w:sz w:val="20"/>
                <w:szCs w:val="20"/>
              </w:rPr>
            </w:pPr>
            <w:r>
              <w:rPr>
                <w:rFonts w:eastAsia="Times New Roman" w:cs="Times New Roman"/>
                <w:color w:val="000000"/>
                <w:sz w:val="20"/>
                <w:szCs w:val="20"/>
              </w:rPr>
              <w:t>2030</w:t>
            </w: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B45169D" w14:textId="77777777" w:rsidR="00E65A44" w:rsidRDefault="00E65A44" w:rsidP="00E65A44">
            <w:pPr>
              <w:spacing w:after="0" w:line="240" w:lineRule="auto"/>
              <w:ind w:firstLine="30"/>
              <w:rPr>
                <w:rFonts w:eastAsia="Times New Roman" w:cs="Times New Roman"/>
                <w:color w:val="000000"/>
                <w:sz w:val="20"/>
                <w:szCs w:val="20"/>
              </w:rPr>
            </w:pPr>
            <w:r>
              <w:rPr>
                <w:rFonts w:eastAsia="Times New Roman" w:cs="Times New Roman"/>
                <w:color w:val="000000"/>
                <w:sz w:val="20"/>
                <w:szCs w:val="20"/>
              </w:rPr>
              <w:t>MDAR (ANPA), MMAP</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4814B05" w14:textId="0B378295" w:rsidR="00E65A44" w:rsidRDefault="00E65A44" w:rsidP="00E65A44">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Bugete locale, PNRR, buget propriu MADR (ANPA)</w:t>
            </w:r>
          </w:p>
        </w:tc>
      </w:tr>
      <w:tr w:rsidR="00E65A44" w14:paraId="471E40F9" w14:textId="77777777" w:rsidTr="002508D3">
        <w:trPr>
          <w:trHeight w:val="633"/>
        </w:trPr>
        <w:tc>
          <w:tcPr>
            <w:tcW w:w="1892" w:type="dxa"/>
            <w:vMerge/>
            <w:tcBorders>
              <w:top w:val="single" w:sz="4" w:space="0" w:color="000000"/>
              <w:left w:val="single" w:sz="4" w:space="0" w:color="000000"/>
              <w:bottom w:val="single" w:sz="4" w:space="0" w:color="auto"/>
              <w:right w:val="single" w:sz="4" w:space="0" w:color="auto"/>
            </w:tcBorders>
            <w:shd w:val="clear" w:color="auto" w:fill="auto"/>
            <w:tcMar>
              <w:top w:w="0" w:type="dxa"/>
              <w:left w:w="100" w:type="dxa"/>
              <w:bottom w:w="0" w:type="dxa"/>
              <w:right w:w="100" w:type="dxa"/>
            </w:tcMar>
          </w:tcPr>
          <w:p w14:paraId="74AFCDB8" w14:textId="77777777" w:rsidR="00E65A44" w:rsidRDefault="00E65A44" w:rsidP="00E65A44">
            <w:pPr>
              <w:widowControl w:val="0"/>
              <w:pBdr>
                <w:top w:val="nil"/>
                <w:left w:val="nil"/>
                <w:bottom w:val="nil"/>
                <w:right w:val="nil"/>
                <w:between w:val="nil"/>
              </w:pBdr>
              <w:spacing w:after="0"/>
              <w:ind w:firstLine="0"/>
              <w:rPr>
                <w:rFonts w:eastAsia="Times New Roman" w:cs="Times New Roman"/>
                <w:color w:val="000000"/>
                <w:sz w:val="20"/>
                <w:szCs w:val="20"/>
              </w:rPr>
            </w:pPr>
          </w:p>
        </w:tc>
        <w:tc>
          <w:tcPr>
            <w:tcW w:w="2109" w:type="dxa"/>
            <w:vMerge/>
            <w:tcBorders>
              <w:left w:val="single" w:sz="4" w:space="0" w:color="auto"/>
              <w:bottom w:val="single" w:sz="4" w:space="0" w:color="auto"/>
              <w:right w:val="single" w:sz="4" w:space="0" w:color="auto"/>
            </w:tcBorders>
          </w:tcPr>
          <w:p w14:paraId="1774103F" w14:textId="77777777" w:rsidR="00E65A44" w:rsidRDefault="00E65A44" w:rsidP="00E65A44">
            <w:pPr>
              <w:spacing w:after="0" w:line="240" w:lineRule="auto"/>
              <w:ind w:firstLine="0"/>
              <w:rPr>
                <w:rFonts w:eastAsia="Times New Roman" w:cs="Times New Roman"/>
                <w:color w:val="000000"/>
                <w:sz w:val="20"/>
                <w:szCs w:val="20"/>
              </w:rPr>
            </w:pPr>
          </w:p>
        </w:tc>
        <w:tc>
          <w:tcPr>
            <w:tcW w:w="4251"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5A9FF2DD" w14:textId="77777777" w:rsidR="00E65A44" w:rsidRDefault="00E65A44" w:rsidP="00E65A44">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5.2.2 Angrenarea cetățenilor în monitorizarea stării ecologice a lacurilor urbane</w:t>
            </w:r>
          </w:p>
        </w:tc>
        <w:tc>
          <w:tcPr>
            <w:tcW w:w="1274"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4534E80B" w14:textId="77777777" w:rsidR="00E65A44" w:rsidRDefault="00E65A44" w:rsidP="00E65A44">
            <w:pPr>
              <w:spacing w:after="0" w:line="240" w:lineRule="auto"/>
              <w:ind w:firstLine="26"/>
              <w:rPr>
                <w:rFonts w:eastAsia="Times New Roman" w:cs="Times New Roman"/>
                <w:color w:val="000000"/>
                <w:sz w:val="20"/>
                <w:szCs w:val="20"/>
              </w:rPr>
            </w:pPr>
            <w:r>
              <w:rPr>
                <w:rFonts w:eastAsia="Times New Roman" w:cs="Times New Roman"/>
                <w:color w:val="000000"/>
                <w:sz w:val="20"/>
                <w:szCs w:val="20"/>
              </w:rPr>
              <w:t>Medie</w:t>
            </w:r>
          </w:p>
        </w:tc>
        <w:tc>
          <w:tcPr>
            <w:tcW w:w="1415"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19B6CD15" w14:textId="77777777" w:rsidR="00E65A44" w:rsidRDefault="00E65A44" w:rsidP="00E65A44">
            <w:pPr>
              <w:spacing w:after="0" w:line="240" w:lineRule="auto"/>
              <w:ind w:firstLine="27"/>
              <w:rPr>
                <w:rFonts w:eastAsia="Times New Roman" w:cs="Times New Roman"/>
                <w:color w:val="000000"/>
                <w:sz w:val="20"/>
                <w:szCs w:val="20"/>
              </w:rPr>
            </w:pPr>
            <w:r>
              <w:rPr>
                <w:rFonts w:eastAsia="Times New Roman" w:cs="Times New Roman"/>
                <w:color w:val="000000"/>
                <w:sz w:val="20"/>
                <w:szCs w:val="20"/>
              </w:rPr>
              <w:t>2030</w:t>
            </w:r>
          </w:p>
        </w:tc>
        <w:tc>
          <w:tcPr>
            <w:tcW w:w="1416"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14E6655D" w14:textId="77777777" w:rsidR="00E65A44" w:rsidRDefault="00E65A44" w:rsidP="00E65A44">
            <w:pPr>
              <w:spacing w:after="0" w:line="240" w:lineRule="auto"/>
              <w:ind w:firstLine="30"/>
              <w:rPr>
                <w:rFonts w:eastAsia="Times New Roman" w:cs="Times New Roman"/>
                <w:color w:val="000000"/>
                <w:sz w:val="20"/>
                <w:szCs w:val="20"/>
              </w:rPr>
            </w:pPr>
            <w:r>
              <w:rPr>
                <w:rFonts w:eastAsia="Times New Roman" w:cs="Times New Roman"/>
                <w:color w:val="000000"/>
                <w:sz w:val="20"/>
                <w:szCs w:val="20"/>
              </w:rPr>
              <w:t>MDAR (ANPA), MMAP</w:t>
            </w:r>
          </w:p>
        </w:tc>
        <w:tc>
          <w:tcPr>
            <w:tcW w:w="1699"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65CB663E" w14:textId="2DD56921" w:rsidR="00E65A44" w:rsidRDefault="00E65A44" w:rsidP="00E65A44">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Bugete locale, PNRR, buget propriu MADR (ANPA)</w:t>
            </w:r>
          </w:p>
        </w:tc>
      </w:tr>
      <w:tr w:rsidR="00E65A44" w14:paraId="769EF37C" w14:textId="77777777" w:rsidTr="002508D3">
        <w:trPr>
          <w:trHeight w:val="633"/>
        </w:trPr>
        <w:tc>
          <w:tcPr>
            <w:tcW w:w="1892" w:type="dxa"/>
            <w:vMerge/>
            <w:tcBorders>
              <w:top w:val="single" w:sz="4" w:space="0" w:color="auto"/>
              <w:left w:val="single" w:sz="4" w:space="0" w:color="000000"/>
              <w:right w:val="single" w:sz="4" w:space="0" w:color="auto"/>
            </w:tcBorders>
            <w:shd w:val="clear" w:color="auto" w:fill="auto"/>
            <w:tcMar>
              <w:top w:w="0" w:type="dxa"/>
              <w:left w:w="100" w:type="dxa"/>
              <w:bottom w:w="0" w:type="dxa"/>
              <w:right w:w="100" w:type="dxa"/>
            </w:tcMar>
          </w:tcPr>
          <w:p w14:paraId="6EAF723C" w14:textId="77777777" w:rsidR="00E65A44" w:rsidRDefault="00E65A44" w:rsidP="00E65A44">
            <w:pPr>
              <w:widowControl w:val="0"/>
              <w:pBdr>
                <w:top w:val="nil"/>
                <w:left w:val="nil"/>
                <w:bottom w:val="nil"/>
                <w:right w:val="nil"/>
                <w:between w:val="nil"/>
              </w:pBdr>
              <w:spacing w:after="0"/>
              <w:ind w:firstLine="0"/>
              <w:rPr>
                <w:rFonts w:eastAsia="Times New Roman" w:cs="Times New Roman"/>
                <w:color w:val="000000"/>
                <w:sz w:val="20"/>
                <w:szCs w:val="20"/>
              </w:rPr>
            </w:pPr>
          </w:p>
        </w:tc>
        <w:tc>
          <w:tcPr>
            <w:tcW w:w="2109" w:type="dxa"/>
            <w:vMerge/>
            <w:tcBorders>
              <w:top w:val="single" w:sz="4" w:space="0" w:color="auto"/>
              <w:left w:val="single" w:sz="4" w:space="0" w:color="auto"/>
              <w:right w:val="single" w:sz="4" w:space="0" w:color="auto"/>
            </w:tcBorders>
          </w:tcPr>
          <w:p w14:paraId="5BBE6992" w14:textId="77777777" w:rsidR="00E65A44" w:rsidRDefault="00E65A44" w:rsidP="00E65A44">
            <w:pPr>
              <w:spacing w:after="0" w:line="240" w:lineRule="auto"/>
              <w:ind w:firstLine="0"/>
              <w:rPr>
                <w:rFonts w:eastAsia="Times New Roman" w:cs="Times New Roman"/>
                <w:color w:val="000000"/>
                <w:sz w:val="20"/>
                <w:szCs w:val="20"/>
              </w:rPr>
            </w:pPr>
          </w:p>
        </w:tc>
        <w:tc>
          <w:tcPr>
            <w:tcW w:w="4251"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32E4F6F5" w14:textId="77777777" w:rsidR="00E65A44" w:rsidRDefault="00E65A44" w:rsidP="00E65A44">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5.2.3 Identificarea și aplicarea soluțiilor bazate pe natură pentru reducerea/stoparea aportului de poluanți, materie organică și deșeuri în lacurile urbane</w:t>
            </w:r>
          </w:p>
        </w:tc>
        <w:tc>
          <w:tcPr>
            <w:tcW w:w="1274"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4E2E495" w14:textId="77777777" w:rsidR="00E65A44" w:rsidRDefault="00E65A44" w:rsidP="00E65A44">
            <w:pPr>
              <w:spacing w:after="0" w:line="240" w:lineRule="auto"/>
              <w:ind w:firstLine="26"/>
              <w:rPr>
                <w:rFonts w:eastAsia="Times New Roman" w:cs="Times New Roman"/>
                <w:color w:val="000000"/>
                <w:sz w:val="20"/>
                <w:szCs w:val="20"/>
              </w:rPr>
            </w:pPr>
            <w:r>
              <w:rPr>
                <w:rFonts w:eastAsia="Times New Roman" w:cs="Times New Roman"/>
                <w:color w:val="000000"/>
                <w:sz w:val="20"/>
                <w:szCs w:val="20"/>
              </w:rPr>
              <w:t>Ridicată</w:t>
            </w:r>
          </w:p>
        </w:tc>
        <w:tc>
          <w:tcPr>
            <w:tcW w:w="1415"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F67D7DB" w14:textId="77777777" w:rsidR="00E65A44" w:rsidRDefault="00E65A44" w:rsidP="00E65A44">
            <w:pPr>
              <w:spacing w:after="0" w:line="240" w:lineRule="auto"/>
              <w:ind w:firstLine="27"/>
              <w:rPr>
                <w:rFonts w:eastAsia="Times New Roman" w:cs="Times New Roman"/>
                <w:color w:val="000000"/>
                <w:sz w:val="20"/>
                <w:szCs w:val="20"/>
              </w:rPr>
            </w:pPr>
            <w:r>
              <w:rPr>
                <w:rFonts w:eastAsia="Times New Roman" w:cs="Times New Roman"/>
                <w:color w:val="000000"/>
                <w:sz w:val="20"/>
                <w:szCs w:val="20"/>
              </w:rPr>
              <w:t>2030</w:t>
            </w:r>
          </w:p>
        </w:tc>
        <w:tc>
          <w:tcPr>
            <w:tcW w:w="1416"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DD0E173" w14:textId="77777777" w:rsidR="00E65A44" w:rsidRDefault="00E65A44" w:rsidP="00E65A44">
            <w:pPr>
              <w:spacing w:after="0" w:line="240" w:lineRule="auto"/>
              <w:ind w:firstLine="30"/>
              <w:rPr>
                <w:rFonts w:eastAsia="Times New Roman" w:cs="Times New Roman"/>
                <w:color w:val="000000"/>
                <w:sz w:val="20"/>
                <w:szCs w:val="20"/>
              </w:rPr>
            </w:pPr>
            <w:r>
              <w:rPr>
                <w:rFonts w:eastAsia="Times New Roman" w:cs="Times New Roman"/>
                <w:color w:val="000000"/>
                <w:sz w:val="20"/>
                <w:szCs w:val="20"/>
              </w:rPr>
              <w:t>MCID (INCD-uri), ME (departamente cercetare universități), MADR</w:t>
            </w:r>
          </w:p>
        </w:tc>
        <w:tc>
          <w:tcPr>
            <w:tcW w:w="1699"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165BA0A" w14:textId="6B9945B9" w:rsidR="00E65A44" w:rsidRDefault="00E65A44" w:rsidP="00E65A44">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PNCDI IV, Programul InvestEU, LIFE, PNRR, Parteneriate public-privat</w:t>
            </w:r>
          </w:p>
        </w:tc>
      </w:tr>
      <w:tr w:rsidR="00E65A44" w14:paraId="4FF6CFFD" w14:textId="77777777" w:rsidTr="002508D3">
        <w:trPr>
          <w:trHeight w:val="633"/>
        </w:trPr>
        <w:tc>
          <w:tcPr>
            <w:tcW w:w="1892" w:type="dxa"/>
            <w:vMerge/>
            <w:tcBorders>
              <w:top w:val="single" w:sz="4" w:space="0" w:color="000000"/>
              <w:left w:val="single" w:sz="4" w:space="0" w:color="000000"/>
              <w:bottom w:val="single" w:sz="4" w:space="0" w:color="000000"/>
              <w:right w:val="single" w:sz="4" w:space="0" w:color="auto"/>
            </w:tcBorders>
            <w:shd w:val="clear" w:color="auto" w:fill="auto"/>
            <w:tcMar>
              <w:top w:w="0" w:type="dxa"/>
              <w:left w:w="100" w:type="dxa"/>
              <w:bottom w:w="0" w:type="dxa"/>
              <w:right w:w="100" w:type="dxa"/>
            </w:tcMar>
          </w:tcPr>
          <w:p w14:paraId="4AEFE4CA" w14:textId="77777777" w:rsidR="00E65A44" w:rsidRDefault="00E65A44" w:rsidP="00E65A44">
            <w:pPr>
              <w:widowControl w:val="0"/>
              <w:pBdr>
                <w:top w:val="nil"/>
                <w:left w:val="nil"/>
                <w:bottom w:val="nil"/>
                <w:right w:val="nil"/>
                <w:between w:val="nil"/>
              </w:pBdr>
              <w:spacing w:after="0"/>
              <w:ind w:firstLine="0"/>
              <w:rPr>
                <w:rFonts w:eastAsia="Times New Roman" w:cs="Times New Roman"/>
                <w:color w:val="000000"/>
                <w:sz w:val="20"/>
                <w:szCs w:val="20"/>
              </w:rPr>
            </w:pPr>
          </w:p>
        </w:tc>
        <w:tc>
          <w:tcPr>
            <w:tcW w:w="2109" w:type="dxa"/>
            <w:vMerge/>
            <w:tcBorders>
              <w:left w:val="single" w:sz="4" w:space="0" w:color="auto"/>
              <w:bottom w:val="single" w:sz="4" w:space="0" w:color="auto"/>
              <w:right w:val="single" w:sz="4" w:space="0" w:color="auto"/>
            </w:tcBorders>
          </w:tcPr>
          <w:p w14:paraId="70290640" w14:textId="77777777" w:rsidR="00E65A44" w:rsidRDefault="00E65A44" w:rsidP="00E65A44">
            <w:pPr>
              <w:spacing w:after="0" w:line="240" w:lineRule="auto"/>
              <w:ind w:firstLine="0"/>
              <w:rPr>
                <w:rFonts w:eastAsia="Times New Roman" w:cs="Times New Roman"/>
                <w:color w:val="000000"/>
                <w:sz w:val="20"/>
                <w:szCs w:val="20"/>
              </w:rPr>
            </w:pPr>
          </w:p>
        </w:tc>
        <w:tc>
          <w:tcPr>
            <w:tcW w:w="4251"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70E1C287" w14:textId="77777777" w:rsidR="00E65A44" w:rsidRDefault="00E65A44" w:rsidP="00E65A44">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5.2.4 Identificarea și testarea prin proiecte pilot a soluțiilor ecologice de restaurare a lacurilor urbane</w:t>
            </w:r>
          </w:p>
        </w:tc>
        <w:tc>
          <w:tcPr>
            <w:tcW w:w="1274"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FF0A9DC" w14:textId="77777777" w:rsidR="00E65A44" w:rsidRDefault="00E65A44" w:rsidP="00E65A44">
            <w:pPr>
              <w:spacing w:after="0" w:line="240" w:lineRule="auto"/>
              <w:ind w:firstLine="26"/>
              <w:rPr>
                <w:rFonts w:eastAsia="Times New Roman" w:cs="Times New Roman"/>
                <w:color w:val="000000"/>
                <w:sz w:val="20"/>
                <w:szCs w:val="20"/>
              </w:rPr>
            </w:pPr>
            <w:r>
              <w:rPr>
                <w:rFonts w:eastAsia="Times New Roman" w:cs="Times New Roman"/>
                <w:color w:val="000000"/>
                <w:sz w:val="20"/>
                <w:szCs w:val="20"/>
              </w:rPr>
              <w:t>Ridicată</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EB1174A" w14:textId="77777777" w:rsidR="00E65A44" w:rsidRDefault="00E65A44" w:rsidP="00E65A44">
            <w:pPr>
              <w:spacing w:after="0" w:line="240" w:lineRule="auto"/>
              <w:ind w:firstLine="27"/>
              <w:rPr>
                <w:rFonts w:eastAsia="Times New Roman" w:cs="Times New Roman"/>
                <w:color w:val="000000"/>
                <w:sz w:val="20"/>
                <w:szCs w:val="20"/>
              </w:rPr>
            </w:pPr>
            <w:r>
              <w:rPr>
                <w:rFonts w:eastAsia="Times New Roman" w:cs="Times New Roman"/>
                <w:color w:val="000000"/>
                <w:sz w:val="20"/>
                <w:szCs w:val="20"/>
              </w:rPr>
              <w:t>2030</w:t>
            </w: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AD75ED5" w14:textId="77777777" w:rsidR="00E65A44" w:rsidRDefault="00E65A44" w:rsidP="00E65A44">
            <w:pPr>
              <w:spacing w:after="0" w:line="240" w:lineRule="auto"/>
              <w:ind w:firstLine="30"/>
              <w:rPr>
                <w:rFonts w:eastAsia="Times New Roman" w:cs="Times New Roman"/>
                <w:color w:val="000000"/>
                <w:sz w:val="20"/>
                <w:szCs w:val="20"/>
              </w:rPr>
            </w:pPr>
            <w:r>
              <w:rPr>
                <w:rFonts w:eastAsia="Times New Roman" w:cs="Times New Roman"/>
                <w:color w:val="000000"/>
                <w:sz w:val="20"/>
                <w:szCs w:val="20"/>
              </w:rPr>
              <w:t>MCID (INCD-uri), ME (departamente cercetare universități), MADR</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35DC90D" w14:textId="77777777" w:rsidR="00E65A44" w:rsidRDefault="00E65A44" w:rsidP="00E65A44">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PNCDI IV, Programul de Dezvoltare Durabilă, Programul InvestEU, LIFE, PNRR, Parteneriate public-privat</w:t>
            </w:r>
          </w:p>
        </w:tc>
      </w:tr>
      <w:tr w:rsidR="00AE17D9" w14:paraId="61425C26" w14:textId="77777777" w:rsidTr="007E381E">
        <w:trPr>
          <w:trHeight w:val="2042"/>
        </w:trPr>
        <w:tc>
          <w:tcPr>
            <w:tcW w:w="1892" w:type="dxa"/>
            <w:vMerge w:val="restart"/>
            <w:tcBorders>
              <w:top w:val="single" w:sz="4" w:space="0" w:color="000000"/>
              <w:left w:val="single" w:sz="6" w:space="0" w:color="000000"/>
              <w:bottom w:val="single" w:sz="4" w:space="0" w:color="auto"/>
              <w:right w:val="single" w:sz="4" w:space="0" w:color="auto"/>
            </w:tcBorders>
            <w:shd w:val="clear" w:color="auto" w:fill="auto"/>
            <w:tcMar>
              <w:top w:w="0" w:type="dxa"/>
              <w:left w:w="100" w:type="dxa"/>
              <w:bottom w:w="0" w:type="dxa"/>
              <w:right w:w="100" w:type="dxa"/>
            </w:tcMar>
          </w:tcPr>
          <w:p w14:paraId="4A95F5B3" w14:textId="62D4698A" w:rsidR="00AE17D9" w:rsidRDefault="00AE17D9" w:rsidP="00E65A44">
            <w:pPr>
              <w:spacing w:after="0" w:line="240" w:lineRule="auto"/>
              <w:ind w:firstLine="0"/>
              <w:rPr>
                <w:rFonts w:eastAsia="Times New Roman" w:cs="Times New Roman"/>
                <w:sz w:val="20"/>
                <w:szCs w:val="20"/>
              </w:rPr>
            </w:pPr>
            <w:r>
              <w:rPr>
                <w:rFonts w:eastAsia="Times New Roman" w:cs="Times New Roman"/>
                <w:color w:val="000000"/>
                <w:sz w:val="20"/>
                <w:szCs w:val="20"/>
              </w:rPr>
              <w:t>M5.3 Inițierea și implementarea programelor pentru îndepărtarea deșeurilor marine, din coloana de apă și de pe fundul mării</w:t>
            </w:r>
          </w:p>
        </w:tc>
        <w:tc>
          <w:tcPr>
            <w:tcW w:w="2109" w:type="dxa"/>
            <w:vMerge w:val="restart"/>
            <w:tcBorders>
              <w:top w:val="single" w:sz="4" w:space="0" w:color="auto"/>
              <w:left w:val="single" w:sz="4" w:space="0" w:color="auto"/>
              <w:right w:val="single" w:sz="4" w:space="0" w:color="auto"/>
            </w:tcBorders>
          </w:tcPr>
          <w:p w14:paraId="1F1A6719" w14:textId="77777777" w:rsidR="00AE17D9" w:rsidRDefault="00AE17D9" w:rsidP="00E65A44">
            <w:pPr>
              <w:spacing w:line="240" w:lineRule="auto"/>
              <w:ind w:firstLine="0"/>
              <w:rPr>
                <w:rFonts w:eastAsia="Times New Roman" w:cs="Times New Roman"/>
                <w:color w:val="000000"/>
                <w:sz w:val="20"/>
                <w:szCs w:val="20"/>
              </w:rPr>
            </w:pPr>
          </w:p>
          <w:p w14:paraId="258554D6" w14:textId="77777777" w:rsidR="00AE17D9" w:rsidRDefault="00AE17D9" w:rsidP="00E65A44">
            <w:pPr>
              <w:spacing w:line="240" w:lineRule="auto"/>
              <w:ind w:firstLine="0"/>
              <w:rPr>
                <w:rFonts w:eastAsia="Times New Roman" w:cs="Times New Roman"/>
                <w:color w:val="000000"/>
                <w:sz w:val="20"/>
                <w:szCs w:val="20"/>
              </w:rPr>
            </w:pPr>
          </w:p>
          <w:p w14:paraId="75FFB73B" w14:textId="52F1E905" w:rsidR="00AE17D9" w:rsidRPr="00DF369E" w:rsidRDefault="00AE17D9" w:rsidP="00E65A44">
            <w:pPr>
              <w:spacing w:line="240" w:lineRule="auto"/>
              <w:ind w:firstLine="0"/>
              <w:rPr>
                <w:rFonts w:eastAsia="Times New Roman" w:cs="Times New Roman"/>
                <w:color w:val="000000"/>
                <w:sz w:val="20"/>
                <w:szCs w:val="20"/>
              </w:rPr>
            </w:pPr>
            <w:r w:rsidRPr="00DF369E">
              <w:rPr>
                <w:rFonts w:eastAsia="Times New Roman" w:cs="Times New Roman"/>
                <w:color w:val="000000"/>
                <w:sz w:val="20"/>
                <w:szCs w:val="20"/>
              </w:rPr>
              <w:t>Os2.a Atingerea stării ecologice bune a ecosistemelor</w:t>
            </w:r>
          </w:p>
          <w:p w14:paraId="6E253F27" w14:textId="77777777" w:rsidR="00AE17D9" w:rsidRDefault="00AE17D9" w:rsidP="00E65A44">
            <w:pPr>
              <w:spacing w:line="240" w:lineRule="auto"/>
              <w:ind w:firstLine="0"/>
              <w:rPr>
                <w:rFonts w:eastAsia="Times New Roman" w:cs="Times New Roman"/>
                <w:color w:val="000000"/>
                <w:sz w:val="20"/>
                <w:szCs w:val="20"/>
              </w:rPr>
            </w:pPr>
            <w:r w:rsidRPr="00DF369E">
              <w:rPr>
                <w:rFonts w:eastAsia="Times New Roman" w:cs="Times New Roman"/>
                <w:color w:val="000000"/>
                <w:sz w:val="20"/>
                <w:szCs w:val="20"/>
              </w:rPr>
              <w:t>Os1.a Protejarea eficientă a valorilor naturale, peisagistice și culturale</w:t>
            </w:r>
          </w:p>
        </w:tc>
        <w:tc>
          <w:tcPr>
            <w:tcW w:w="4251" w:type="dxa"/>
            <w:tcBorders>
              <w:top w:val="single" w:sz="4" w:space="0" w:color="000000"/>
              <w:left w:val="single" w:sz="4" w:space="0" w:color="auto"/>
              <w:right w:val="single" w:sz="4" w:space="0" w:color="000000"/>
            </w:tcBorders>
            <w:shd w:val="clear" w:color="auto" w:fill="auto"/>
            <w:tcMar>
              <w:top w:w="0" w:type="dxa"/>
              <w:left w:w="100" w:type="dxa"/>
              <w:bottom w:w="0" w:type="dxa"/>
              <w:right w:w="100" w:type="dxa"/>
            </w:tcMar>
          </w:tcPr>
          <w:p w14:paraId="25F4AA97" w14:textId="1EB2A96D" w:rsidR="00AE17D9" w:rsidRDefault="00AE17D9" w:rsidP="00B02DAD">
            <w:pPr>
              <w:spacing w:after="0" w:line="240" w:lineRule="auto"/>
              <w:ind w:firstLine="0"/>
              <w:rPr>
                <w:rFonts w:eastAsia="Times New Roman" w:cs="Times New Roman"/>
                <w:sz w:val="20"/>
                <w:szCs w:val="20"/>
              </w:rPr>
            </w:pPr>
            <w:r>
              <w:rPr>
                <w:rFonts w:eastAsia="Times New Roman" w:cs="Times New Roman"/>
                <w:color w:val="000000"/>
                <w:sz w:val="20"/>
                <w:szCs w:val="20"/>
              </w:rPr>
              <w:t>A 5.3.1 Stabilirea mecanismelor de cooperare (de exemplu, implicarea pescarilor în monitorizarea și îndepărtarea deșeurilor marine) și dezvoltarea programelor de creștere a gradului de conștientizare în rândul comunităților de pescari cu privire la efectele negative ale deșeurilor marine asupra ecosistemului costier, în particular asupra resurselor vii</w:t>
            </w:r>
          </w:p>
        </w:tc>
        <w:tc>
          <w:tcPr>
            <w:tcW w:w="1274" w:type="dxa"/>
            <w:tcBorders>
              <w:top w:val="single" w:sz="4" w:space="0" w:color="000000"/>
              <w:left w:val="single" w:sz="4" w:space="0" w:color="000000"/>
              <w:right w:val="single" w:sz="4" w:space="0" w:color="000000"/>
            </w:tcBorders>
            <w:shd w:val="clear" w:color="auto" w:fill="auto"/>
            <w:tcMar>
              <w:top w:w="0" w:type="dxa"/>
              <w:left w:w="100" w:type="dxa"/>
              <w:bottom w:w="0" w:type="dxa"/>
              <w:right w:w="100" w:type="dxa"/>
            </w:tcMar>
          </w:tcPr>
          <w:p w14:paraId="36411A3A" w14:textId="77777777" w:rsidR="00AE17D9" w:rsidRDefault="00AE17D9" w:rsidP="00E65A44">
            <w:pPr>
              <w:spacing w:after="0" w:line="240" w:lineRule="auto"/>
              <w:ind w:firstLine="26"/>
              <w:rPr>
                <w:rFonts w:eastAsia="Times New Roman" w:cs="Times New Roman"/>
                <w:sz w:val="20"/>
                <w:szCs w:val="20"/>
              </w:rPr>
            </w:pPr>
            <w:r>
              <w:rPr>
                <w:rFonts w:eastAsia="Times New Roman" w:cs="Times New Roman"/>
                <w:color w:val="000000"/>
                <w:sz w:val="20"/>
                <w:szCs w:val="20"/>
              </w:rPr>
              <w:t>Medie</w:t>
            </w:r>
          </w:p>
        </w:tc>
        <w:tc>
          <w:tcPr>
            <w:tcW w:w="1415" w:type="dxa"/>
            <w:tcBorders>
              <w:top w:val="single" w:sz="4" w:space="0" w:color="000000"/>
              <w:left w:val="single" w:sz="4" w:space="0" w:color="000000"/>
              <w:right w:val="single" w:sz="4" w:space="0" w:color="000000"/>
            </w:tcBorders>
            <w:shd w:val="clear" w:color="auto" w:fill="auto"/>
            <w:tcMar>
              <w:top w:w="0" w:type="dxa"/>
              <w:left w:w="100" w:type="dxa"/>
              <w:bottom w:w="0" w:type="dxa"/>
              <w:right w:w="100" w:type="dxa"/>
            </w:tcMar>
          </w:tcPr>
          <w:p w14:paraId="7A9805D3" w14:textId="77777777" w:rsidR="00AE17D9" w:rsidRDefault="00AE17D9" w:rsidP="00E65A44">
            <w:pPr>
              <w:spacing w:after="0" w:line="240" w:lineRule="auto"/>
              <w:ind w:firstLine="27"/>
              <w:rPr>
                <w:rFonts w:eastAsia="Times New Roman" w:cs="Times New Roman"/>
                <w:sz w:val="20"/>
                <w:szCs w:val="20"/>
              </w:rPr>
            </w:pPr>
            <w:r>
              <w:rPr>
                <w:rFonts w:eastAsia="Times New Roman" w:cs="Times New Roman"/>
                <w:color w:val="000000"/>
                <w:sz w:val="20"/>
                <w:szCs w:val="20"/>
              </w:rPr>
              <w:t>2027</w:t>
            </w:r>
          </w:p>
        </w:tc>
        <w:tc>
          <w:tcPr>
            <w:tcW w:w="1416" w:type="dxa"/>
            <w:tcBorders>
              <w:top w:val="single" w:sz="4" w:space="0" w:color="000000"/>
              <w:left w:val="single" w:sz="4" w:space="0" w:color="000000"/>
              <w:right w:val="single" w:sz="4" w:space="0" w:color="000000"/>
            </w:tcBorders>
            <w:shd w:val="clear" w:color="auto" w:fill="auto"/>
            <w:tcMar>
              <w:top w:w="0" w:type="dxa"/>
              <w:left w:w="100" w:type="dxa"/>
              <w:bottom w:w="0" w:type="dxa"/>
              <w:right w:w="100" w:type="dxa"/>
            </w:tcMar>
          </w:tcPr>
          <w:p w14:paraId="352458ED" w14:textId="0D4B5A16" w:rsidR="00AE17D9" w:rsidRDefault="00AE17D9" w:rsidP="00E65A44">
            <w:pPr>
              <w:spacing w:after="0" w:line="240" w:lineRule="auto"/>
              <w:ind w:firstLine="30"/>
              <w:rPr>
                <w:rFonts w:eastAsia="Times New Roman" w:cs="Times New Roman"/>
                <w:sz w:val="20"/>
                <w:szCs w:val="20"/>
              </w:rPr>
            </w:pPr>
            <w:r>
              <w:rPr>
                <w:rFonts w:eastAsia="Times New Roman" w:cs="Times New Roman"/>
                <w:color w:val="000000"/>
                <w:sz w:val="20"/>
                <w:szCs w:val="20"/>
              </w:rPr>
              <w:t>MMAP, MADR (ANPA), organizații profesionale de pescari</w:t>
            </w:r>
          </w:p>
        </w:tc>
        <w:tc>
          <w:tcPr>
            <w:tcW w:w="1699" w:type="dxa"/>
            <w:tcBorders>
              <w:top w:val="single" w:sz="4" w:space="0" w:color="000000"/>
              <w:left w:val="single" w:sz="4" w:space="0" w:color="000000"/>
              <w:right w:val="single" w:sz="4" w:space="0" w:color="000000"/>
            </w:tcBorders>
            <w:shd w:val="clear" w:color="auto" w:fill="auto"/>
            <w:tcMar>
              <w:top w:w="0" w:type="dxa"/>
              <w:left w:w="100" w:type="dxa"/>
              <w:bottom w:w="0" w:type="dxa"/>
              <w:right w:w="100" w:type="dxa"/>
            </w:tcMar>
          </w:tcPr>
          <w:p w14:paraId="4E745DE1" w14:textId="059B3C5F" w:rsidR="00AE17D9" w:rsidRDefault="00AE17D9" w:rsidP="00E65A44">
            <w:pPr>
              <w:spacing w:after="0" w:line="240" w:lineRule="auto"/>
              <w:rPr>
                <w:rFonts w:eastAsia="Times New Roman" w:cs="Times New Roman"/>
                <w:sz w:val="20"/>
                <w:szCs w:val="20"/>
              </w:rPr>
            </w:pPr>
            <w:r>
              <w:rPr>
                <w:rFonts w:eastAsia="Times New Roman" w:cs="Times New Roman"/>
                <w:color w:val="000000"/>
                <w:sz w:val="20"/>
                <w:szCs w:val="20"/>
              </w:rPr>
              <w:t>Programul de Pescuit și Acvacultură (PAP) 2021-2027, bugete propriu MMAP, buget propriu MADR</w:t>
            </w:r>
          </w:p>
        </w:tc>
      </w:tr>
      <w:tr w:rsidR="00AE17D9" w14:paraId="71476A01" w14:textId="77777777" w:rsidTr="006810A5">
        <w:trPr>
          <w:trHeight w:val="1639"/>
        </w:trPr>
        <w:tc>
          <w:tcPr>
            <w:tcW w:w="1892" w:type="dxa"/>
            <w:vMerge/>
            <w:tcBorders>
              <w:top w:val="single" w:sz="4" w:space="0" w:color="000000"/>
              <w:left w:val="single" w:sz="6" w:space="0" w:color="000000"/>
              <w:bottom w:val="single" w:sz="4" w:space="0" w:color="auto"/>
              <w:right w:val="single" w:sz="4" w:space="0" w:color="auto"/>
            </w:tcBorders>
            <w:shd w:val="clear" w:color="auto" w:fill="auto"/>
            <w:tcMar>
              <w:top w:w="0" w:type="dxa"/>
              <w:left w:w="100" w:type="dxa"/>
              <w:bottom w:w="0" w:type="dxa"/>
              <w:right w:w="100" w:type="dxa"/>
            </w:tcMar>
          </w:tcPr>
          <w:p w14:paraId="49B034ED" w14:textId="77777777" w:rsidR="00AE17D9" w:rsidRDefault="00AE17D9" w:rsidP="00E65A44">
            <w:pPr>
              <w:widowControl w:val="0"/>
              <w:pBdr>
                <w:top w:val="nil"/>
                <w:left w:val="nil"/>
                <w:bottom w:val="nil"/>
                <w:right w:val="nil"/>
                <w:between w:val="nil"/>
              </w:pBdr>
              <w:spacing w:after="0"/>
              <w:rPr>
                <w:rFonts w:eastAsia="Times New Roman" w:cs="Times New Roman"/>
                <w:sz w:val="20"/>
                <w:szCs w:val="20"/>
              </w:rPr>
            </w:pPr>
          </w:p>
        </w:tc>
        <w:tc>
          <w:tcPr>
            <w:tcW w:w="2109" w:type="dxa"/>
            <w:vMerge/>
            <w:tcBorders>
              <w:left w:val="single" w:sz="4" w:space="0" w:color="auto"/>
              <w:bottom w:val="single" w:sz="4" w:space="0" w:color="auto"/>
              <w:right w:val="single" w:sz="4" w:space="0" w:color="auto"/>
            </w:tcBorders>
          </w:tcPr>
          <w:p w14:paraId="07EB3ABF" w14:textId="77777777" w:rsidR="00AE17D9" w:rsidRDefault="00AE17D9" w:rsidP="00E65A44">
            <w:pPr>
              <w:spacing w:after="0" w:line="240" w:lineRule="auto"/>
              <w:rPr>
                <w:rFonts w:eastAsia="Times New Roman" w:cs="Times New Roman"/>
                <w:color w:val="000000"/>
                <w:sz w:val="20"/>
                <w:szCs w:val="20"/>
              </w:rPr>
            </w:pPr>
          </w:p>
        </w:tc>
        <w:tc>
          <w:tcPr>
            <w:tcW w:w="4251" w:type="dxa"/>
            <w:tcBorders>
              <w:top w:val="single" w:sz="4" w:space="0" w:color="auto"/>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66397246" w14:textId="43809D0D" w:rsidR="00AE17D9" w:rsidRDefault="00AE17D9" w:rsidP="00E65A44">
            <w:pPr>
              <w:spacing w:after="0" w:line="240" w:lineRule="auto"/>
              <w:ind w:firstLine="0"/>
              <w:rPr>
                <w:rFonts w:eastAsia="Times New Roman" w:cs="Times New Roman"/>
                <w:sz w:val="20"/>
                <w:szCs w:val="20"/>
              </w:rPr>
            </w:pPr>
            <w:r>
              <w:rPr>
                <w:rFonts w:eastAsia="Times New Roman" w:cs="Times New Roman"/>
                <w:color w:val="000000"/>
                <w:sz w:val="20"/>
                <w:szCs w:val="20"/>
              </w:rPr>
              <w:t>A 5.3.2 Realizarea de proiecte / acțiuni pilot pentru îndepărtarea deșeurilor plutitoare și a celor scufundate, colectarea acestora și tratarea lor ulterioară, inclusiv reciclarea lor</w:t>
            </w:r>
          </w:p>
        </w:tc>
        <w:tc>
          <w:tcPr>
            <w:tcW w:w="1274"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44E1CCCF" w14:textId="77777777" w:rsidR="00AE17D9" w:rsidRDefault="00AE17D9" w:rsidP="00E65A44">
            <w:pPr>
              <w:spacing w:after="0" w:line="240" w:lineRule="auto"/>
              <w:ind w:firstLine="26"/>
              <w:rPr>
                <w:rFonts w:eastAsia="Times New Roman" w:cs="Times New Roman"/>
                <w:sz w:val="20"/>
                <w:szCs w:val="20"/>
              </w:rPr>
            </w:pPr>
            <w:r>
              <w:rPr>
                <w:rFonts w:eastAsia="Times New Roman" w:cs="Times New Roman"/>
                <w:color w:val="000000"/>
                <w:sz w:val="20"/>
                <w:szCs w:val="20"/>
              </w:rPr>
              <w:t>Meddie</w:t>
            </w:r>
          </w:p>
        </w:tc>
        <w:tc>
          <w:tcPr>
            <w:tcW w:w="1415"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257AF1D3" w14:textId="77777777" w:rsidR="00AE17D9" w:rsidRDefault="00AE17D9" w:rsidP="00E65A44">
            <w:pPr>
              <w:spacing w:after="0" w:line="240" w:lineRule="auto"/>
              <w:ind w:firstLine="27"/>
              <w:rPr>
                <w:rFonts w:eastAsia="Times New Roman" w:cs="Times New Roman"/>
                <w:sz w:val="20"/>
                <w:szCs w:val="20"/>
              </w:rPr>
            </w:pPr>
            <w:r>
              <w:rPr>
                <w:rFonts w:eastAsia="Times New Roman" w:cs="Times New Roman"/>
                <w:color w:val="000000"/>
                <w:sz w:val="20"/>
                <w:szCs w:val="20"/>
              </w:rPr>
              <w:t>2030</w:t>
            </w:r>
          </w:p>
        </w:tc>
        <w:tc>
          <w:tcPr>
            <w:tcW w:w="1416"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789BF035" w14:textId="77777777" w:rsidR="00AE17D9" w:rsidRDefault="00AE17D9" w:rsidP="00E65A44">
            <w:pPr>
              <w:spacing w:after="0" w:line="240" w:lineRule="auto"/>
              <w:ind w:firstLine="30"/>
              <w:rPr>
                <w:rFonts w:eastAsia="Times New Roman" w:cs="Times New Roman"/>
                <w:sz w:val="20"/>
                <w:szCs w:val="20"/>
              </w:rPr>
            </w:pPr>
            <w:r>
              <w:rPr>
                <w:rFonts w:eastAsia="Times New Roman" w:cs="Times New Roman"/>
                <w:color w:val="000000"/>
                <w:sz w:val="20"/>
                <w:szCs w:val="20"/>
              </w:rPr>
              <w:t>MMAP, MCID (INCDM Grigore Antipa, INCDDD), organizații de pescari, MADR (ANPA)</w:t>
            </w:r>
          </w:p>
        </w:tc>
        <w:tc>
          <w:tcPr>
            <w:tcW w:w="1699" w:type="dxa"/>
            <w:tcBorders>
              <w:top w:val="single" w:sz="4" w:space="0" w:color="auto"/>
              <w:left w:val="nil"/>
              <w:bottom w:val="single" w:sz="5" w:space="0" w:color="000000"/>
              <w:right w:val="single" w:sz="6" w:space="0" w:color="000000"/>
            </w:tcBorders>
            <w:shd w:val="clear" w:color="auto" w:fill="auto"/>
            <w:tcMar>
              <w:top w:w="0" w:type="dxa"/>
              <w:left w:w="100" w:type="dxa"/>
              <w:bottom w:w="0" w:type="dxa"/>
              <w:right w:w="100" w:type="dxa"/>
            </w:tcMar>
          </w:tcPr>
          <w:p w14:paraId="115B292D" w14:textId="77777777" w:rsidR="00AE17D9" w:rsidRDefault="00AE17D9" w:rsidP="00E65A44">
            <w:pPr>
              <w:spacing w:after="0" w:line="240" w:lineRule="auto"/>
              <w:ind w:firstLine="0"/>
              <w:rPr>
                <w:rFonts w:eastAsia="Times New Roman" w:cs="Times New Roman"/>
                <w:sz w:val="20"/>
                <w:szCs w:val="20"/>
              </w:rPr>
            </w:pPr>
            <w:r>
              <w:rPr>
                <w:rFonts w:eastAsia="Times New Roman" w:cs="Times New Roman"/>
                <w:color w:val="000000"/>
                <w:sz w:val="20"/>
                <w:szCs w:val="20"/>
              </w:rPr>
              <w:t>PAP, PNCDI IV</w:t>
            </w:r>
          </w:p>
        </w:tc>
      </w:tr>
    </w:tbl>
    <w:p w14:paraId="5BBA8D37" w14:textId="77777777" w:rsidR="002508D3" w:rsidRDefault="002508D3" w:rsidP="002508D3">
      <w:pPr>
        <w:rPr>
          <w:rFonts w:eastAsia="Times New Roman" w:cs="Times New Roman"/>
        </w:rPr>
      </w:pPr>
    </w:p>
    <w:p w14:paraId="1EC863B4" w14:textId="77777777" w:rsidR="002508D3" w:rsidRDefault="002508D3" w:rsidP="002508D3">
      <w:pPr>
        <w:spacing w:before="0"/>
        <w:ind w:firstLine="567"/>
        <w:rPr>
          <w:rFonts w:eastAsia="Times New Roman" w:cs="Times New Roman"/>
          <w:b/>
          <w:i/>
        </w:rPr>
      </w:pPr>
      <w:r>
        <w:rPr>
          <w:rFonts w:eastAsia="Times New Roman" w:cs="Times New Roman"/>
        </w:rPr>
        <w:t xml:space="preserve">Activitățile ce se vor realiza în vederea implementării Programului de </w:t>
      </w:r>
      <w:r>
        <w:rPr>
          <w:rFonts w:eastAsia="Times New Roman" w:cs="Times New Roman"/>
          <w:b/>
          <w:i/>
        </w:rPr>
        <w:t xml:space="preserve">Măsuri pentru gestionarea hazardelor naturale și antropice </w:t>
      </w:r>
      <w:r>
        <w:rPr>
          <w:rFonts w:eastAsia="Times New Roman" w:cs="Times New Roman"/>
        </w:rPr>
        <w:t>sunt prezentate în Tabelul de mai jos, unde sunt indicate termenele de implementare, organizațiile responsabile pentru realizarea activităților, și implicit implementarea măsurilor, precum și posibilele surse de finanțare.</w:t>
      </w:r>
    </w:p>
    <w:tbl>
      <w:tblPr>
        <w:tblW w:w="14084" w:type="dxa"/>
        <w:tblInd w:w="-56" w:type="dxa"/>
        <w:tblBorders>
          <w:top w:val="nil"/>
          <w:left w:val="nil"/>
          <w:bottom w:val="nil"/>
          <w:right w:val="nil"/>
          <w:insideH w:val="nil"/>
          <w:insideV w:val="nil"/>
        </w:tblBorders>
        <w:tblLayout w:type="fixed"/>
        <w:tblLook w:val="0600" w:firstRow="0" w:lastRow="0" w:firstColumn="0" w:lastColumn="0" w:noHBand="1" w:noVBand="1"/>
      </w:tblPr>
      <w:tblGrid>
        <w:gridCol w:w="1892"/>
        <w:gridCol w:w="2127"/>
        <w:gridCol w:w="4253"/>
        <w:gridCol w:w="1276"/>
        <w:gridCol w:w="1417"/>
        <w:gridCol w:w="1418"/>
        <w:gridCol w:w="1701"/>
      </w:tblGrid>
      <w:tr w:rsidR="002508D3" w14:paraId="50ADDD7E" w14:textId="77777777" w:rsidTr="002508D3">
        <w:trPr>
          <w:trHeight w:val="570"/>
        </w:trPr>
        <w:tc>
          <w:tcPr>
            <w:tcW w:w="1892" w:type="dxa"/>
            <w:tcBorders>
              <w:top w:val="single" w:sz="5" w:space="0" w:color="000000"/>
              <w:left w:val="single" w:sz="5" w:space="0" w:color="000000"/>
              <w:bottom w:val="single" w:sz="5" w:space="0" w:color="000000"/>
              <w:right w:val="single" w:sz="4" w:space="0" w:color="auto"/>
            </w:tcBorders>
            <w:tcMar>
              <w:top w:w="0" w:type="dxa"/>
              <w:left w:w="100" w:type="dxa"/>
              <w:bottom w:w="0" w:type="dxa"/>
              <w:right w:w="100" w:type="dxa"/>
            </w:tcMar>
          </w:tcPr>
          <w:p w14:paraId="08A5B960" w14:textId="77777777" w:rsidR="002508D3" w:rsidRDefault="002508D3" w:rsidP="002508D3">
            <w:pPr>
              <w:spacing w:after="0" w:line="240" w:lineRule="auto"/>
              <w:ind w:hanging="50"/>
              <w:rPr>
                <w:rFonts w:eastAsia="Times New Roman" w:cs="Times New Roman"/>
                <w:sz w:val="20"/>
                <w:szCs w:val="20"/>
              </w:rPr>
            </w:pPr>
            <w:bookmarkStart w:id="148" w:name="_heading=h.2iq8gzs" w:colFirst="0" w:colLast="0"/>
            <w:bookmarkEnd w:id="148"/>
            <w:r>
              <w:rPr>
                <w:rFonts w:eastAsia="Times New Roman" w:cs="Times New Roman"/>
                <w:sz w:val="20"/>
                <w:szCs w:val="20"/>
              </w:rPr>
              <w:t>Măsură</w:t>
            </w:r>
          </w:p>
        </w:tc>
        <w:tc>
          <w:tcPr>
            <w:tcW w:w="2127" w:type="dxa"/>
            <w:tcBorders>
              <w:top w:val="single" w:sz="4" w:space="0" w:color="auto"/>
              <w:left w:val="single" w:sz="4" w:space="0" w:color="auto"/>
              <w:bottom w:val="single" w:sz="4" w:space="0" w:color="auto"/>
              <w:right w:val="single" w:sz="4" w:space="0" w:color="auto"/>
            </w:tcBorders>
          </w:tcPr>
          <w:p w14:paraId="58C54834" w14:textId="77777777" w:rsidR="002508D3" w:rsidRPr="00DF369E" w:rsidRDefault="002508D3" w:rsidP="002508D3">
            <w:pPr>
              <w:spacing w:after="0" w:line="240" w:lineRule="auto"/>
              <w:ind w:firstLine="35"/>
              <w:rPr>
                <w:rFonts w:eastAsia="Times New Roman" w:cs="Times New Roman"/>
                <w:b/>
                <w:sz w:val="20"/>
                <w:szCs w:val="20"/>
              </w:rPr>
            </w:pPr>
            <w:r>
              <w:rPr>
                <w:rFonts w:eastAsia="Times New Roman" w:cs="Times New Roman"/>
                <w:b/>
                <w:sz w:val="20"/>
                <w:szCs w:val="20"/>
              </w:rPr>
              <w:t>Obiective vizate</w:t>
            </w:r>
          </w:p>
        </w:tc>
        <w:tc>
          <w:tcPr>
            <w:tcW w:w="4253" w:type="dxa"/>
            <w:tcBorders>
              <w:top w:val="single" w:sz="5" w:space="0" w:color="000000"/>
              <w:left w:val="single" w:sz="4" w:space="0" w:color="auto"/>
              <w:bottom w:val="single" w:sz="5" w:space="0" w:color="000000"/>
              <w:right w:val="single" w:sz="5" w:space="0" w:color="000000"/>
            </w:tcBorders>
            <w:tcMar>
              <w:top w:w="0" w:type="dxa"/>
              <w:left w:w="100" w:type="dxa"/>
              <w:bottom w:w="0" w:type="dxa"/>
              <w:right w:w="100" w:type="dxa"/>
            </w:tcMar>
          </w:tcPr>
          <w:p w14:paraId="236FD2CD" w14:textId="77777777" w:rsidR="002508D3" w:rsidRPr="00DF369E" w:rsidRDefault="002508D3" w:rsidP="002508D3">
            <w:pPr>
              <w:spacing w:after="0" w:line="240" w:lineRule="auto"/>
              <w:ind w:firstLine="42"/>
              <w:rPr>
                <w:rFonts w:eastAsia="Times New Roman" w:cs="Times New Roman"/>
                <w:b/>
                <w:sz w:val="20"/>
                <w:szCs w:val="20"/>
              </w:rPr>
            </w:pPr>
            <w:r w:rsidRPr="00DF369E">
              <w:rPr>
                <w:rFonts w:eastAsia="Times New Roman" w:cs="Times New Roman"/>
                <w:b/>
                <w:sz w:val="20"/>
                <w:szCs w:val="20"/>
              </w:rPr>
              <w:t>Activitate</w:t>
            </w:r>
          </w:p>
        </w:tc>
        <w:tc>
          <w:tcPr>
            <w:tcW w:w="1276"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13F6C922" w14:textId="77777777" w:rsidR="002508D3" w:rsidRDefault="002508D3" w:rsidP="002508D3">
            <w:pPr>
              <w:spacing w:after="0" w:line="240" w:lineRule="auto"/>
              <w:ind w:hanging="100"/>
              <w:rPr>
                <w:rFonts w:eastAsia="Times New Roman" w:cs="Times New Roman"/>
                <w:sz w:val="20"/>
                <w:szCs w:val="20"/>
              </w:rPr>
            </w:pPr>
            <w:r>
              <w:rPr>
                <w:rFonts w:eastAsia="Times New Roman" w:cs="Times New Roman"/>
                <w:sz w:val="20"/>
                <w:szCs w:val="20"/>
              </w:rPr>
              <w:t>Prioritate</w:t>
            </w:r>
          </w:p>
        </w:tc>
        <w:tc>
          <w:tcPr>
            <w:tcW w:w="1417"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7D8EDBD7"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Termen de implementare</w:t>
            </w:r>
          </w:p>
        </w:tc>
        <w:tc>
          <w:tcPr>
            <w:tcW w:w="1418"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6C94B3AD"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Instituții responsabile</w:t>
            </w:r>
          </w:p>
        </w:tc>
        <w:tc>
          <w:tcPr>
            <w:tcW w:w="1701"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1FBDD555"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Finanțare</w:t>
            </w:r>
          </w:p>
        </w:tc>
      </w:tr>
      <w:tr w:rsidR="002508D3" w14:paraId="61A4AFE5" w14:textId="77777777" w:rsidTr="00E65A44">
        <w:trPr>
          <w:trHeight w:val="528"/>
        </w:trPr>
        <w:tc>
          <w:tcPr>
            <w:tcW w:w="1892" w:type="dxa"/>
            <w:vMerge w:val="restart"/>
            <w:tcBorders>
              <w:top w:val="nil"/>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39170CC8" w14:textId="77777777" w:rsidR="002508D3" w:rsidRDefault="002508D3" w:rsidP="002508D3">
            <w:pPr>
              <w:spacing w:after="0" w:line="240" w:lineRule="auto"/>
              <w:ind w:hanging="50"/>
              <w:rPr>
                <w:rFonts w:eastAsia="Times New Roman" w:cs="Times New Roman"/>
                <w:sz w:val="20"/>
                <w:szCs w:val="20"/>
              </w:rPr>
            </w:pPr>
            <w:r>
              <w:rPr>
                <w:rFonts w:eastAsia="Times New Roman" w:cs="Times New Roman"/>
                <w:sz w:val="20"/>
                <w:szCs w:val="20"/>
              </w:rPr>
              <w:t>M6.1 Aplicarea de soluții moderne, simple și cost-eficiente pentru monitorizarea efectelor eroziunii costiere</w:t>
            </w:r>
          </w:p>
        </w:tc>
        <w:tc>
          <w:tcPr>
            <w:tcW w:w="2127" w:type="dxa"/>
            <w:vMerge w:val="restart"/>
            <w:tcBorders>
              <w:top w:val="single" w:sz="4" w:space="0" w:color="auto"/>
              <w:left w:val="single" w:sz="4" w:space="0" w:color="auto"/>
              <w:right w:val="single" w:sz="4" w:space="0" w:color="auto"/>
            </w:tcBorders>
          </w:tcPr>
          <w:p w14:paraId="44521E9C" w14:textId="77777777" w:rsidR="002508D3" w:rsidRPr="00DF369E" w:rsidRDefault="002508D3" w:rsidP="002508D3">
            <w:pPr>
              <w:spacing w:line="240" w:lineRule="auto"/>
              <w:ind w:firstLine="35"/>
              <w:rPr>
                <w:rFonts w:eastAsia="Times New Roman" w:cs="Times New Roman"/>
                <w:sz w:val="20"/>
                <w:szCs w:val="20"/>
              </w:rPr>
            </w:pPr>
            <w:r w:rsidRPr="00DF369E">
              <w:rPr>
                <w:rFonts w:eastAsia="Times New Roman" w:cs="Times New Roman"/>
                <w:sz w:val="20"/>
                <w:szCs w:val="20"/>
              </w:rPr>
              <w:t>Os2.d Întărirea sistemului de management al riscurilor pentru hazarde naturale și antropice, luând în calcul și impactul schimbărilor climatice;</w:t>
            </w:r>
          </w:p>
          <w:p w14:paraId="1D6D2B3A" w14:textId="77777777" w:rsidR="002508D3" w:rsidRDefault="002508D3" w:rsidP="002508D3">
            <w:pPr>
              <w:spacing w:line="240" w:lineRule="auto"/>
              <w:ind w:firstLine="35"/>
              <w:rPr>
                <w:rFonts w:eastAsia="Times New Roman" w:cs="Times New Roman"/>
                <w:sz w:val="20"/>
                <w:szCs w:val="20"/>
              </w:rPr>
            </w:pPr>
            <w:r w:rsidRPr="00DF369E">
              <w:rPr>
                <w:rFonts w:eastAsia="Times New Roman" w:cs="Times New Roman"/>
                <w:sz w:val="20"/>
                <w:szCs w:val="20"/>
              </w:rPr>
              <w:t>Os3.b. Stabilirea unui sistem performant de supraveghere a eficienței implementării planificării spațiale prin realizarea Geamănului Digital (Digital Twin) a litoralului românesc</w:t>
            </w:r>
          </w:p>
        </w:tc>
        <w:tc>
          <w:tcPr>
            <w:tcW w:w="4253"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002020C6"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A 6.1.1 Dezvoltarea unui serviciu național operațional, automat și gratuit de monitorizare a liniei țărmului pe baza imaginilor satelitare cu acces liber și gratuite (precum Sentinel-2 sau Landsat 8/9)</w:t>
            </w:r>
          </w:p>
        </w:tc>
        <w:tc>
          <w:tcPr>
            <w:tcW w:w="127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B95F117" w14:textId="77777777" w:rsidR="002508D3" w:rsidRDefault="002508D3" w:rsidP="002508D3">
            <w:pPr>
              <w:spacing w:after="0" w:line="240" w:lineRule="auto"/>
              <w:ind w:hanging="100"/>
              <w:rPr>
                <w:rFonts w:eastAsia="Times New Roman" w:cs="Times New Roman"/>
                <w:sz w:val="20"/>
                <w:szCs w:val="20"/>
              </w:rPr>
            </w:pPr>
            <w:r>
              <w:rPr>
                <w:rFonts w:eastAsia="Times New Roman" w:cs="Times New Roman"/>
                <w:sz w:val="20"/>
                <w:szCs w:val="20"/>
              </w:rPr>
              <w:t>Medie</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24F0327"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2027</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C38EAE0"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MCID (INCDM Grigore Antipa, INCD GeoEcoMar), ME (UB, UOC)</w:t>
            </w:r>
          </w:p>
        </w:tc>
        <w:tc>
          <w:tcPr>
            <w:tcW w:w="1701"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E976905" w14:textId="7605FCBA"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Planul Național de Cercetare Dezvoltare și Inovare 2022-2027 (PNCDI IV), și Horizon Europe</w:t>
            </w:r>
          </w:p>
        </w:tc>
      </w:tr>
      <w:tr w:rsidR="002508D3" w14:paraId="3C64D1FE" w14:textId="77777777" w:rsidTr="002508D3">
        <w:trPr>
          <w:trHeight w:val="981"/>
        </w:trPr>
        <w:tc>
          <w:tcPr>
            <w:tcW w:w="1892" w:type="dxa"/>
            <w:vMerge/>
            <w:tcBorders>
              <w:top w:val="nil"/>
              <w:left w:val="single" w:sz="5" w:space="0" w:color="000000"/>
              <w:bottom w:val="single" w:sz="4" w:space="0" w:color="auto"/>
              <w:right w:val="single" w:sz="4" w:space="0" w:color="auto"/>
            </w:tcBorders>
            <w:shd w:val="clear" w:color="auto" w:fill="auto"/>
            <w:tcMar>
              <w:top w:w="0" w:type="dxa"/>
              <w:left w:w="100" w:type="dxa"/>
              <w:bottom w:w="0" w:type="dxa"/>
              <w:right w:w="100" w:type="dxa"/>
            </w:tcMar>
          </w:tcPr>
          <w:p w14:paraId="05FCBE2F" w14:textId="77777777" w:rsidR="002508D3" w:rsidRDefault="002508D3" w:rsidP="002508D3">
            <w:pPr>
              <w:widowControl w:val="0"/>
              <w:pBdr>
                <w:top w:val="nil"/>
                <w:left w:val="nil"/>
                <w:bottom w:val="nil"/>
                <w:right w:val="nil"/>
                <w:between w:val="nil"/>
              </w:pBdr>
              <w:spacing w:after="0"/>
              <w:ind w:hanging="50"/>
              <w:rPr>
                <w:rFonts w:eastAsia="Times New Roman" w:cs="Times New Roman"/>
                <w:sz w:val="20"/>
                <w:szCs w:val="20"/>
              </w:rPr>
            </w:pPr>
          </w:p>
        </w:tc>
        <w:tc>
          <w:tcPr>
            <w:tcW w:w="2127" w:type="dxa"/>
            <w:vMerge/>
            <w:tcBorders>
              <w:left w:val="single" w:sz="4" w:space="0" w:color="auto"/>
              <w:bottom w:val="single" w:sz="4" w:space="0" w:color="auto"/>
              <w:right w:val="single" w:sz="4" w:space="0" w:color="auto"/>
            </w:tcBorders>
          </w:tcPr>
          <w:p w14:paraId="4C18CA52" w14:textId="77777777" w:rsidR="002508D3" w:rsidRDefault="002508D3" w:rsidP="002508D3">
            <w:pPr>
              <w:spacing w:after="0" w:line="240" w:lineRule="auto"/>
              <w:ind w:firstLine="35"/>
              <w:rPr>
                <w:rFonts w:eastAsia="Times New Roman" w:cs="Times New Roman"/>
                <w:sz w:val="20"/>
                <w:szCs w:val="20"/>
              </w:rPr>
            </w:pPr>
          </w:p>
        </w:tc>
        <w:tc>
          <w:tcPr>
            <w:tcW w:w="4253" w:type="dxa"/>
            <w:tcBorders>
              <w:top w:val="nil"/>
              <w:left w:val="single" w:sz="4" w:space="0" w:color="auto"/>
              <w:bottom w:val="single" w:sz="4" w:space="0" w:color="auto"/>
              <w:right w:val="single" w:sz="5" w:space="0" w:color="000000"/>
            </w:tcBorders>
            <w:shd w:val="clear" w:color="auto" w:fill="auto"/>
            <w:tcMar>
              <w:top w:w="0" w:type="dxa"/>
              <w:left w:w="100" w:type="dxa"/>
              <w:bottom w:w="0" w:type="dxa"/>
              <w:right w:w="100" w:type="dxa"/>
            </w:tcMar>
          </w:tcPr>
          <w:p w14:paraId="6E167CEF"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A 6.1.2 Implementarea sistemului național de monitorizare a liniei țărmului mării</w:t>
            </w:r>
          </w:p>
          <w:p w14:paraId="6FC3D229"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 xml:space="preserve"> </w:t>
            </w:r>
          </w:p>
        </w:tc>
        <w:tc>
          <w:tcPr>
            <w:tcW w:w="1276"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46625A1E" w14:textId="77777777" w:rsidR="002508D3" w:rsidRDefault="002508D3" w:rsidP="002508D3">
            <w:pPr>
              <w:spacing w:after="0" w:line="240" w:lineRule="auto"/>
              <w:ind w:hanging="100"/>
              <w:rPr>
                <w:rFonts w:eastAsia="Times New Roman" w:cs="Times New Roman"/>
                <w:sz w:val="20"/>
                <w:szCs w:val="20"/>
              </w:rPr>
            </w:pPr>
            <w:r>
              <w:rPr>
                <w:rFonts w:eastAsia="Times New Roman" w:cs="Times New Roman"/>
                <w:sz w:val="20"/>
                <w:szCs w:val="20"/>
              </w:rPr>
              <w:t>Medie</w:t>
            </w:r>
          </w:p>
        </w:tc>
        <w:tc>
          <w:tcPr>
            <w:tcW w:w="1417"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4628080A"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8"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08C94AFE"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MMAP</w:t>
            </w:r>
          </w:p>
        </w:tc>
        <w:tc>
          <w:tcPr>
            <w:tcW w:w="1701"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2D4EA035" w14:textId="5EBD69D3"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buget propriu MMAP</w:t>
            </w:r>
          </w:p>
        </w:tc>
      </w:tr>
      <w:tr w:rsidR="002508D3" w14:paraId="47A5F6C7" w14:textId="77777777" w:rsidTr="002508D3">
        <w:trPr>
          <w:trHeight w:val="1395"/>
        </w:trPr>
        <w:tc>
          <w:tcPr>
            <w:tcW w:w="1892" w:type="dxa"/>
            <w:vMerge w:val="restart"/>
            <w:tcBorders>
              <w:top w:val="single" w:sz="4" w:space="0" w:color="auto"/>
              <w:left w:val="single" w:sz="6" w:space="0" w:color="000000"/>
              <w:bottom w:val="single" w:sz="5" w:space="0" w:color="000000"/>
              <w:right w:val="single" w:sz="4" w:space="0" w:color="auto"/>
            </w:tcBorders>
            <w:shd w:val="clear" w:color="auto" w:fill="auto"/>
            <w:tcMar>
              <w:top w:w="0" w:type="dxa"/>
              <w:left w:w="100" w:type="dxa"/>
              <w:bottom w:w="0" w:type="dxa"/>
              <w:right w:w="100" w:type="dxa"/>
            </w:tcMar>
          </w:tcPr>
          <w:p w14:paraId="02D8D4B8" w14:textId="77777777" w:rsidR="002508D3" w:rsidRDefault="002508D3" w:rsidP="002508D3">
            <w:pPr>
              <w:spacing w:after="0" w:line="240" w:lineRule="auto"/>
              <w:ind w:hanging="50"/>
              <w:rPr>
                <w:rFonts w:eastAsia="Times New Roman" w:cs="Times New Roman"/>
                <w:sz w:val="20"/>
                <w:szCs w:val="20"/>
              </w:rPr>
            </w:pPr>
            <w:r>
              <w:rPr>
                <w:rFonts w:eastAsia="Times New Roman" w:cs="Times New Roman"/>
                <w:sz w:val="20"/>
                <w:szCs w:val="20"/>
              </w:rPr>
              <w:t>M6.2 Îmbunătățirea managementului sedimentelor în Delta Dunării și pe țărmu românesc al Mării Negre</w:t>
            </w:r>
          </w:p>
        </w:tc>
        <w:tc>
          <w:tcPr>
            <w:tcW w:w="2127" w:type="dxa"/>
            <w:vMerge w:val="restart"/>
            <w:tcBorders>
              <w:top w:val="single" w:sz="4" w:space="0" w:color="auto"/>
              <w:left w:val="single" w:sz="4" w:space="0" w:color="auto"/>
              <w:right w:val="single" w:sz="4" w:space="0" w:color="auto"/>
            </w:tcBorders>
          </w:tcPr>
          <w:p w14:paraId="53654958" w14:textId="77777777" w:rsidR="002508D3" w:rsidRPr="00DF369E" w:rsidRDefault="002508D3" w:rsidP="002508D3">
            <w:pPr>
              <w:spacing w:line="240" w:lineRule="auto"/>
              <w:ind w:firstLine="35"/>
              <w:rPr>
                <w:rFonts w:eastAsia="Times New Roman" w:cs="Times New Roman"/>
                <w:sz w:val="20"/>
                <w:szCs w:val="20"/>
              </w:rPr>
            </w:pPr>
            <w:r w:rsidRPr="00DF369E">
              <w:rPr>
                <w:rFonts w:eastAsia="Times New Roman" w:cs="Times New Roman"/>
                <w:sz w:val="20"/>
                <w:szCs w:val="20"/>
              </w:rPr>
              <w:t xml:space="preserve">Os2.d Întărirea sistemului de management al riscurilor pentru hazarde naturale și antropice, luând în </w:t>
            </w:r>
            <w:r w:rsidRPr="00DF369E">
              <w:rPr>
                <w:rFonts w:eastAsia="Times New Roman" w:cs="Times New Roman"/>
                <w:sz w:val="20"/>
                <w:szCs w:val="20"/>
              </w:rPr>
              <w:lastRenderedPageBreak/>
              <w:t>calcul și impactul schimbărilor climatice;</w:t>
            </w:r>
          </w:p>
          <w:p w14:paraId="6FBB9F24" w14:textId="77777777" w:rsidR="002508D3" w:rsidRDefault="002508D3" w:rsidP="002508D3">
            <w:pPr>
              <w:spacing w:line="240" w:lineRule="auto"/>
              <w:ind w:firstLine="35"/>
              <w:rPr>
                <w:rFonts w:eastAsia="Times New Roman" w:cs="Times New Roman"/>
                <w:sz w:val="20"/>
                <w:szCs w:val="20"/>
              </w:rPr>
            </w:pPr>
            <w:r w:rsidRPr="00DF369E">
              <w:rPr>
                <w:rFonts w:eastAsia="Times New Roman" w:cs="Times New Roman"/>
                <w:sz w:val="20"/>
                <w:szCs w:val="20"/>
              </w:rPr>
              <w:t>Os3.b. Stabilirea unui sistem performant de supraveghere a eficienței implementării planificării spațiale prin realizarea Geamănului Digital (Digital Twin) a litoralului românesc</w:t>
            </w:r>
          </w:p>
        </w:tc>
        <w:tc>
          <w:tcPr>
            <w:tcW w:w="4253" w:type="dxa"/>
            <w:tcBorders>
              <w:top w:val="single" w:sz="4" w:space="0" w:color="auto"/>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0BD527AF"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lastRenderedPageBreak/>
              <w:t>A 6.2.1 Dezvoltarea de instrumente moderne și cost eficiente de monitorizare a fluxului sedimentelor în interiorul Deltei Dunării, cât și pe întreg țărmul românesc al Mării Negre</w:t>
            </w:r>
          </w:p>
        </w:tc>
        <w:tc>
          <w:tcPr>
            <w:tcW w:w="1276"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0B6024F1" w14:textId="77777777" w:rsidR="002508D3" w:rsidRDefault="002508D3" w:rsidP="002508D3">
            <w:pPr>
              <w:spacing w:after="0" w:line="240" w:lineRule="auto"/>
              <w:ind w:hanging="100"/>
              <w:rPr>
                <w:rFonts w:eastAsia="Times New Roman" w:cs="Times New Roman"/>
                <w:sz w:val="20"/>
                <w:szCs w:val="20"/>
              </w:rPr>
            </w:pPr>
            <w:r>
              <w:rPr>
                <w:rFonts w:eastAsia="Times New Roman" w:cs="Times New Roman"/>
                <w:sz w:val="20"/>
                <w:szCs w:val="20"/>
              </w:rPr>
              <w:t>Medie</w:t>
            </w:r>
          </w:p>
        </w:tc>
        <w:tc>
          <w:tcPr>
            <w:tcW w:w="1417"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0275E628"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8"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000B2D47"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MCID (INCD GeoEcoMar, INCDM Grigore Antipa, INCDDD), ME (UB)</w:t>
            </w:r>
          </w:p>
        </w:tc>
        <w:tc>
          <w:tcPr>
            <w:tcW w:w="1701" w:type="dxa"/>
            <w:tcBorders>
              <w:top w:val="single" w:sz="4" w:space="0" w:color="auto"/>
              <w:left w:val="nil"/>
              <w:bottom w:val="single" w:sz="5" w:space="0" w:color="000000"/>
              <w:right w:val="single" w:sz="6" w:space="0" w:color="000000"/>
            </w:tcBorders>
            <w:shd w:val="clear" w:color="auto" w:fill="auto"/>
            <w:tcMar>
              <w:top w:w="0" w:type="dxa"/>
              <w:left w:w="100" w:type="dxa"/>
              <w:bottom w:w="0" w:type="dxa"/>
              <w:right w:w="100" w:type="dxa"/>
            </w:tcMar>
          </w:tcPr>
          <w:p w14:paraId="47D4BEBB" w14:textId="5D1909C1"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PNCDI IV, PNRR și Horizon Europe</w:t>
            </w:r>
          </w:p>
        </w:tc>
      </w:tr>
      <w:tr w:rsidR="002508D3" w14:paraId="0A4498CF" w14:textId="77777777" w:rsidTr="002508D3">
        <w:trPr>
          <w:trHeight w:val="1665"/>
        </w:trPr>
        <w:tc>
          <w:tcPr>
            <w:tcW w:w="1892" w:type="dxa"/>
            <w:vMerge/>
            <w:tcBorders>
              <w:top w:val="nil"/>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44F8F9F3" w14:textId="77777777" w:rsidR="002508D3" w:rsidRDefault="002508D3" w:rsidP="002508D3">
            <w:pPr>
              <w:widowControl w:val="0"/>
              <w:pBdr>
                <w:top w:val="nil"/>
                <w:left w:val="nil"/>
                <w:bottom w:val="nil"/>
                <w:right w:val="nil"/>
                <w:between w:val="nil"/>
              </w:pBdr>
              <w:spacing w:after="0"/>
              <w:ind w:hanging="50"/>
              <w:rPr>
                <w:rFonts w:eastAsia="Times New Roman" w:cs="Times New Roman"/>
                <w:sz w:val="20"/>
                <w:szCs w:val="20"/>
              </w:rPr>
            </w:pPr>
          </w:p>
        </w:tc>
        <w:tc>
          <w:tcPr>
            <w:tcW w:w="2127" w:type="dxa"/>
            <w:vMerge/>
            <w:tcBorders>
              <w:left w:val="single" w:sz="4" w:space="0" w:color="auto"/>
              <w:bottom w:val="single" w:sz="4" w:space="0" w:color="auto"/>
              <w:right w:val="single" w:sz="4" w:space="0" w:color="auto"/>
            </w:tcBorders>
          </w:tcPr>
          <w:p w14:paraId="1E99A7F6" w14:textId="77777777" w:rsidR="002508D3" w:rsidRDefault="002508D3" w:rsidP="002508D3">
            <w:pPr>
              <w:spacing w:after="0" w:line="240" w:lineRule="auto"/>
              <w:ind w:firstLine="35"/>
              <w:rPr>
                <w:rFonts w:eastAsia="Times New Roman" w:cs="Times New Roman"/>
                <w:sz w:val="20"/>
                <w:szCs w:val="20"/>
              </w:rPr>
            </w:pPr>
          </w:p>
        </w:tc>
        <w:tc>
          <w:tcPr>
            <w:tcW w:w="4253"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07CD4331"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A 6.2.2 Crearea unor mecanisme de management al sedimentelor în Delta Dunării și pe țărmul românesc al Mării Negre</w:t>
            </w:r>
          </w:p>
        </w:tc>
        <w:tc>
          <w:tcPr>
            <w:tcW w:w="127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8975277" w14:textId="77777777" w:rsidR="002508D3" w:rsidRDefault="002508D3" w:rsidP="002508D3">
            <w:pPr>
              <w:spacing w:after="0" w:line="240" w:lineRule="auto"/>
              <w:ind w:hanging="100"/>
              <w:rPr>
                <w:rFonts w:eastAsia="Times New Roman" w:cs="Times New Roman"/>
                <w:sz w:val="20"/>
                <w:szCs w:val="20"/>
              </w:rPr>
            </w:pPr>
            <w:r>
              <w:rPr>
                <w:rFonts w:eastAsia="Times New Roman" w:cs="Times New Roman"/>
                <w:sz w:val="20"/>
                <w:szCs w:val="20"/>
              </w:rPr>
              <w:t>Medie</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0438AC1"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A2EDAB2"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MMAP, MCID (INCD GeoEcoMar, INCDM Grigore Antipa, INCDDD), ME (UB)</w:t>
            </w:r>
          </w:p>
        </w:tc>
        <w:tc>
          <w:tcPr>
            <w:tcW w:w="1701"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2888434" w14:textId="21047EC0"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PNCDI IV,, PNRR și Horizon Europe</w:t>
            </w:r>
          </w:p>
        </w:tc>
      </w:tr>
      <w:tr w:rsidR="002508D3" w14:paraId="1A6C7FD5" w14:textId="77777777" w:rsidTr="002508D3">
        <w:trPr>
          <w:trHeight w:val="555"/>
        </w:trPr>
        <w:tc>
          <w:tcPr>
            <w:tcW w:w="1892" w:type="dxa"/>
            <w:vMerge w:val="restart"/>
            <w:tcBorders>
              <w:top w:val="nil"/>
              <w:left w:val="single" w:sz="6" w:space="0" w:color="000000"/>
              <w:bottom w:val="single" w:sz="5" w:space="0" w:color="000000"/>
              <w:right w:val="single" w:sz="4" w:space="0" w:color="auto"/>
            </w:tcBorders>
            <w:shd w:val="clear" w:color="auto" w:fill="auto"/>
            <w:tcMar>
              <w:top w:w="0" w:type="dxa"/>
              <w:left w:w="100" w:type="dxa"/>
              <w:bottom w:w="0" w:type="dxa"/>
              <w:right w:w="100" w:type="dxa"/>
            </w:tcMar>
          </w:tcPr>
          <w:p w14:paraId="04A6EF7B" w14:textId="77777777" w:rsidR="002508D3" w:rsidRDefault="002508D3" w:rsidP="002508D3">
            <w:pPr>
              <w:spacing w:after="0" w:line="240" w:lineRule="auto"/>
              <w:ind w:hanging="50"/>
              <w:rPr>
                <w:rFonts w:eastAsia="Times New Roman" w:cs="Times New Roman"/>
                <w:sz w:val="20"/>
                <w:szCs w:val="20"/>
              </w:rPr>
            </w:pPr>
            <w:r>
              <w:rPr>
                <w:rFonts w:eastAsia="Times New Roman" w:cs="Times New Roman"/>
                <w:sz w:val="20"/>
                <w:szCs w:val="20"/>
              </w:rPr>
              <w:t>M6.3 Realizarea unei evaluări detaliate a vulnerabilității zonei de coastă la furtuni extreme, identificarea și analizarea riscurilor potențiale și stabilirea de măsuri prioritare de prevenire, atenuare, adaptare și remediere</w:t>
            </w:r>
          </w:p>
        </w:tc>
        <w:tc>
          <w:tcPr>
            <w:tcW w:w="2127" w:type="dxa"/>
            <w:vMerge w:val="restart"/>
            <w:tcBorders>
              <w:top w:val="single" w:sz="4" w:space="0" w:color="auto"/>
              <w:left w:val="single" w:sz="4" w:space="0" w:color="auto"/>
              <w:right w:val="single" w:sz="4" w:space="0" w:color="auto"/>
            </w:tcBorders>
          </w:tcPr>
          <w:p w14:paraId="133DF097" w14:textId="77777777" w:rsidR="002508D3" w:rsidRDefault="002508D3" w:rsidP="002508D3">
            <w:pPr>
              <w:spacing w:after="0" w:line="240" w:lineRule="auto"/>
              <w:ind w:firstLine="35"/>
              <w:rPr>
                <w:rFonts w:eastAsia="Times New Roman" w:cs="Times New Roman"/>
                <w:sz w:val="20"/>
                <w:szCs w:val="20"/>
              </w:rPr>
            </w:pPr>
            <w:r w:rsidRPr="00DF369E">
              <w:rPr>
                <w:rFonts w:eastAsia="Times New Roman" w:cs="Times New Roman"/>
                <w:sz w:val="20"/>
                <w:szCs w:val="20"/>
              </w:rPr>
              <w:t>Os2.d Întărirea sistemului de management al riscurilor pentru hazarde naturale și antropice, luând în calcul și impactul schimbărilor climatice.</w:t>
            </w:r>
          </w:p>
        </w:tc>
        <w:tc>
          <w:tcPr>
            <w:tcW w:w="4253"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4A439F74"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A 6.3.1 Extinderea spațială a rețelei de maregrafe și anemografe</w:t>
            </w:r>
          </w:p>
        </w:tc>
        <w:tc>
          <w:tcPr>
            <w:tcW w:w="127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F4913BD" w14:textId="77777777" w:rsidR="002508D3" w:rsidRDefault="002508D3" w:rsidP="002508D3">
            <w:pPr>
              <w:spacing w:after="0" w:line="240" w:lineRule="auto"/>
              <w:ind w:hanging="100"/>
              <w:rPr>
                <w:rFonts w:eastAsia="Times New Roman" w:cs="Times New Roman"/>
                <w:sz w:val="20"/>
                <w:szCs w:val="20"/>
              </w:rPr>
            </w:pPr>
            <w:r>
              <w:rPr>
                <w:rFonts w:eastAsia="Times New Roman" w:cs="Times New Roman"/>
                <w:sz w:val="20"/>
                <w:szCs w:val="20"/>
              </w:rPr>
              <w:t>Medie</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186F108"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0D9A2A9"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MMAP (ANM, ABADL)</w:t>
            </w:r>
          </w:p>
        </w:tc>
        <w:tc>
          <w:tcPr>
            <w:tcW w:w="1701" w:type="dxa"/>
            <w:tcBorders>
              <w:top w:val="nil"/>
              <w:left w:val="nil"/>
              <w:bottom w:val="single" w:sz="5" w:space="0" w:color="000000"/>
              <w:right w:val="single" w:sz="6" w:space="0" w:color="000000"/>
            </w:tcBorders>
            <w:shd w:val="clear" w:color="auto" w:fill="auto"/>
            <w:tcMar>
              <w:top w:w="0" w:type="dxa"/>
              <w:left w:w="100" w:type="dxa"/>
              <w:bottom w:w="0" w:type="dxa"/>
              <w:right w:w="100" w:type="dxa"/>
            </w:tcMar>
          </w:tcPr>
          <w:p w14:paraId="784216AA"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buget propriu MMAP, Programul Regional Sud-Est</w:t>
            </w:r>
          </w:p>
        </w:tc>
      </w:tr>
      <w:tr w:rsidR="002508D3" w14:paraId="0E1A06E9" w14:textId="77777777" w:rsidTr="002508D3">
        <w:trPr>
          <w:trHeight w:val="907"/>
        </w:trPr>
        <w:tc>
          <w:tcPr>
            <w:tcW w:w="1892" w:type="dxa"/>
            <w:vMerge/>
            <w:tcBorders>
              <w:top w:val="nil"/>
              <w:left w:val="single" w:sz="6" w:space="0" w:color="000000"/>
              <w:bottom w:val="single" w:sz="5" w:space="0" w:color="000000"/>
              <w:right w:val="single" w:sz="4" w:space="0" w:color="auto"/>
            </w:tcBorders>
            <w:shd w:val="clear" w:color="auto" w:fill="auto"/>
            <w:tcMar>
              <w:top w:w="0" w:type="dxa"/>
              <w:left w:w="100" w:type="dxa"/>
              <w:bottom w:w="0" w:type="dxa"/>
              <w:right w:w="100" w:type="dxa"/>
            </w:tcMar>
          </w:tcPr>
          <w:p w14:paraId="4F70BC76" w14:textId="77777777" w:rsidR="002508D3" w:rsidRDefault="002508D3" w:rsidP="002508D3">
            <w:pPr>
              <w:widowControl w:val="0"/>
              <w:pBdr>
                <w:top w:val="nil"/>
                <w:left w:val="nil"/>
                <w:bottom w:val="nil"/>
                <w:right w:val="nil"/>
                <w:between w:val="nil"/>
              </w:pBdr>
              <w:spacing w:after="0"/>
              <w:rPr>
                <w:rFonts w:eastAsia="Times New Roman" w:cs="Times New Roman"/>
                <w:sz w:val="20"/>
                <w:szCs w:val="20"/>
              </w:rPr>
            </w:pPr>
          </w:p>
        </w:tc>
        <w:tc>
          <w:tcPr>
            <w:tcW w:w="2127" w:type="dxa"/>
            <w:vMerge/>
            <w:tcBorders>
              <w:left w:val="single" w:sz="4" w:space="0" w:color="auto"/>
              <w:right w:val="single" w:sz="4" w:space="0" w:color="auto"/>
            </w:tcBorders>
          </w:tcPr>
          <w:p w14:paraId="32FAC98B" w14:textId="77777777" w:rsidR="002508D3" w:rsidRDefault="002508D3" w:rsidP="002508D3">
            <w:pPr>
              <w:spacing w:after="0" w:line="240" w:lineRule="auto"/>
              <w:ind w:firstLine="35"/>
              <w:rPr>
                <w:rFonts w:eastAsia="Times New Roman" w:cs="Times New Roman"/>
                <w:sz w:val="20"/>
                <w:szCs w:val="20"/>
              </w:rPr>
            </w:pPr>
          </w:p>
        </w:tc>
        <w:tc>
          <w:tcPr>
            <w:tcW w:w="4253"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5A12A8B2"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A 6.3.2 Dezvoltarea de sisteme inteligente de observații meteorologice, hidrologice și hidrografice locale ca suport pentru evaluarea riscurilor</w:t>
            </w:r>
          </w:p>
        </w:tc>
        <w:tc>
          <w:tcPr>
            <w:tcW w:w="127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8DE8E48" w14:textId="77777777" w:rsidR="002508D3" w:rsidRDefault="002508D3" w:rsidP="002508D3">
            <w:pPr>
              <w:spacing w:after="0" w:line="240" w:lineRule="auto"/>
              <w:ind w:hanging="100"/>
              <w:rPr>
                <w:rFonts w:eastAsia="Times New Roman" w:cs="Times New Roman"/>
                <w:sz w:val="20"/>
                <w:szCs w:val="20"/>
              </w:rPr>
            </w:pPr>
            <w:r>
              <w:rPr>
                <w:rFonts w:eastAsia="Times New Roman" w:cs="Times New Roman"/>
                <w:sz w:val="20"/>
                <w:szCs w:val="20"/>
              </w:rPr>
              <w:t>Medie</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D051CED"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8336F7D"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MMAP (ANM), MCID (INCD-uri), ME (universități)</w:t>
            </w:r>
          </w:p>
        </w:tc>
        <w:tc>
          <w:tcPr>
            <w:tcW w:w="1701" w:type="dxa"/>
            <w:tcBorders>
              <w:top w:val="nil"/>
              <w:left w:val="nil"/>
              <w:bottom w:val="single" w:sz="5" w:space="0" w:color="000000"/>
              <w:right w:val="single" w:sz="6" w:space="0" w:color="000000"/>
            </w:tcBorders>
            <w:shd w:val="clear" w:color="auto" w:fill="auto"/>
            <w:tcMar>
              <w:top w:w="0" w:type="dxa"/>
              <w:left w:w="100" w:type="dxa"/>
              <w:bottom w:w="0" w:type="dxa"/>
              <w:right w:w="100" w:type="dxa"/>
            </w:tcMar>
          </w:tcPr>
          <w:p w14:paraId="2848DB83"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buget propriu MMAP, Programul Regional Sud-Est, Horizon Europe, PNCDI IV</w:t>
            </w:r>
          </w:p>
        </w:tc>
      </w:tr>
      <w:tr w:rsidR="002508D3" w14:paraId="3E67F31B" w14:textId="77777777" w:rsidTr="002508D3">
        <w:trPr>
          <w:trHeight w:val="758"/>
        </w:trPr>
        <w:tc>
          <w:tcPr>
            <w:tcW w:w="1892" w:type="dxa"/>
            <w:vMerge/>
            <w:tcBorders>
              <w:top w:val="nil"/>
              <w:left w:val="single" w:sz="6" w:space="0" w:color="000000"/>
              <w:bottom w:val="single" w:sz="5" w:space="0" w:color="000000"/>
              <w:right w:val="single" w:sz="4" w:space="0" w:color="auto"/>
            </w:tcBorders>
            <w:shd w:val="clear" w:color="auto" w:fill="auto"/>
            <w:tcMar>
              <w:top w:w="0" w:type="dxa"/>
              <w:left w:w="100" w:type="dxa"/>
              <w:bottom w:w="0" w:type="dxa"/>
              <w:right w:w="100" w:type="dxa"/>
            </w:tcMar>
          </w:tcPr>
          <w:p w14:paraId="1787D5B7" w14:textId="77777777" w:rsidR="002508D3" w:rsidRDefault="002508D3" w:rsidP="002508D3">
            <w:pPr>
              <w:widowControl w:val="0"/>
              <w:pBdr>
                <w:top w:val="nil"/>
                <w:left w:val="nil"/>
                <w:bottom w:val="nil"/>
                <w:right w:val="nil"/>
                <w:between w:val="nil"/>
              </w:pBdr>
              <w:spacing w:after="0"/>
              <w:rPr>
                <w:rFonts w:eastAsia="Times New Roman" w:cs="Times New Roman"/>
                <w:sz w:val="20"/>
                <w:szCs w:val="20"/>
              </w:rPr>
            </w:pPr>
          </w:p>
        </w:tc>
        <w:tc>
          <w:tcPr>
            <w:tcW w:w="2127" w:type="dxa"/>
            <w:vMerge/>
            <w:tcBorders>
              <w:left w:val="single" w:sz="4" w:space="0" w:color="auto"/>
              <w:right w:val="single" w:sz="4" w:space="0" w:color="auto"/>
            </w:tcBorders>
          </w:tcPr>
          <w:p w14:paraId="511E8261" w14:textId="77777777" w:rsidR="002508D3" w:rsidRDefault="002508D3" w:rsidP="002508D3">
            <w:pPr>
              <w:spacing w:after="0" w:line="240" w:lineRule="auto"/>
              <w:ind w:firstLine="35"/>
              <w:rPr>
                <w:rFonts w:eastAsia="Times New Roman" w:cs="Times New Roman"/>
                <w:sz w:val="20"/>
                <w:szCs w:val="20"/>
              </w:rPr>
            </w:pPr>
          </w:p>
        </w:tc>
        <w:tc>
          <w:tcPr>
            <w:tcW w:w="4253"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1A7CA639"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A 6.3.3 Crearea de perdele forestiere împotriva vânturilor puternice</w:t>
            </w:r>
          </w:p>
        </w:tc>
        <w:tc>
          <w:tcPr>
            <w:tcW w:w="127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B018A29" w14:textId="77777777" w:rsidR="002508D3" w:rsidRDefault="002508D3" w:rsidP="002508D3">
            <w:pPr>
              <w:spacing w:after="0" w:line="240" w:lineRule="auto"/>
              <w:ind w:hanging="100"/>
              <w:rPr>
                <w:rFonts w:eastAsia="Times New Roman" w:cs="Times New Roman"/>
                <w:sz w:val="20"/>
                <w:szCs w:val="20"/>
              </w:rPr>
            </w:pPr>
            <w:r>
              <w:rPr>
                <w:rFonts w:eastAsia="Times New Roman" w:cs="Times New Roman"/>
                <w:sz w:val="20"/>
                <w:szCs w:val="20"/>
              </w:rPr>
              <w:t>Ridicată</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51E1C3D"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F2E25BB"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MMAP, autorități locale</w:t>
            </w:r>
          </w:p>
        </w:tc>
        <w:tc>
          <w:tcPr>
            <w:tcW w:w="1701" w:type="dxa"/>
            <w:tcBorders>
              <w:top w:val="nil"/>
              <w:left w:val="nil"/>
              <w:bottom w:val="single" w:sz="5" w:space="0" w:color="000000"/>
              <w:right w:val="single" w:sz="6" w:space="0" w:color="000000"/>
            </w:tcBorders>
            <w:shd w:val="clear" w:color="auto" w:fill="auto"/>
            <w:tcMar>
              <w:top w:w="0" w:type="dxa"/>
              <w:left w:w="100" w:type="dxa"/>
              <w:bottom w:w="0" w:type="dxa"/>
              <w:right w:w="100" w:type="dxa"/>
            </w:tcMar>
          </w:tcPr>
          <w:p w14:paraId="186A3B0C"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bugete locale, Programul Regional Sud-Est, Programul LIFE</w:t>
            </w:r>
          </w:p>
        </w:tc>
      </w:tr>
      <w:tr w:rsidR="002508D3" w14:paraId="44A28ADB" w14:textId="77777777" w:rsidTr="002508D3">
        <w:trPr>
          <w:trHeight w:val="949"/>
        </w:trPr>
        <w:tc>
          <w:tcPr>
            <w:tcW w:w="1892" w:type="dxa"/>
            <w:vMerge/>
            <w:tcBorders>
              <w:top w:val="nil"/>
              <w:left w:val="single" w:sz="6" w:space="0" w:color="000000"/>
              <w:bottom w:val="single" w:sz="4" w:space="0" w:color="auto"/>
              <w:right w:val="single" w:sz="4" w:space="0" w:color="auto"/>
            </w:tcBorders>
            <w:shd w:val="clear" w:color="auto" w:fill="auto"/>
            <w:tcMar>
              <w:top w:w="0" w:type="dxa"/>
              <w:left w:w="100" w:type="dxa"/>
              <w:bottom w:w="0" w:type="dxa"/>
              <w:right w:w="100" w:type="dxa"/>
            </w:tcMar>
          </w:tcPr>
          <w:p w14:paraId="34E6320B" w14:textId="77777777" w:rsidR="002508D3" w:rsidRDefault="002508D3" w:rsidP="002508D3">
            <w:pPr>
              <w:widowControl w:val="0"/>
              <w:pBdr>
                <w:top w:val="nil"/>
                <w:left w:val="nil"/>
                <w:bottom w:val="nil"/>
                <w:right w:val="nil"/>
                <w:between w:val="nil"/>
              </w:pBdr>
              <w:spacing w:after="0"/>
              <w:rPr>
                <w:rFonts w:eastAsia="Times New Roman" w:cs="Times New Roman"/>
                <w:sz w:val="20"/>
                <w:szCs w:val="20"/>
              </w:rPr>
            </w:pPr>
          </w:p>
        </w:tc>
        <w:tc>
          <w:tcPr>
            <w:tcW w:w="2127" w:type="dxa"/>
            <w:vMerge/>
            <w:tcBorders>
              <w:left w:val="single" w:sz="4" w:space="0" w:color="auto"/>
              <w:bottom w:val="single" w:sz="4" w:space="0" w:color="auto"/>
              <w:right w:val="single" w:sz="4" w:space="0" w:color="auto"/>
            </w:tcBorders>
          </w:tcPr>
          <w:p w14:paraId="7E1AA4A9" w14:textId="77777777" w:rsidR="002508D3" w:rsidRDefault="002508D3" w:rsidP="002508D3">
            <w:pPr>
              <w:spacing w:after="0" w:line="240" w:lineRule="auto"/>
              <w:ind w:firstLine="35"/>
              <w:rPr>
                <w:rFonts w:eastAsia="Times New Roman" w:cs="Times New Roman"/>
                <w:sz w:val="20"/>
                <w:szCs w:val="20"/>
              </w:rPr>
            </w:pPr>
          </w:p>
        </w:tc>
        <w:tc>
          <w:tcPr>
            <w:tcW w:w="4253" w:type="dxa"/>
            <w:tcBorders>
              <w:top w:val="nil"/>
              <w:left w:val="single" w:sz="4" w:space="0" w:color="auto"/>
              <w:bottom w:val="single" w:sz="4" w:space="0" w:color="auto"/>
              <w:right w:val="single" w:sz="5" w:space="0" w:color="000000"/>
            </w:tcBorders>
            <w:shd w:val="clear" w:color="auto" w:fill="auto"/>
            <w:tcMar>
              <w:top w:w="0" w:type="dxa"/>
              <w:left w:w="100" w:type="dxa"/>
              <w:bottom w:w="0" w:type="dxa"/>
              <w:right w:w="100" w:type="dxa"/>
            </w:tcMar>
          </w:tcPr>
          <w:p w14:paraId="5F2BF156"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A 6.3.4 Consolidarea infrastructurii existente pentru a suporta impactul furtunilor severe pe baza celor mai recente date privind fenomenele extreme și valurile de furtună</w:t>
            </w:r>
          </w:p>
        </w:tc>
        <w:tc>
          <w:tcPr>
            <w:tcW w:w="1276"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33D65984" w14:textId="77777777" w:rsidR="002508D3" w:rsidRDefault="002508D3" w:rsidP="002508D3">
            <w:pPr>
              <w:spacing w:after="0" w:line="240" w:lineRule="auto"/>
              <w:ind w:hanging="100"/>
              <w:rPr>
                <w:rFonts w:eastAsia="Times New Roman" w:cs="Times New Roman"/>
                <w:sz w:val="20"/>
                <w:szCs w:val="20"/>
              </w:rPr>
            </w:pPr>
            <w:r>
              <w:rPr>
                <w:rFonts w:eastAsia="Times New Roman" w:cs="Times New Roman"/>
                <w:sz w:val="20"/>
                <w:szCs w:val="20"/>
              </w:rPr>
              <w:t>Ridicată</w:t>
            </w:r>
          </w:p>
        </w:tc>
        <w:tc>
          <w:tcPr>
            <w:tcW w:w="1417"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4134FEA9"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8"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291A6DD7"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MMAP, autorități locale</w:t>
            </w:r>
          </w:p>
        </w:tc>
        <w:tc>
          <w:tcPr>
            <w:tcW w:w="1701" w:type="dxa"/>
            <w:tcBorders>
              <w:top w:val="nil"/>
              <w:left w:val="nil"/>
              <w:bottom w:val="single" w:sz="4" w:space="0" w:color="auto"/>
              <w:right w:val="single" w:sz="6" w:space="0" w:color="000000"/>
            </w:tcBorders>
            <w:shd w:val="clear" w:color="auto" w:fill="auto"/>
            <w:tcMar>
              <w:top w:w="0" w:type="dxa"/>
              <w:left w:w="100" w:type="dxa"/>
              <w:bottom w:w="0" w:type="dxa"/>
              <w:right w:w="100" w:type="dxa"/>
            </w:tcMar>
          </w:tcPr>
          <w:p w14:paraId="75F49FC7"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bugete locale, Programul Regional Sud-Est, Programul InvestEU</w:t>
            </w:r>
          </w:p>
        </w:tc>
      </w:tr>
      <w:tr w:rsidR="002508D3" w14:paraId="6EB5C754" w14:textId="77777777" w:rsidTr="002508D3">
        <w:trPr>
          <w:trHeight w:val="840"/>
        </w:trPr>
        <w:tc>
          <w:tcPr>
            <w:tcW w:w="1892" w:type="dxa"/>
            <w:vMerge/>
            <w:tcBorders>
              <w:top w:val="single" w:sz="4" w:space="0" w:color="auto"/>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2AB5CD40" w14:textId="77777777" w:rsidR="002508D3" w:rsidRDefault="002508D3" w:rsidP="002508D3">
            <w:pPr>
              <w:widowControl w:val="0"/>
              <w:pBdr>
                <w:top w:val="nil"/>
                <w:left w:val="nil"/>
                <w:bottom w:val="nil"/>
                <w:right w:val="nil"/>
                <w:between w:val="nil"/>
              </w:pBdr>
              <w:spacing w:after="0"/>
              <w:rPr>
                <w:rFonts w:eastAsia="Times New Roman" w:cs="Times New Roman"/>
                <w:sz w:val="20"/>
                <w:szCs w:val="20"/>
              </w:rPr>
            </w:pPr>
          </w:p>
        </w:tc>
        <w:tc>
          <w:tcPr>
            <w:tcW w:w="2127" w:type="dxa"/>
            <w:vMerge/>
            <w:tcBorders>
              <w:top w:val="single" w:sz="4" w:space="0" w:color="auto"/>
              <w:left w:val="single" w:sz="4" w:space="0" w:color="auto"/>
              <w:right w:val="single" w:sz="4" w:space="0" w:color="auto"/>
            </w:tcBorders>
          </w:tcPr>
          <w:p w14:paraId="1B8FD3FD" w14:textId="77777777" w:rsidR="002508D3" w:rsidRDefault="002508D3" w:rsidP="002508D3">
            <w:pPr>
              <w:spacing w:after="0" w:line="240" w:lineRule="auto"/>
              <w:ind w:firstLine="35"/>
              <w:rPr>
                <w:rFonts w:eastAsia="Times New Roman" w:cs="Times New Roman"/>
                <w:sz w:val="20"/>
                <w:szCs w:val="20"/>
              </w:rPr>
            </w:pPr>
          </w:p>
        </w:tc>
        <w:tc>
          <w:tcPr>
            <w:tcW w:w="4253" w:type="dxa"/>
            <w:tcBorders>
              <w:top w:val="single" w:sz="4" w:space="0" w:color="auto"/>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77C44C2D"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A 6.3.5 Protejarea surselor de apă împotriva intruziunii apei sărate (unde este cazul - localități din Delta Dunării)</w:t>
            </w:r>
          </w:p>
        </w:tc>
        <w:tc>
          <w:tcPr>
            <w:tcW w:w="1276"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40AB4E30" w14:textId="77777777" w:rsidR="002508D3" w:rsidRDefault="002508D3" w:rsidP="002508D3">
            <w:pPr>
              <w:spacing w:after="0" w:line="240" w:lineRule="auto"/>
              <w:ind w:hanging="100"/>
              <w:rPr>
                <w:rFonts w:eastAsia="Times New Roman" w:cs="Times New Roman"/>
                <w:sz w:val="20"/>
                <w:szCs w:val="20"/>
              </w:rPr>
            </w:pPr>
            <w:r>
              <w:rPr>
                <w:rFonts w:eastAsia="Times New Roman" w:cs="Times New Roman"/>
                <w:sz w:val="20"/>
                <w:szCs w:val="20"/>
              </w:rPr>
              <w:t>Ridicată</w:t>
            </w:r>
          </w:p>
        </w:tc>
        <w:tc>
          <w:tcPr>
            <w:tcW w:w="1417"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06E35A63"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8"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5B0F3E5D"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MMAP, MDLPA, autorități locale</w:t>
            </w:r>
          </w:p>
        </w:tc>
        <w:tc>
          <w:tcPr>
            <w:tcW w:w="1701"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72D84AAD"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buget propriu MMAP, bugete locale, Programul Regional Sud-Est,</w:t>
            </w:r>
          </w:p>
        </w:tc>
      </w:tr>
      <w:tr w:rsidR="002508D3" w14:paraId="349A8EC8" w14:textId="77777777" w:rsidTr="002508D3">
        <w:trPr>
          <w:trHeight w:val="1110"/>
        </w:trPr>
        <w:tc>
          <w:tcPr>
            <w:tcW w:w="1892" w:type="dxa"/>
            <w:vMerge/>
            <w:tcBorders>
              <w:top w:val="nil"/>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4EACE4B7" w14:textId="77777777" w:rsidR="002508D3" w:rsidRDefault="002508D3" w:rsidP="002508D3">
            <w:pPr>
              <w:widowControl w:val="0"/>
              <w:pBdr>
                <w:top w:val="nil"/>
                <w:left w:val="nil"/>
                <w:bottom w:val="nil"/>
                <w:right w:val="nil"/>
                <w:between w:val="nil"/>
              </w:pBdr>
              <w:spacing w:after="0"/>
              <w:rPr>
                <w:rFonts w:eastAsia="Times New Roman" w:cs="Times New Roman"/>
                <w:sz w:val="20"/>
                <w:szCs w:val="20"/>
              </w:rPr>
            </w:pPr>
          </w:p>
        </w:tc>
        <w:tc>
          <w:tcPr>
            <w:tcW w:w="2127" w:type="dxa"/>
            <w:vMerge/>
            <w:tcBorders>
              <w:left w:val="single" w:sz="4" w:space="0" w:color="auto"/>
              <w:bottom w:val="single" w:sz="4" w:space="0" w:color="auto"/>
              <w:right w:val="single" w:sz="4" w:space="0" w:color="auto"/>
            </w:tcBorders>
          </w:tcPr>
          <w:p w14:paraId="59CF1C6B" w14:textId="77777777" w:rsidR="002508D3" w:rsidRDefault="002508D3" w:rsidP="002508D3">
            <w:pPr>
              <w:spacing w:after="0" w:line="240" w:lineRule="auto"/>
              <w:ind w:firstLine="35"/>
              <w:rPr>
                <w:rFonts w:eastAsia="Times New Roman" w:cs="Times New Roman"/>
                <w:sz w:val="20"/>
                <w:szCs w:val="20"/>
              </w:rPr>
            </w:pPr>
          </w:p>
        </w:tc>
        <w:tc>
          <w:tcPr>
            <w:tcW w:w="4253"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798209D6"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A 6.3.6 Integrarea, armonizarea și standardizarea modului de raportare a efectelor diferitelor hazarde naturale și antropice între diferitele instituții responsabile (ISU, Serviciul de Ambulanță, Salvamari etc.)</w:t>
            </w:r>
          </w:p>
        </w:tc>
        <w:tc>
          <w:tcPr>
            <w:tcW w:w="127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CC05633" w14:textId="77777777" w:rsidR="002508D3" w:rsidRDefault="002508D3" w:rsidP="002508D3">
            <w:pPr>
              <w:spacing w:after="0" w:line="240" w:lineRule="auto"/>
              <w:ind w:hanging="100"/>
              <w:rPr>
                <w:rFonts w:eastAsia="Times New Roman" w:cs="Times New Roman"/>
                <w:sz w:val="20"/>
                <w:szCs w:val="20"/>
              </w:rPr>
            </w:pPr>
            <w:r>
              <w:rPr>
                <w:rFonts w:eastAsia="Times New Roman" w:cs="Times New Roman"/>
                <w:sz w:val="20"/>
                <w:szCs w:val="20"/>
              </w:rPr>
              <w:t>Medie</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9B794F4"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2027</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2DA37D9" w14:textId="66227090"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MMAP</w:t>
            </w:r>
            <w:r w:rsidR="00214619">
              <w:rPr>
                <w:rFonts w:eastAsia="Times New Roman" w:cs="Times New Roman"/>
                <w:sz w:val="20"/>
                <w:szCs w:val="20"/>
              </w:rPr>
              <w:t>, MAI (IGSU)</w:t>
            </w:r>
          </w:p>
        </w:tc>
        <w:tc>
          <w:tcPr>
            <w:tcW w:w="1701"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89D4631"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buget propriu MMAP</w:t>
            </w:r>
          </w:p>
        </w:tc>
      </w:tr>
      <w:tr w:rsidR="002508D3" w14:paraId="4344F0F0" w14:textId="77777777" w:rsidTr="002508D3">
        <w:trPr>
          <w:trHeight w:val="697"/>
        </w:trPr>
        <w:tc>
          <w:tcPr>
            <w:tcW w:w="1892" w:type="dxa"/>
            <w:vMerge w:val="restart"/>
            <w:tcBorders>
              <w:top w:val="nil"/>
              <w:left w:val="single" w:sz="6" w:space="0" w:color="000000"/>
              <w:bottom w:val="single" w:sz="5" w:space="0" w:color="000000"/>
              <w:right w:val="single" w:sz="4" w:space="0" w:color="auto"/>
            </w:tcBorders>
            <w:shd w:val="clear" w:color="auto" w:fill="auto"/>
            <w:tcMar>
              <w:top w:w="0" w:type="dxa"/>
              <w:left w:w="100" w:type="dxa"/>
              <w:bottom w:w="0" w:type="dxa"/>
              <w:right w:w="100" w:type="dxa"/>
            </w:tcMar>
          </w:tcPr>
          <w:p w14:paraId="2864655A"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M6.4 Realizarea unei evaluări detaliate a vulnerabilității zonei de coastă la secetă, identificarea și analizarea riscurilor potențiale și stabilirea de măsuri prioritare de prevenire, atenuare, adaptare și remediere</w:t>
            </w:r>
          </w:p>
        </w:tc>
        <w:tc>
          <w:tcPr>
            <w:tcW w:w="2127" w:type="dxa"/>
            <w:vMerge w:val="restart"/>
            <w:tcBorders>
              <w:top w:val="single" w:sz="4" w:space="0" w:color="auto"/>
              <w:left w:val="single" w:sz="4" w:space="0" w:color="auto"/>
              <w:right w:val="single" w:sz="4" w:space="0" w:color="auto"/>
            </w:tcBorders>
          </w:tcPr>
          <w:p w14:paraId="2E90E73E" w14:textId="77777777" w:rsidR="002508D3" w:rsidRDefault="002508D3" w:rsidP="002508D3">
            <w:pPr>
              <w:spacing w:after="0" w:line="240" w:lineRule="auto"/>
              <w:ind w:firstLine="35"/>
              <w:rPr>
                <w:rFonts w:eastAsia="Times New Roman" w:cs="Times New Roman"/>
                <w:sz w:val="20"/>
                <w:szCs w:val="20"/>
              </w:rPr>
            </w:pPr>
            <w:r w:rsidRPr="00DF369E">
              <w:rPr>
                <w:rFonts w:eastAsia="Times New Roman" w:cs="Times New Roman"/>
                <w:sz w:val="20"/>
                <w:szCs w:val="20"/>
              </w:rPr>
              <w:t>Os2.d Întărirea sistemului de management al riscurilor pentru hazarde naturale și antropice, luând în calcul și impactul schimbărilor climatice.</w:t>
            </w:r>
          </w:p>
        </w:tc>
        <w:tc>
          <w:tcPr>
            <w:tcW w:w="4253"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0803FC2F"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A 6.4.1 Îmbunătățirea sistemului de avertizare timpurie și notificare pentru secetă</w:t>
            </w:r>
          </w:p>
          <w:p w14:paraId="1BEE5591"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 xml:space="preserve"> </w:t>
            </w:r>
          </w:p>
        </w:tc>
        <w:tc>
          <w:tcPr>
            <w:tcW w:w="127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15561E3" w14:textId="77777777" w:rsidR="002508D3" w:rsidRDefault="002508D3" w:rsidP="002508D3">
            <w:pPr>
              <w:spacing w:after="0" w:line="240" w:lineRule="auto"/>
              <w:ind w:hanging="100"/>
              <w:rPr>
                <w:rFonts w:eastAsia="Times New Roman" w:cs="Times New Roman"/>
                <w:sz w:val="20"/>
                <w:szCs w:val="20"/>
              </w:rPr>
            </w:pPr>
            <w:r>
              <w:rPr>
                <w:rFonts w:eastAsia="Times New Roman" w:cs="Times New Roman"/>
                <w:sz w:val="20"/>
                <w:szCs w:val="20"/>
              </w:rPr>
              <w:t>Medie</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398FC82"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2027</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F1BE628" w14:textId="6BE463B1"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MMAP (ANM), MADR</w:t>
            </w:r>
          </w:p>
        </w:tc>
        <w:tc>
          <w:tcPr>
            <w:tcW w:w="1701" w:type="dxa"/>
            <w:tcBorders>
              <w:top w:val="nil"/>
              <w:left w:val="nil"/>
              <w:bottom w:val="single" w:sz="5" w:space="0" w:color="000000"/>
              <w:right w:val="single" w:sz="6" w:space="0" w:color="000000"/>
            </w:tcBorders>
            <w:shd w:val="clear" w:color="auto" w:fill="auto"/>
            <w:tcMar>
              <w:top w:w="0" w:type="dxa"/>
              <w:left w:w="100" w:type="dxa"/>
              <w:bottom w:w="0" w:type="dxa"/>
              <w:right w:w="100" w:type="dxa"/>
            </w:tcMar>
          </w:tcPr>
          <w:p w14:paraId="6C59920D" w14:textId="15807DA2"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 xml:space="preserve">Buget propriu MMAP, </w:t>
            </w:r>
            <w:r w:rsidR="00856552">
              <w:rPr>
                <w:rFonts w:eastAsia="Times New Roman" w:cs="Times New Roman"/>
                <w:sz w:val="20"/>
                <w:szCs w:val="20"/>
              </w:rPr>
              <w:t xml:space="preserve">Programul de Dezvoltare Durabilă </w:t>
            </w:r>
            <w:r>
              <w:rPr>
                <w:rFonts w:eastAsia="Times New Roman" w:cs="Times New Roman"/>
                <w:sz w:val="20"/>
                <w:szCs w:val="20"/>
              </w:rPr>
              <w:t>Programul (Interreg VI-B) NEXT Bazinul Mării Negre, Programul InvestEU, LIFE, Programul Regional Sud-Est</w:t>
            </w:r>
          </w:p>
        </w:tc>
      </w:tr>
      <w:tr w:rsidR="002508D3" w14:paraId="1C6E6C36" w14:textId="77777777" w:rsidTr="002508D3">
        <w:trPr>
          <w:trHeight w:val="840"/>
        </w:trPr>
        <w:tc>
          <w:tcPr>
            <w:tcW w:w="1892" w:type="dxa"/>
            <w:vMerge/>
            <w:tcBorders>
              <w:top w:val="nil"/>
              <w:left w:val="single" w:sz="6" w:space="0" w:color="000000"/>
              <w:bottom w:val="single" w:sz="5" w:space="0" w:color="000000"/>
              <w:right w:val="single" w:sz="4" w:space="0" w:color="auto"/>
            </w:tcBorders>
            <w:shd w:val="clear" w:color="auto" w:fill="auto"/>
            <w:tcMar>
              <w:top w:w="0" w:type="dxa"/>
              <w:left w:w="100" w:type="dxa"/>
              <w:bottom w:w="0" w:type="dxa"/>
              <w:right w:w="100" w:type="dxa"/>
            </w:tcMar>
          </w:tcPr>
          <w:p w14:paraId="46DBF689" w14:textId="77777777" w:rsidR="002508D3" w:rsidRDefault="002508D3" w:rsidP="002508D3">
            <w:pPr>
              <w:widowControl w:val="0"/>
              <w:pBdr>
                <w:top w:val="nil"/>
                <w:left w:val="nil"/>
                <w:bottom w:val="nil"/>
                <w:right w:val="nil"/>
                <w:between w:val="nil"/>
              </w:pBdr>
              <w:spacing w:after="0"/>
              <w:rPr>
                <w:rFonts w:eastAsia="Times New Roman" w:cs="Times New Roman"/>
                <w:sz w:val="20"/>
                <w:szCs w:val="20"/>
              </w:rPr>
            </w:pPr>
          </w:p>
        </w:tc>
        <w:tc>
          <w:tcPr>
            <w:tcW w:w="2127" w:type="dxa"/>
            <w:vMerge/>
            <w:tcBorders>
              <w:left w:val="single" w:sz="4" w:space="0" w:color="auto"/>
              <w:right w:val="single" w:sz="4" w:space="0" w:color="auto"/>
            </w:tcBorders>
          </w:tcPr>
          <w:p w14:paraId="7F8DCD51" w14:textId="77777777" w:rsidR="002508D3" w:rsidRDefault="002508D3" w:rsidP="002508D3">
            <w:pPr>
              <w:spacing w:after="0" w:line="240" w:lineRule="auto"/>
              <w:ind w:firstLine="35"/>
              <w:rPr>
                <w:rFonts w:eastAsia="Times New Roman" w:cs="Times New Roman"/>
                <w:sz w:val="20"/>
                <w:szCs w:val="20"/>
              </w:rPr>
            </w:pPr>
          </w:p>
        </w:tc>
        <w:tc>
          <w:tcPr>
            <w:tcW w:w="4253"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7E0A9DAC"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A 6.4.2 Îmbunătățirea și eficientizarea sistemului de alimentare cu apă, incluzand aici realizarea/refacerea infrastructurii privind asigurarea apei pentru irigații</w:t>
            </w:r>
          </w:p>
        </w:tc>
        <w:tc>
          <w:tcPr>
            <w:tcW w:w="127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84FDC6C" w14:textId="77777777" w:rsidR="002508D3" w:rsidRDefault="002508D3" w:rsidP="002508D3">
            <w:pPr>
              <w:spacing w:after="0" w:line="240" w:lineRule="auto"/>
              <w:ind w:hanging="100"/>
              <w:rPr>
                <w:rFonts w:eastAsia="Times New Roman" w:cs="Times New Roman"/>
                <w:sz w:val="20"/>
                <w:szCs w:val="20"/>
              </w:rPr>
            </w:pPr>
            <w:r>
              <w:rPr>
                <w:rFonts w:eastAsia="Times New Roman" w:cs="Times New Roman"/>
                <w:sz w:val="20"/>
                <w:szCs w:val="20"/>
              </w:rPr>
              <w:t>Ridicată</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AC80EB3"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7E8BF6B"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MADR</w:t>
            </w:r>
          </w:p>
        </w:tc>
        <w:tc>
          <w:tcPr>
            <w:tcW w:w="1701" w:type="dxa"/>
            <w:tcBorders>
              <w:top w:val="nil"/>
              <w:left w:val="nil"/>
              <w:bottom w:val="single" w:sz="5" w:space="0" w:color="000000"/>
              <w:right w:val="single" w:sz="6" w:space="0" w:color="000000"/>
            </w:tcBorders>
            <w:shd w:val="clear" w:color="auto" w:fill="auto"/>
            <w:tcMar>
              <w:top w:w="0" w:type="dxa"/>
              <w:left w:w="100" w:type="dxa"/>
              <w:bottom w:w="0" w:type="dxa"/>
              <w:right w:w="100" w:type="dxa"/>
            </w:tcMar>
          </w:tcPr>
          <w:p w14:paraId="17045646"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Buget propriu MADR, PAC, Invest EU, Programul de Dezvoltare Durabilă, Programul Regional Sud-Est</w:t>
            </w:r>
          </w:p>
        </w:tc>
      </w:tr>
      <w:tr w:rsidR="002508D3" w14:paraId="39F643D0" w14:textId="77777777" w:rsidTr="002508D3">
        <w:trPr>
          <w:trHeight w:val="765"/>
        </w:trPr>
        <w:tc>
          <w:tcPr>
            <w:tcW w:w="1892" w:type="dxa"/>
            <w:vMerge/>
            <w:tcBorders>
              <w:top w:val="nil"/>
              <w:left w:val="single" w:sz="6" w:space="0" w:color="000000"/>
              <w:bottom w:val="single" w:sz="4" w:space="0" w:color="auto"/>
              <w:right w:val="single" w:sz="4" w:space="0" w:color="auto"/>
            </w:tcBorders>
            <w:shd w:val="clear" w:color="auto" w:fill="auto"/>
            <w:tcMar>
              <w:top w:w="0" w:type="dxa"/>
              <w:left w:w="100" w:type="dxa"/>
              <w:bottom w:w="0" w:type="dxa"/>
              <w:right w:w="100" w:type="dxa"/>
            </w:tcMar>
          </w:tcPr>
          <w:p w14:paraId="533A109C" w14:textId="77777777" w:rsidR="002508D3" w:rsidRDefault="002508D3" w:rsidP="002508D3">
            <w:pPr>
              <w:widowControl w:val="0"/>
              <w:pBdr>
                <w:top w:val="nil"/>
                <w:left w:val="nil"/>
                <w:bottom w:val="nil"/>
                <w:right w:val="nil"/>
                <w:between w:val="nil"/>
              </w:pBdr>
              <w:spacing w:after="0"/>
              <w:rPr>
                <w:rFonts w:eastAsia="Times New Roman" w:cs="Times New Roman"/>
                <w:sz w:val="20"/>
                <w:szCs w:val="20"/>
              </w:rPr>
            </w:pPr>
          </w:p>
        </w:tc>
        <w:tc>
          <w:tcPr>
            <w:tcW w:w="2127" w:type="dxa"/>
            <w:vMerge/>
            <w:tcBorders>
              <w:left w:val="single" w:sz="4" w:space="0" w:color="auto"/>
              <w:bottom w:val="single" w:sz="4" w:space="0" w:color="auto"/>
              <w:right w:val="single" w:sz="4" w:space="0" w:color="auto"/>
            </w:tcBorders>
          </w:tcPr>
          <w:p w14:paraId="759C04F7" w14:textId="77777777" w:rsidR="002508D3" w:rsidRDefault="002508D3" w:rsidP="002508D3">
            <w:pPr>
              <w:spacing w:after="0" w:line="240" w:lineRule="auto"/>
              <w:ind w:firstLine="35"/>
              <w:rPr>
                <w:rFonts w:eastAsia="Times New Roman" w:cs="Times New Roman"/>
                <w:sz w:val="20"/>
                <w:szCs w:val="20"/>
              </w:rPr>
            </w:pPr>
          </w:p>
        </w:tc>
        <w:tc>
          <w:tcPr>
            <w:tcW w:w="4253" w:type="dxa"/>
            <w:tcBorders>
              <w:top w:val="nil"/>
              <w:left w:val="single" w:sz="4" w:space="0" w:color="auto"/>
              <w:bottom w:val="single" w:sz="4" w:space="0" w:color="auto"/>
              <w:right w:val="single" w:sz="5" w:space="0" w:color="000000"/>
            </w:tcBorders>
            <w:shd w:val="clear" w:color="auto" w:fill="auto"/>
            <w:tcMar>
              <w:top w:w="0" w:type="dxa"/>
              <w:left w:w="100" w:type="dxa"/>
              <w:bottom w:w="0" w:type="dxa"/>
              <w:right w:w="100" w:type="dxa"/>
            </w:tcMar>
          </w:tcPr>
          <w:p w14:paraId="7D775ED4"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A 6.4.3 Utilizarea soiurilor de culturi rezistente la secetă și temperaturi ridicate</w:t>
            </w:r>
          </w:p>
        </w:tc>
        <w:tc>
          <w:tcPr>
            <w:tcW w:w="1276"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677DE8D1" w14:textId="77777777" w:rsidR="002508D3" w:rsidRDefault="002508D3" w:rsidP="002508D3">
            <w:pPr>
              <w:spacing w:after="0" w:line="240" w:lineRule="auto"/>
              <w:ind w:hanging="100"/>
              <w:rPr>
                <w:rFonts w:eastAsia="Times New Roman" w:cs="Times New Roman"/>
                <w:sz w:val="20"/>
                <w:szCs w:val="20"/>
              </w:rPr>
            </w:pPr>
            <w:r>
              <w:rPr>
                <w:rFonts w:eastAsia="Times New Roman" w:cs="Times New Roman"/>
                <w:sz w:val="20"/>
                <w:szCs w:val="20"/>
              </w:rPr>
              <w:t>Medie</w:t>
            </w:r>
          </w:p>
        </w:tc>
        <w:tc>
          <w:tcPr>
            <w:tcW w:w="1417"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6459993A"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8"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5C583736" w14:textId="77777777" w:rsidR="002508D3" w:rsidRDefault="002508D3" w:rsidP="00494139">
            <w:pPr>
              <w:spacing w:after="0" w:line="240" w:lineRule="auto"/>
              <w:ind w:firstLine="0"/>
              <w:rPr>
                <w:rFonts w:eastAsia="Times New Roman" w:cs="Times New Roman"/>
                <w:sz w:val="20"/>
                <w:szCs w:val="20"/>
              </w:rPr>
            </w:pPr>
            <w:r>
              <w:rPr>
                <w:rFonts w:eastAsia="Times New Roman" w:cs="Times New Roman"/>
                <w:sz w:val="20"/>
                <w:szCs w:val="20"/>
              </w:rPr>
              <w:t>MADR, MCID (INCD-uri), ME (departamente cercetare universități)</w:t>
            </w:r>
          </w:p>
        </w:tc>
        <w:tc>
          <w:tcPr>
            <w:tcW w:w="1701" w:type="dxa"/>
            <w:tcBorders>
              <w:top w:val="nil"/>
              <w:left w:val="nil"/>
              <w:bottom w:val="single" w:sz="4" w:space="0" w:color="auto"/>
              <w:right w:val="single" w:sz="6" w:space="0" w:color="000000"/>
            </w:tcBorders>
            <w:shd w:val="clear" w:color="auto" w:fill="auto"/>
            <w:tcMar>
              <w:top w:w="0" w:type="dxa"/>
              <w:left w:w="100" w:type="dxa"/>
              <w:bottom w:w="0" w:type="dxa"/>
              <w:right w:w="100" w:type="dxa"/>
            </w:tcMar>
          </w:tcPr>
          <w:p w14:paraId="3F4AF719" w14:textId="77777777" w:rsidR="002508D3" w:rsidRDefault="002508D3" w:rsidP="00494139">
            <w:pPr>
              <w:spacing w:after="0" w:line="240" w:lineRule="auto"/>
              <w:ind w:firstLine="0"/>
              <w:rPr>
                <w:rFonts w:eastAsia="Times New Roman" w:cs="Times New Roman"/>
                <w:sz w:val="20"/>
                <w:szCs w:val="20"/>
              </w:rPr>
            </w:pPr>
            <w:r>
              <w:rPr>
                <w:rFonts w:eastAsia="Times New Roman" w:cs="Times New Roman"/>
                <w:sz w:val="20"/>
                <w:szCs w:val="20"/>
              </w:rPr>
              <w:t>Buget propriu MADR, PAC, PNCDI IV</w:t>
            </w:r>
          </w:p>
        </w:tc>
      </w:tr>
      <w:tr w:rsidR="002508D3" w14:paraId="03CBAD51" w14:textId="77777777" w:rsidTr="002508D3">
        <w:trPr>
          <w:trHeight w:val="1110"/>
        </w:trPr>
        <w:tc>
          <w:tcPr>
            <w:tcW w:w="1892" w:type="dxa"/>
            <w:vMerge/>
            <w:tcBorders>
              <w:top w:val="single" w:sz="4" w:space="0" w:color="auto"/>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37945236" w14:textId="77777777" w:rsidR="002508D3" w:rsidRDefault="002508D3" w:rsidP="002508D3">
            <w:pPr>
              <w:widowControl w:val="0"/>
              <w:pBdr>
                <w:top w:val="nil"/>
                <w:left w:val="nil"/>
                <w:bottom w:val="nil"/>
                <w:right w:val="nil"/>
                <w:between w:val="nil"/>
              </w:pBdr>
              <w:spacing w:after="0"/>
              <w:rPr>
                <w:rFonts w:eastAsia="Times New Roman" w:cs="Times New Roman"/>
                <w:sz w:val="20"/>
                <w:szCs w:val="20"/>
              </w:rPr>
            </w:pPr>
          </w:p>
        </w:tc>
        <w:tc>
          <w:tcPr>
            <w:tcW w:w="2127" w:type="dxa"/>
            <w:vMerge/>
            <w:tcBorders>
              <w:top w:val="single" w:sz="4" w:space="0" w:color="auto"/>
              <w:left w:val="single" w:sz="4" w:space="0" w:color="auto"/>
              <w:bottom w:val="single" w:sz="4" w:space="0" w:color="auto"/>
              <w:right w:val="single" w:sz="4" w:space="0" w:color="auto"/>
            </w:tcBorders>
          </w:tcPr>
          <w:p w14:paraId="5022BEAD" w14:textId="77777777" w:rsidR="002508D3" w:rsidRDefault="002508D3" w:rsidP="002508D3">
            <w:pPr>
              <w:spacing w:after="0" w:line="240" w:lineRule="auto"/>
              <w:ind w:firstLine="35"/>
              <w:rPr>
                <w:rFonts w:eastAsia="Times New Roman" w:cs="Times New Roman"/>
                <w:sz w:val="20"/>
                <w:szCs w:val="20"/>
              </w:rPr>
            </w:pPr>
          </w:p>
        </w:tc>
        <w:tc>
          <w:tcPr>
            <w:tcW w:w="4253" w:type="dxa"/>
            <w:tcBorders>
              <w:top w:val="single" w:sz="4" w:space="0" w:color="auto"/>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5FF9E39D"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A 6.4.4 Înființarea de perdele forestiere pentru obținerea unor condiții de microclimat favorabil culturilor agricole și pentru protecția calității solurilor de pe terenurile agricole</w:t>
            </w:r>
          </w:p>
        </w:tc>
        <w:tc>
          <w:tcPr>
            <w:tcW w:w="1276"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109DE60A" w14:textId="77777777" w:rsidR="002508D3" w:rsidRDefault="002508D3" w:rsidP="002508D3">
            <w:pPr>
              <w:spacing w:after="0" w:line="240" w:lineRule="auto"/>
              <w:ind w:hanging="100"/>
              <w:rPr>
                <w:rFonts w:eastAsia="Times New Roman" w:cs="Times New Roman"/>
                <w:sz w:val="20"/>
                <w:szCs w:val="20"/>
              </w:rPr>
            </w:pPr>
            <w:r>
              <w:rPr>
                <w:rFonts w:eastAsia="Times New Roman" w:cs="Times New Roman"/>
                <w:sz w:val="20"/>
                <w:szCs w:val="20"/>
              </w:rPr>
              <w:t>Ridicată</w:t>
            </w:r>
          </w:p>
        </w:tc>
        <w:tc>
          <w:tcPr>
            <w:tcW w:w="1417"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148EC59B"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8"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443F9916" w14:textId="77777777" w:rsidR="002508D3" w:rsidRDefault="002508D3" w:rsidP="00494139">
            <w:pPr>
              <w:spacing w:after="0" w:line="240" w:lineRule="auto"/>
              <w:ind w:firstLine="0"/>
              <w:rPr>
                <w:rFonts w:eastAsia="Times New Roman" w:cs="Times New Roman"/>
                <w:sz w:val="20"/>
                <w:szCs w:val="20"/>
              </w:rPr>
            </w:pPr>
            <w:r>
              <w:rPr>
                <w:rFonts w:eastAsia="Times New Roman" w:cs="Times New Roman"/>
                <w:sz w:val="20"/>
                <w:szCs w:val="20"/>
              </w:rPr>
              <w:t xml:space="preserve">MADR, MMAP, MCID (INCD-uri), ME </w:t>
            </w:r>
            <w:r>
              <w:rPr>
                <w:rFonts w:eastAsia="Times New Roman" w:cs="Times New Roman"/>
                <w:sz w:val="20"/>
                <w:szCs w:val="20"/>
              </w:rPr>
              <w:lastRenderedPageBreak/>
              <w:t>(departamente cercetare universități)</w:t>
            </w:r>
          </w:p>
        </w:tc>
        <w:tc>
          <w:tcPr>
            <w:tcW w:w="1701" w:type="dxa"/>
            <w:tcBorders>
              <w:top w:val="single" w:sz="4" w:space="0" w:color="auto"/>
              <w:left w:val="nil"/>
              <w:bottom w:val="single" w:sz="5" w:space="0" w:color="000000"/>
              <w:right w:val="single" w:sz="5" w:space="0" w:color="000000"/>
            </w:tcBorders>
            <w:shd w:val="clear" w:color="auto" w:fill="auto"/>
            <w:tcMar>
              <w:top w:w="0" w:type="dxa"/>
              <w:left w:w="100" w:type="dxa"/>
              <w:bottom w:w="0" w:type="dxa"/>
              <w:right w:w="100" w:type="dxa"/>
            </w:tcMar>
          </w:tcPr>
          <w:p w14:paraId="56E0A94C" w14:textId="7D6064BF" w:rsidR="002508D3" w:rsidRDefault="002508D3" w:rsidP="00494139">
            <w:pPr>
              <w:spacing w:after="0" w:line="240" w:lineRule="auto"/>
              <w:ind w:firstLine="0"/>
              <w:rPr>
                <w:rFonts w:eastAsia="Times New Roman" w:cs="Times New Roman"/>
                <w:sz w:val="20"/>
                <w:szCs w:val="20"/>
              </w:rPr>
            </w:pPr>
            <w:r>
              <w:rPr>
                <w:rFonts w:eastAsia="Times New Roman" w:cs="Times New Roman"/>
                <w:sz w:val="20"/>
                <w:szCs w:val="20"/>
              </w:rPr>
              <w:lastRenderedPageBreak/>
              <w:t xml:space="preserve">Buget propriu MADR, Programul Regional Sud-Est, </w:t>
            </w:r>
            <w:r>
              <w:rPr>
                <w:rFonts w:eastAsia="Times New Roman" w:cs="Times New Roman"/>
                <w:sz w:val="20"/>
                <w:szCs w:val="20"/>
              </w:rPr>
              <w:lastRenderedPageBreak/>
              <w:t>LIFE, Programul (Interreg VI-B) NEXT Bazinul Mării Negre, PNCDI IV</w:t>
            </w:r>
          </w:p>
        </w:tc>
      </w:tr>
      <w:tr w:rsidR="002508D3" w14:paraId="55C61F6F" w14:textId="77777777" w:rsidTr="002508D3">
        <w:trPr>
          <w:trHeight w:val="666"/>
        </w:trPr>
        <w:tc>
          <w:tcPr>
            <w:tcW w:w="1892" w:type="dxa"/>
            <w:vMerge w:val="restart"/>
            <w:tcBorders>
              <w:top w:val="nil"/>
              <w:left w:val="single" w:sz="6" w:space="0" w:color="000000"/>
              <w:bottom w:val="single" w:sz="5" w:space="0" w:color="000000"/>
              <w:right w:val="single" w:sz="4" w:space="0" w:color="auto"/>
            </w:tcBorders>
            <w:shd w:val="clear" w:color="auto" w:fill="auto"/>
            <w:tcMar>
              <w:top w:w="0" w:type="dxa"/>
              <w:left w:w="100" w:type="dxa"/>
              <w:bottom w:w="0" w:type="dxa"/>
              <w:right w:w="100" w:type="dxa"/>
            </w:tcMar>
          </w:tcPr>
          <w:p w14:paraId="37C4B4B3"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lastRenderedPageBreak/>
              <w:t>M6.5 Realizarea unei evaluări detaliate a vulnerabilității zonei de coastă la inundații, identificarea și analizarea riscurilor potențiale și stabilirea de măsuri prioritare de prevenire, atenuare, adaptare și remediere</w:t>
            </w:r>
          </w:p>
        </w:tc>
        <w:tc>
          <w:tcPr>
            <w:tcW w:w="2127" w:type="dxa"/>
            <w:vMerge w:val="restart"/>
            <w:tcBorders>
              <w:top w:val="single" w:sz="4" w:space="0" w:color="auto"/>
              <w:left w:val="single" w:sz="4" w:space="0" w:color="auto"/>
              <w:right w:val="single" w:sz="4" w:space="0" w:color="auto"/>
            </w:tcBorders>
          </w:tcPr>
          <w:p w14:paraId="1054FA51" w14:textId="77777777" w:rsidR="002508D3" w:rsidRDefault="002508D3" w:rsidP="002508D3">
            <w:pPr>
              <w:spacing w:after="0" w:line="240" w:lineRule="auto"/>
              <w:ind w:firstLine="35"/>
              <w:rPr>
                <w:rFonts w:eastAsia="Times New Roman" w:cs="Times New Roman"/>
                <w:sz w:val="20"/>
                <w:szCs w:val="20"/>
              </w:rPr>
            </w:pPr>
            <w:r w:rsidRPr="00DF369E">
              <w:rPr>
                <w:rFonts w:eastAsia="Times New Roman" w:cs="Times New Roman"/>
                <w:sz w:val="20"/>
                <w:szCs w:val="20"/>
              </w:rPr>
              <w:t>Os2.d Întărirea sistemului de management al riscurilor pentru hazarde naturale și antropice, luând în calcul și impactul schimbărilor climatice.</w:t>
            </w:r>
          </w:p>
        </w:tc>
        <w:tc>
          <w:tcPr>
            <w:tcW w:w="4253"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2713AD40"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A 6.5.1 Îmbunătățirea sistemului de avertizare timpurie și notificare pentru inundații</w:t>
            </w:r>
          </w:p>
        </w:tc>
        <w:tc>
          <w:tcPr>
            <w:tcW w:w="127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8EA3017" w14:textId="77777777" w:rsidR="002508D3" w:rsidRDefault="002508D3" w:rsidP="002508D3">
            <w:pPr>
              <w:spacing w:after="0" w:line="240" w:lineRule="auto"/>
              <w:ind w:hanging="100"/>
              <w:rPr>
                <w:rFonts w:eastAsia="Times New Roman" w:cs="Times New Roman"/>
                <w:sz w:val="20"/>
                <w:szCs w:val="20"/>
              </w:rPr>
            </w:pPr>
            <w:r>
              <w:rPr>
                <w:rFonts w:eastAsia="Times New Roman" w:cs="Times New Roman"/>
                <w:sz w:val="20"/>
                <w:szCs w:val="20"/>
              </w:rPr>
              <w:t>Ridicată</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B43B2E8"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2027</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F332BDF" w14:textId="54E949C7" w:rsidR="002508D3" w:rsidRDefault="002508D3" w:rsidP="00494139">
            <w:pPr>
              <w:spacing w:after="0" w:line="240" w:lineRule="auto"/>
              <w:ind w:firstLine="0"/>
              <w:rPr>
                <w:rFonts w:eastAsia="Times New Roman" w:cs="Times New Roman"/>
                <w:sz w:val="20"/>
                <w:szCs w:val="20"/>
              </w:rPr>
            </w:pPr>
            <w:r>
              <w:rPr>
                <w:rFonts w:eastAsia="Times New Roman" w:cs="Times New Roman"/>
                <w:sz w:val="20"/>
                <w:szCs w:val="20"/>
              </w:rPr>
              <w:t xml:space="preserve">MMAP, </w:t>
            </w:r>
            <w:r w:rsidR="00214619">
              <w:rPr>
                <w:rFonts w:eastAsia="Times New Roman" w:cs="Times New Roman"/>
                <w:sz w:val="20"/>
                <w:szCs w:val="20"/>
              </w:rPr>
              <w:t xml:space="preserve">MAI (IGSU), </w:t>
            </w:r>
            <w:r>
              <w:rPr>
                <w:rFonts w:eastAsia="Times New Roman" w:cs="Times New Roman"/>
                <w:sz w:val="20"/>
                <w:szCs w:val="20"/>
              </w:rPr>
              <w:t>MCID (INCD-uri), ME (universități)</w:t>
            </w:r>
          </w:p>
        </w:tc>
        <w:tc>
          <w:tcPr>
            <w:tcW w:w="1701" w:type="dxa"/>
            <w:tcBorders>
              <w:top w:val="nil"/>
              <w:left w:val="nil"/>
              <w:bottom w:val="single" w:sz="5" w:space="0" w:color="000000"/>
              <w:right w:val="single" w:sz="6" w:space="0" w:color="000000"/>
            </w:tcBorders>
            <w:shd w:val="clear" w:color="auto" w:fill="auto"/>
            <w:tcMar>
              <w:top w:w="0" w:type="dxa"/>
              <w:left w:w="100" w:type="dxa"/>
              <w:bottom w:w="0" w:type="dxa"/>
              <w:right w:w="100" w:type="dxa"/>
            </w:tcMar>
          </w:tcPr>
          <w:p w14:paraId="2926EFB1" w14:textId="77BDE633" w:rsidR="002508D3" w:rsidRDefault="002508D3" w:rsidP="00494139">
            <w:pPr>
              <w:spacing w:after="0" w:line="240" w:lineRule="auto"/>
              <w:ind w:firstLine="0"/>
              <w:rPr>
                <w:rFonts w:eastAsia="Times New Roman" w:cs="Times New Roman"/>
                <w:sz w:val="20"/>
                <w:szCs w:val="20"/>
              </w:rPr>
            </w:pPr>
            <w:r>
              <w:rPr>
                <w:rFonts w:eastAsia="Times New Roman" w:cs="Times New Roman"/>
                <w:sz w:val="20"/>
                <w:szCs w:val="20"/>
              </w:rPr>
              <w:t>Buget propriu MMAP,</w:t>
            </w:r>
            <w:r w:rsidR="00494139">
              <w:rPr>
                <w:rFonts w:eastAsia="Times New Roman" w:cs="Times New Roman"/>
                <w:sz w:val="20"/>
                <w:szCs w:val="20"/>
              </w:rPr>
              <w:t xml:space="preserve"> Programul de Dezvoltare Durabilă,</w:t>
            </w:r>
            <w:r>
              <w:rPr>
                <w:rFonts w:eastAsia="Times New Roman" w:cs="Times New Roman"/>
                <w:sz w:val="20"/>
                <w:szCs w:val="20"/>
              </w:rPr>
              <w:t xml:space="preserve"> PNCDI IV </w:t>
            </w:r>
          </w:p>
        </w:tc>
      </w:tr>
      <w:tr w:rsidR="002508D3" w14:paraId="2531A321" w14:textId="77777777" w:rsidTr="002508D3">
        <w:trPr>
          <w:trHeight w:val="616"/>
        </w:trPr>
        <w:tc>
          <w:tcPr>
            <w:tcW w:w="1892" w:type="dxa"/>
            <w:vMerge/>
            <w:tcBorders>
              <w:top w:val="nil"/>
              <w:left w:val="single" w:sz="6" w:space="0" w:color="000000"/>
              <w:bottom w:val="single" w:sz="5" w:space="0" w:color="000000"/>
              <w:right w:val="single" w:sz="4" w:space="0" w:color="auto"/>
            </w:tcBorders>
            <w:shd w:val="clear" w:color="auto" w:fill="auto"/>
            <w:tcMar>
              <w:top w:w="0" w:type="dxa"/>
              <w:left w:w="100" w:type="dxa"/>
              <w:bottom w:w="0" w:type="dxa"/>
              <w:right w:w="100" w:type="dxa"/>
            </w:tcMar>
          </w:tcPr>
          <w:p w14:paraId="2CB0BFC4" w14:textId="77777777" w:rsidR="002508D3" w:rsidRDefault="002508D3" w:rsidP="002508D3">
            <w:pPr>
              <w:widowControl w:val="0"/>
              <w:pBdr>
                <w:top w:val="nil"/>
                <w:left w:val="nil"/>
                <w:bottom w:val="nil"/>
                <w:right w:val="nil"/>
                <w:between w:val="nil"/>
              </w:pBdr>
              <w:spacing w:after="0"/>
              <w:rPr>
                <w:rFonts w:eastAsia="Times New Roman" w:cs="Times New Roman"/>
                <w:sz w:val="20"/>
                <w:szCs w:val="20"/>
              </w:rPr>
            </w:pPr>
          </w:p>
        </w:tc>
        <w:tc>
          <w:tcPr>
            <w:tcW w:w="2127" w:type="dxa"/>
            <w:vMerge/>
            <w:tcBorders>
              <w:left w:val="single" w:sz="4" w:space="0" w:color="auto"/>
              <w:right w:val="single" w:sz="4" w:space="0" w:color="auto"/>
            </w:tcBorders>
          </w:tcPr>
          <w:p w14:paraId="13B97EE6" w14:textId="77777777" w:rsidR="002508D3" w:rsidRDefault="002508D3" w:rsidP="002508D3">
            <w:pPr>
              <w:spacing w:after="0" w:line="240" w:lineRule="auto"/>
              <w:rPr>
                <w:rFonts w:eastAsia="Times New Roman" w:cs="Times New Roman"/>
                <w:sz w:val="20"/>
                <w:szCs w:val="20"/>
              </w:rPr>
            </w:pPr>
          </w:p>
        </w:tc>
        <w:tc>
          <w:tcPr>
            <w:tcW w:w="4253"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4E45F5FA"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A 6.5.2 Îmbunătățirea sistemelor de drenaj (în localități, infrastructură rutieră, feroviară, etc.);</w:t>
            </w:r>
          </w:p>
        </w:tc>
        <w:tc>
          <w:tcPr>
            <w:tcW w:w="127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CFA490A" w14:textId="77777777" w:rsidR="002508D3" w:rsidRDefault="002508D3" w:rsidP="002508D3">
            <w:pPr>
              <w:spacing w:after="0" w:line="240" w:lineRule="auto"/>
              <w:ind w:hanging="100"/>
              <w:rPr>
                <w:rFonts w:eastAsia="Times New Roman" w:cs="Times New Roman"/>
                <w:sz w:val="20"/>
                <w:szCs w:val="20"/>
              </w:rPr>
            </w:pPr>
            <w:r>
              <w:rPr>
                <w:rFonts w:eastAsia="Times New Roman" w:cs="Times New Roman"/>
                <w:sz w:val="20"/>
                <w:szCs w:val="20"/>
              </w:rPr>
              <w:t xml:space="preserve"> Ridicată</w:t>
            </w:r>
          </w:p>
        </w:tc>
        <w:tc>
          <w:tcPr>
            <w:tcW w:w="141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8D100F0"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51DDE36" w14:textId="77777777" w:rsidR="002508D3" w:rsidRDefault="002508D3" w:rsidP="00494139">
            <w:pPr>
              <w:spacing w:after="0" w:line="240" w:lineRule="auto"/>
              <w:ind w:firstLine="0"/>
              <w:rPr>
                <w:rFonts w:eastAsia="Times New Roman" w:cs="Times New Roman"/>
                <w:sz w:val="20"/>
                <w:szCs w:val="20"/>
              </w:rPr>
            </w:pPr>
            <w:r>
              <w:rPr>
                <w:rFonts w:eastAsia="Times New Roman" w:cs="Times New Roman"/>
                <w:sz w:val="20"/>
                <w:szCs w:val="20"/>
              </w:rPr>
              <w:t>Autorități locale, MT, MMAP</w:t>
            </w:r>
          </w:p>
        </w:tc>
        <w:tc>
          <w:tcPr>
            <w:tcW w:w="1701" w:type="dxa"/>
            <w:tcBorders>
              <w:top w:val="nil"/>
              <w:left w:val="nil"/>
              <w:bottom w:val="single" w:sz="5" w:space="0" w:color="000000"/>
              <w:right w:val="single" w:sz="6" w:space="0" w:color="000000"/>
            </w:tcBorders>
            <w:shd w:val="clear" w:color="auto" w:fill="auto"/>
            <w:tcMar>
              <w:top w:w="0" w:type="dxa"/>
              <w:left w:w="100" w:type="dxa"/>
              <w:bottom w:w="0" w:type="dxa"/>
              <w:right w:w="100" w:type="dxa"/>
            </w:tcMar>
          </w:tcPr>
          <w:p w14:paraId="45E2B474" w14:textId="77777777" w:rsidR="002508D3" w:rsidRDefault="002508D3" w:rsidP="00494139">
            <w:pPr>
              <w:spacing w:after="0" w:line="240" w:lineRule="auto"/>
              <w:ind w:firstLine="0"/>
              <w:rPr>
                <w:rFonts w:eastAsia="Times New Roman" w:cs="Times New Roman"/>
                <w:sz w:val="20"/>
                <w:szCs w:val="20"/>
              </w:rPr>
            </w:pPr>
            <w:r>
              <w:rPr>
                <w:rFonts w:eastAsia="Times New Roman" w:cs="Times New Roman"/>
                <w:sz w:val="20"/>
                <w:szCs w:val="20"/>
              </w:rPr>
              <w:t xml:space="preserve"> Bugete locale, Programul Regional Sud-Est, Programul Național de Investiții „Anghel Saligny”</w:t>
            </w:r>
          </w:p>
        </w:tc>
      </w:tr>
      <w:tr w:rsidR="002508D3" w14:paraId="02BBC02E" w14:textId="77777777" w:rsidTr="002508D3">
        <w:trPr>
          <w:trHeight w:val="1223"/>
        </w:trPr>
        <w:tc>
          <w:tcPr>
            <w:tcW w:w="1892" w:type="dxa"/>
            <w:vMerge/>
            <w:tcBorders>
              <w:top w:val="nil"/>
              <w:left w:val="single" w:sz="6" w:space="0" w:color="000000"/>
              <w:bottom w:val="single" w:sz="4" w:space="0" w:color="auto"/>
              <w:right w:val="single" w:sz="4" w:space="0" w:color="auto"/>
            </w:tcBorders>
            <w:shd w:val="clear" w:color="auto" w:fill="auto"/>
            <w:tcMar>
              <w:top w:w="0" w:type="dxa"/>
              <w:left w:w="100" w:type="dxa"/>
              <w:bottom w:w="0" w:type="dxa"/>
              <w:right w:w="100" w:type="dxa"/>
            </w:tcMar>
          </w:tcPr>
          <w:p w14:paraId="7C4BEC6C" w14:textId="77777777" w:rsidR="002508D3" w:rsidRDefault="002508D3" w:rsidP="002508D3">
            <w:pPr>
              <w:widowControl w:val="0"/>
              <w:pBdr>
                <w:top w:val="nil"/>
                <w:left w:val="nil"/>
                <w:bottom w:val="nil"/>
                <w:right w:val="nil"/>
                <w:between w:val="nil"/>
              </w:pBdr>
              <w:spacing w:after="0"/>
              <w:rPr>
                <w:rFonts w:eastAsia="Times New Roman" w:cs="Times New Roman"/>
                <w:sz w:val="20"/>
                <w:szCs w:val="20"/>
              </w:rPr>
            </w:pPr>
          </w:p>
        </w:tc>
        <w:tc>
          <w:tcPr>
            <w:tcW w:w="2127" w:type="dxa"/>
            <w:vMerge/>
            <w:tcBorders>
              <w:left w:val="single" w:sz="4" w:space="0" w:color="auto"/>
              <w:bottom w:val="single" w:sz="4" w:space="0" w:color="auto"/>
              <w:right w:val="single" w:sz="4" w:space="0" w:color="auto"/>
            </w:tcBorders>
          </w:tcPr>
          <w:p w14:paraId="07B9D75C" w14:textId="77777777" w:rsidR="002508D3" w:rsidRDefault="002508D3" w:rsidP="002508D3">
            <w:pPr>
              <w:spacing w:after="0" w:line="240" w:lineRule="auto"/>
              <w:rPr>
                <w:rFonts w:eastAsia="Times New Roman" w:cs="Times New Roman"/>
                <w:sz w:val="20"/>
                <w:szCs w:val="20"/>
              </w:rPr>
            </w:pPr>
          </w:p>
        </w:tc>
        <w:tc>
          <w:tcPr>
            <w:tcW w:w="4253" w:type="dxa"/>
            <w:tcBorders>
              <w:top w:val="nil"/>
              <w:left w:val="single" w:sz="4" w:space="0" w:color="auto"/>
              <w:bottom w:val="single" w:sz="4" w:space="0" w:color="auto"/>
              <w:right w:val="single" w:sz="5" w:space="0" w:color="000000"/>
            </w:tcBorders>
            <w:shd w:val="clear" w:color="auto" w:fill="auto"/>
            <w:tcMar>
              <w:top w:w="0" w:type="dxa"/>
              <w:left w:w="100" w:type="dxa"/>
              <w:bottom w:w="0" w:type="dxa"/>
              <w:right w:w="100" w:type="dxa"/>
            </w:tcMar>
          </w:tcPr>
          <w:p w14:paraId="7F879C17" w14:textId="77777777" w:rsidR="002508D3" w:rsidRDefault="002508D3" w:rsidP="002508D3">
            <w:pPr>
              <w:spacing w:after="0" w:line="240" w:lineRule="auto"/>
              <w:ind w:firstLine="42"/>
              <w:rPr>
                <w:rFonts w:eastAsia="Times New Roman" w:cs="Times New Roman"/>
                <w:sz w:val="20"/>
                <w:szCs w:val="20"/>
              </w:rPr>
            </w:pPr>
            <w:r>
              <w:rPr>
                <w:rFonts w:eastAsia="Times New Roman" w:cs="Times New Roman"/>
                <w:sz w:val="20"/>
                <w:szCs w:val="20"/>
              </w:rPr>
              <w:t>A 6.5.3 Împădurirea zonelor degradate cu productivitate scăzută, precum și ameliorarea suprafețelor forestiere degradate în vederea producerii efectelor antieroziune (combinarea măsurilor și lucrărilor biologice, biotehnice și tehnice);</w:t>
            </w:r>
          </w:p>
        </w:tc>
        <w:tc>
          <w:tcPr>
            <w:tcW w:w="1276"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107C1CFD" w14:textId="77777777" w:rsidR="002508D3" w:rsidRDefault="002508D3" w:rsidP="002508D3">
            <w:pPr>
              <w:spacing w:after="0" w:line="240" w:lineRule="auto"/>
              <w:ind w:hanging="100"/>
              <w:rPr>
                <w:rFonts w:eastAsia="Times New Roman" w:cs="Times New Roman"/>
                <w:sz w:val="20"/>
                <w:szCs w:val="20"/>
              </w:rPr>
            </w:pPr>
            <w:r>
              <w:rPr>
                <w:rFonts w:eastAsia="Times New Roman" w:cs="Times New Roman"/>
                <w:sz w:val="20"/>
                <w:szCs w:val="20"/>
              </w:rPr>
              <w:t xml:space="preserve"> Medie</w:t>
            </w:r>
          </w:p>
        </w:tc>
        <w:tc>
          <w:tcPr>
            <w:tcW w:w="1417"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0470C87E"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8" w:type="dxa"/>
            <w:tcBorders>
              <w:top w:val="nil"/>
              <w:left w:val="nil"/>
              <w:bottom w:val="single" w:sz="4" w:space="0" w:color="auto"/>
              <w:right w:val="single" w:sz="5" w:space="0" w:color="000000"/>
            </w:tcBorders>
            <w:shd w:val="clear" w:color="auto" w:fill="auto"/>
            <w:tcMar>
              <w:top w:w="0" w:type="dxa"/>
              <w:left w:w="100" w:type="dxa"/>
              <w:bottom w:w="0" w:type="dxa"/>
              <w:right w:w="100" w:type="dxa"/>
            </w:tcMar>
          </w:tcPr>
          <w:p w14:paraId="75C82E30" w14:textId="77777777" w:rsidR="002508D3" w:rsidRDefault="002508D3" w:rsidP="00494139">
            <w:pPr>
              <w:spacing w:after="0" w:line="240" w:lineRule="auto"/>
              <w:ind w:firstLine="0"/>
              <w:rPr>
                <w:rFonts w:eastAsia="Times New Roman" w:cs="Times New Roman"/>
                <w:sz w:val="20"/>
                <w:szCs w:val="20"/>
              </w:rPr>
            </w:pPr>
            <w:r>
              <w:rPr>
                <w:rFonts w:eastAsia="Times New Roman" w:cs="Times New Roman"/>
                <w:sz w:val="20"/>
                <w:szCs w:val="20"/>
              </w:rPr>
              <w:t>MMAP, MCID (INCD-uri), ME (departamente de cercetare din universități)</w:t>
            </w:r>
          </w:p>
        </w:tc>
        <w:tc>
          <w:tcPr>
            <w:tcW w:w="1701" w:type="dxa"/>
            <w:tcBorders>
              <w:top w:val="nil"/>
              <w:left w:val="nil"/>
              <w:bottom w:val="single" w:sz="4" w:space="0" w:color="auto"/>
              <w:right w:val="single" w:sz="6" w:space="0" w:color="000000"/>
            </w:tcBorders>
            <w:shd w:val="clear" w:color="auto" w:fill="auto"/>
            <w:tcMar>
              <w:top w:w="0" w:type="dxa"/>
              <w:left w:w="100" w:type="dxa"/>
              <w:bottom w:w="0" w:type="dxa"/>
              <w:right w:w="100" w:type="dxa"/>
            </w:tcMar>
          </w:tcPr>
          <w:p w14:paraId="1BA0CBEB" w14:textId="597F9BE7" w:rsidR="002508D3" w:rsidRDefault="002508D3" w:rsidP="00494139">
            <w:pPr>
              <w:spacing w:after="0" w:line="240" w:lineRule="auto"/>
              <w:ind w:firstLine="0"/>
              <w:rPr>
                <w:rFonts w:eastAsia="Times New Roman" w:cs="Times New Roman"/>
                <w:sz w:val="20"/>
                <w:szCs w:val="20"/>
              </w:rPr>
            </w:pPr>
            <w:r>
              <w:rPr>
                <w:rFonts w:eastAsia="Times New Roman" w:cs="Times New Roman"/>
                <w:sz w:val="20"/>
                <w:szCs w:val="20"/>
              </w:rPr>
              <w:t xml:space="preserve"> Programul Regional Sud-Est, PNRR, LIFE</w:t>
            </w:r>
          </w:p>
        </w:tc>
      </w:tr>
      <w:tr w:rsidR="002508D3" w14:paraId="1ECD7836" w14:textId="77777777" w:rsidTr="002508D3">
        <w:trPr>
          <w:trHeight w:val="1785"/>
        </w:trPr>
        <w:tc>
          <w:tcPr>
            <w:tcW w:w="1892" w:type="dxa"/>
            <w:vMerge/>
            <w:tcBorders>
              <w:top w:val="single" w:sz="4" w:space="0" w:color="auto"/>
              <w:left w:val="single" w:sz="6" w:space="0" w:color="000000"/>
              <w:bottom w:val="single" w:sz="4" w:space="0" w:color="auto"/>
              <w:right w:val="single" w:sz="4" w:space="0" w:color="auto"/>
            </w:tcBorders>
            <w:shd w:val="clear" w:color="auto" w:fill="auto"/>
            <w:tcMar>
              <w:top w:w="0" w:type="dxa"/>
              <w:left w:w="100" w:type="dxa"/>
              <w:bottom w:w="0" w:type="dxa"/>
              <w:right w:w="100" w:type="dxa"/>
            </w:tcMar>
          </w:tcPr>
          <w:p w14:paraId="77C854F6" w14:textId="77777777" w:rsidR="002508D3" w:rsidRDefault="002508D3" w:rsidP="002508D3">
            <w:pPr>
              <w:widowControl w:val="0"/>
              <w:pBdr>
                <w:top w:val="nil"/>
                <w:left w:val="nil"/>
                <w:bottom w:val="nil"/>
                <w:right w:val="nil"/>
                <w:between w:val="nil"/>
              </w:pBdr>
              <w:spacing w:after="0"/>
              <w:rPr>
                <w:rFonts w:eastAsia="Times New Roman" w:cs="Times New Roman"/>
                <w:sz w:val="20"/>
                <w:szCs w:val="20"/>
              </w:rPr>
            </w:pPr>
          </w:p>
        </w:tc>
        <w:tc>
          <w:tcPr>
            <w:tcW w:w="2127" w:type="dxa"/>
            <w:vMerge/>
            <w:tcBorders>
              <w:top w:val="single" w:sz="4" w:space="0" w:color="auto"/>
              <w:left w:val="single" w:sz="4" w:space="0" w:color="auto"/>
              <w:bottom w:val="single" w:sz="4" w:space="0" w:color="auto"/>
              <w:right w:val="single" w:sz="4" w:space="0" w:color="auto"/>
            </w:tcBorders>
          </w:tcPr>
          <w:p w14:paraId="5B7060AC" w14:textId="77777777" w:rsidR="002508D3" w:rsidRDefault="002508D3" w:rsidP="002508D3">
            <w:pPr>
              <w:spacing w:after="0" w:line="240" w:lineRule="auto"/>
              <w:rPr>
                <w:rFonts w:eastAsia="Times New Roman" w:cs="Times New Roman"/>
                <w:sz w:val="20"/>
                <w:szCs w:val="20"/>
              </w:rPr>
            </w:pPr>
          </w:p>
        </w:tc>
        <w:tc>
          <w:tcPr>
            <w:tcW w:w="4253" w:type="dxa"/>
            <w:tcBorders>
              <w:top w:val="single" w:sz="4" w:space="0" w:color="auto"/>
              <w:left w:val="single" w:sz="4" w:space="0" w:color="auto"/>
              <w:bottom w:val="single" w:sz="4" w:space="0" w:color="auto"/>
              <w:right w:val="single" w:sz="5" w:space="0" w:color="000000"/>
            </w:tcBorders>
            <w:shd w:val="clear" w:color="auto" w:fill="auto"/>
            <w:tcMar>
              <w:top w:w="0" w:type="dxa"/>
              <w:left w:w="100" w:type="dxa"/>
              <w:bottom w:w="0" w:type="dxa"/>
              <w:right w:w="100" w:type="dxa"/>
            </w:tcMar>
          </w:tcPr>
          <w:p w14:paraId="01398845" w14:textId="77777777" w:rsidR="002508D3" w:rsidRDefault="002508D3" w:rsidP="00494139">
            <w:pPr>
              <w:spacing w:after="0" w:line="240" w:lineRule="auto"/>
              <w:ind w:firstLine="0"/>
              <w:rPr>
                <w:rFonts w:eastAsia="Times New Roman" w:cs="Times New Roman"/>
                <w:sz w:val="20"/>
                <w:szCs w:val="20"/>
              </w:rPr>
            </w:pPr>
            <w:r>
              <w:rPr>
                <w:rFonts w:eastAsia="Times New Roman" w:cs="Times New Roman"/>
                <w:sz w:val="20"/>
                <w:szCs w:val="20"/>
              </w:rPr>
              <w:t>A 6.5.4 Lucrări și măsuri care vizează protecția împotriva inundațiilor, protecția împotriva eroziunii cauzate de apă, vânt și torenți, drenarea și eliminarea consecințelor unor astfel de impacturi ale inundațiilor (împăduriri, plantare de iarbă, stuf, terasare, curățarea albiei etc.);</w:t>
            </w:r>
          </w:p>
        </w:tc>
        <w:tc>
          <w:tcPr>
            <w:tcW w:w="1276" w:type="dxa"/>
            <w:tcBorders>
              <w:top w:val="single" w:sz="4" w:space="0" w:color="auto"/>
              <w:left w:val="nil"/>
              <w:bottom w:val="single" w:sz="4" w:space="0" w:color="auto"/>
              <w:right w:val="single" w:sz="5" w:space="0" w:color="000000"/>
            </w:tcBorders>
            <w:shd w:val="clear" w:color="auto" w:fill="auto"/>
            <w:tcMar>
              <w:top w:w="0" w:type="dxa"/>
              <w:left w:w="100" w:type="dxa"/>
              <w:bottom w:w="0" w:type="dxa"/>
              <w:right w:w="100" w:type="dxa"/>
            </w:tcMar>
          </w:tcPr>
          <w:p w14:paraId="172D741E" w14:textId="77777777" w:rsidR="002508D3" w:rsidRDefault="002508D3" w:rsidP="002508D3">
            <w:pPr>
              <w:spacing w:after="0" w:line="240" w:lineRule="auto"/>
              <w:ind w:hanging="100"/>
              <w:rPr>
                <w:rFonts w:eastAsia="Times New Roman" w:cs="Times New Roman"/>
                <w:sz w:val="20"/>
                <w:szCs w:val="20"/>
              </w:rPr>
            </w:pPr>
            <w:r>
              <w:rPr>
                <w:rFonts w:eastAsia="Times New Roman" w:cs="Times New Roman"/>
                <w:sz w:val="20"/>
                <w:szCs w:val="20"/>
              </w:rPr>
              <w:t>Ridicată</w:t>
            </w:r>
          </w:p>
        </w:tc>
        <w:tc>
          <w:tcPr>
            <w:tcW w:w="1417" w:type="dxa"/>
            <w:tcBorders>
              <w:top w:val="single" w:sz="4" w:space="0" w:color="auto"/>
              <w:left w:val="nil"/>
              <w:bottom w:val="single" w:sz="4" w:space="0" w:color="auto"/>
              <w:right w:val="single" w:sz="5" w:space="0" w:color="000000"/>
            </w:tcBorders>
            <w:shd w:val="clear" w:color="auto" w:fill="auto"/>
            <w:tcMar>
              <w:top w:w="0" w:type="dxa"/>
              <w:left w:w="100" w:type="dxa"/>
              <w:bottom w:w="0" w:type="dxa"/>
              <w:right w:w="100" w:type="dxa"/>
            </w:tcMar>
          </w:tcPr>
          <w:p w14:paraId="45CC6D74"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 xml:space="preserve">2030 </w:t>
            </w:r>
          </w:p>
        </w:tc>
        <w:tc>
          <w:tcPr>
            <w:tcW w:w="1418" w:type="dxa"/>
            <w:tcBorders>
              <w:top w:val="single" w:sz="4" w:space="0" w:color="auto"/>
              <w:left w:val="nil"/>
              <w:bottom w:val="single" w:sz="4" w:space="0" w:color="auto"/>
              <w:right w:val="single" w:sz="5" w:space="0" w:color="000000"/>
            </w:tcBorders>
            <w:shd w:val="clear" w:color="auto" w:fill="auto"/>
            <w:tcMar>
              <w:top w:w="0" w:type="dxa"/>
              <w:left w:w="100" w:type="dxa"/>
              <w:bottom w:w="0" w:type="dxa"/>
              <w:right w:w="100" w:type="dxa"/>
            </w:tcMar>
          </w:tcPr>
          <w:p w14:paraId="4E8FD637" w14:textId="77777777" w:rsidR="002508D3" w:rsidRDefault="002508D3" w:rsidP="00494139">
            <w:pPr>
              <w:spacing w:after="0" w:line="240" w:lineRule="auto"/>
              <w:ind w:firstLine="0"/>
              <w:rPr>
                <w:rFonts w:eastAsia="Times New Roman" w:cs="Times New Roman"/>
                <w:sz w:val="20"/>
                <w:szCs w:val="20"/>
              </w:rPr>
            </w:pPr>
            <w:r>
              <w:rPr>
                <w:rFonts w:eastAsia="Times New Roman" w:cs="Times New Roman"/>
                <w:sz w:val="20"/>
                <w:szCs w:val="20"/>
              </w:rPr>
              <w:t>MMAP</w:t>
            </w:r>
          </w:p>
        </w:tc>
        <w:tc>
          <w:tcPr>
            <w:tcW w:w="1701" w:type="dxa"/>
            <w:tcBorders>
              <w:top w:val="single" w:sz="4" w:space="0" w:color="auto"/>
              <w:left w:val="nil"/>
              <w:bottom w:val="single" w:sz="4" w:space="0" w:color="auto"/>
              <w:right w:val="single" w:sz="6" w:space="0" w:color="000000"/>
            </w:tcBorders>
            <w:shd w:val="clear" w:color="auto" w:fill="auto"/>
            <w:tcMar>
              <w:top w:w="0" w:type="dxa"/>
              <w:left w:w="100" w:type="dxa"/>
              <w:bottom w:w="0" w:type="dxa"/>
              <w:right w:w="100" w:type="dxa"/>
            </w:tcMar>
          </w:tcPr>
          <w:p w14:paraId="7F19E0AE" w14:textId="77777777" w:rsidR="002508D3" w:rsidRDefault="002508D3" w:rsidP="00494139">
            <w:pPr>
              <w:spacing w:after="0" w:line="240" w:lineRule="auto"/>
              <w:ind w:firstLine="0"/>
              <w:rPr>
                <w:rFonts w:eastAsia="Times New Roman" w:cs="Times New Roman"/>
                <w:sz w:val="20"/>
                <w:szCs w:val="20"/>
              </w:rPr>
            </w:pPr>
            <w:r>
              <w:rPr>
                <w:rFonts w:eastAsia="Times New Roman" w:cs="Times New Roman"/>
                <w:sz w:val="20"/>
                <w:szCs w:val="20"/>
              </w:rPr>
              <w:t>Program Dezvoltare Durabilă, Programul Regional Sud-Est, PNRR, buget propriu MMAP</w:t>
            </w:r>
          </w:p>
        </w:tc>
      </w:tr>
      <w:tr w:rsidR="002508D3" w14:paraId="0565C172" w14:textId="77777777" w:rsidTr="002508D3">
        <w:trPr>
          <w:trHeight w:val="1460"/>
        </w:trPr>
        <w:tc>
          <w:tcPr>
            <w:tcW w:w="1892" w:type="dxa"/>
            <w:vMerge/>
            <w:tcBorders>
              <w:top w:val="single" w:sz="4" w:space="0" w:color="auto"/>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4B8972FA" w14:textId="77777777" w:rsidR="002508D3" w:rsidRDefault="002508D3" w:rsidP="002508D3">
            <w:pPr>
              <w:widowControl w:val="0"/>
              <w:pBdr>
                <w:top w:val="nil"/>
                <w:left w:val="nil"/>
                <w:bottom w:val="nil"/>
                <w:right w:val="nil"/>
                <w:between w:val="nil"/>
              </w:pBdr>
              <w:spacing w:after="0"/>
              <w:rPr>
                <w:rFonts w:eastAsia="Times New Roman" w:cs="Times New Roman"/>
                <w:sz w:val="20"/>
                <w:szCs w:val="20"/>
              </w:rPr>
            </w:pPr>
          </w:p>
        </w:tc>
        <w:tc>
          <w:tcPr>
            <w:tcW w:w="2127" w:type="dxa"/>
            <w:vMerge/>
            <w:tcBorders>
              <w:top w:val="single" w:sz="4" w:space="0" w:color="auto"/>
              <w:left w:val="single" w:sz="4" w:space="0" w:color="auto"/>
              <w:bottom w:val="single" w:sz="4" w:space="0" w:color="auto"/>
              <w:right w:val="single" w:sz="4" w:space="0" w:color="auto"/>
            </w:tcBorders>
          </w:tcPr>
          <w:p w14:paraId="730CC5F9" w14:textId="77777777" w:rsidR="002508D3" w:rsidRDefault="002508D3" w:rsidP="002508D3">
            <w:pPr>
              <w:spacing w:after="0" w:line="240" w:lineRule="auto"/>
              <w:rPr>
                <w:rFonts w:eastAsia="Times New Roman" w:cs="Times New Roman"/>
                <w:sz w:val="20"/>
                <w:szCs w:val="20"/>
              </w:rPr>
            </w:pPr>
          </w:p>
        </w:tc>
        <w:tc>
          <w:tcPr>
            <w:tcW w:w="4253" w:type="dxa"/>
            <w:tcBorders>
              <w:top w:val="single" w:sz="4" w:space="0" w:color="auto"/>
              <w:left w:val="single" w:sz="4" w:space="0" w:color="auto"/>
              <w:bottom w:val="single" w:sz="4" w:space="0" w:color="000000"/>
              <w:right w:val="single" w:sz="5" w:space="0" w:color="000000"/>
            </w:tcBorders>
            <w:shd w:val="clear" w:color="auto" w:fill="auto"/>
            <w:tcMar>
              <w:top w:w="0" w:type="dxa"/>
              <w:left w:w="100" w:type="dxa"/>
              <w:bottom w:w="0" w:type="dxa"/>
              <w:right w:w="100" w:type="dxa"/>
            </w:tcMar>
          </w:tcPr>
          <w:p w14:paraId="4C13C38A" w14:textId="77777777" w:rsidR="002508D3" w:rsidRDefault="002508D3" w:rsidP="00494139">
            <w:pPr>
              <w:spacing w:after="0" w:line="240" w:lineRule="auto"/>
              <w:ind w:firstLine="0"/>
              <w:rPr>
                <w:rFonts w:eastAsia="Times New Roman" w:cs="Times New Roman"/>
                <w:sz w:val="20"/>
                <w:szCs w:val="20"/>
              </w:rPr>
            </w:pPr>
            <w:r>
              <w:rPr>
                <w:rFonts w:eastAsia="Times New Roman" w:cs="Times New Roman"/>
                <w:sz w:val="20"/>
                <w:szCs w:val="20"/>
              </w:rPr>
              <w:t>A 6.5.5 Impunerea de interdicții de: defrișarea și tăierea pădurilor în zonele erodate; denudarea zonelor; nivelarea necontrolată a terenurilor necultivate; umplerea izvoarelor; construirea de structuri care ar putea pune în pericol stabilitatea terenului și întreprinderea altor acțiuni care duc la eroziune și apariția torenților</w:t>
            </w:r>
          </w:p>
        </w:tc>
        <w:tc>
          <w:tcPr>
            <w:tcW w:w="1276" w:type="dxa"/>
            <w:tcBorders>
              <w:top w:val="single" w:sz="4" w:space="0" w:color="auto"/>
              <w:left w:val="nil"/>
              <w:bottom w:val="single" w:sz="4" w:space="0" w:color="000000"/>
              <w:right w:val="single" w:sz="5" w:space="0" w:color="000000"/>
            </w:tcBorders>
            <w:shd w:val="clear" w:color="auto" w:fill="auto"/>
            <w:tcMar>
              <w:top w:w="0" w:type="dxa"/>
              <w:left w:w="100" w:type="dxa"/>
              <w:bottom w:w="0" w:type="dxa"/>
              <w:right w:w="100" w:type="dxa"/>
            </w:tcMar>
          </w:tcPr>
          <w:p w14:paraId="2D415622" w14:textId="77777777" w:rsidR="002508D3" w:rsidRDefault="002508D3" w:rsidP="002508D3">
            <w:pPr>
              <w:spacing w:after="0" w:line="240" w:lineRule="auto"/>
              <w:ind w:hanging="100"/>
              <w:rPr>
                <w:rFonts w:eastAsia="Times New Roman" w:cs="Times New Roman"/>
                <w:sz w:val="20"/>
                <w:szCs w:val="20"/>
              </w:rPr>
            </w:pPr>
            <w:r>
              <w:rPr>
                <w:rFonts w:eastAsia="Times New Roman" w:cs="Times New Roman"/>
                <w:sz w:val="20"/>
                <w:szCs w:val="20"/>
              </w:rPr>
              <w:t>Ridicată</w:t>
            </w:r>
          </w:p>
        </w:tc>
        <w:tc>
          <w:tcPr>
            <w:tcW w:w="1417" w:type="dxa"/>
            <w:tcBorders>
              <w:top w:val="single" w:sz="4" w:space="0" w:color="auto"/>
              <w:left w:val="nil"/>
              <w:bottom w:val="single" w:sz="4" w:space="0" w:color="000000"/>
              <w:right w:val="single" w:sz="5" w:space="0" w:color="000000"/>
            </w:tcBorders>
            <w:shd w:val="clear" w:color="auto" w:fill="auto"/>
            <w:tcMar>
              <w:top w:w="0" w:type="dxa"/>
              <w:left w:w="100" w:type="dxa"/>
              <w:bottom w:w="0" w:type="dxa"/>
              <w:right w:w="100" w:type="dxa"/>
            </w:tcMar>
          </w:tcPr>
          <w:p w14:paraId="3E921764"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2025</w:t>
            </w:r>
          </w:p>
        </w:tc>
        <w:tc>
          <w:tcPr>
            <w:tcW w:w="1418" w:type="dxa"/>
            <w:tcBorders>
              <w:top w:val="single" w:sz="4" w:space="0" w:color="auto"/>
              <w:left w:val="nil"/>
              <w:bottom w:val="single" w:sz="4" w:space="0" w:color="000000"/>
              <w:right w:val="single" w:sz="5" w:space="0" w:color="000000"/>
            </w:tcBorders>
            <w:shd w:val="clear" w:color="auto" w:fill="auto"/>
            <w:tcMar>
              <w:top w:w="0" w:type="dxa"/>
              <w:left w:w="100" w:type="dxa"/>
              <w:bottom w:w="0" w:type="dxa"/>
              <w:right w:w="100" w:type="dxa"/>
            </w:tcMar>
          </w:tcPr>
          <w:p w14:paraId="05982449" w14:textId="09434FC4" w:rsidR="002508D3" w:rsidRDefault="002508D3" w:rsidP="00494139">
            <w:pPr>
              <w:spacing w:after="0" w:line="240" w:lineRule="auto"/>
              <w:ind w:firstLine="0"/>
              <w:rPr>
                <w:rFonts w:eastAsia="Times New Roman" w:cs="Times New Roman"/>
                <w:sz w:val="20"/>
                <w:szCs w:val="20"/>
              </w:rPr>
            </w:pPr>
            <w:r>
              <w:rPr>
                <w:rFonts w:eastAsia="Times New Roman" w:cs="Times New Roman"/>
                <w:sz w:val="20"/>
                <w:szCs w:val="20"/>
              </w:rPr>
              <w:t>MMAP</w:t>
            </w:r>
            <w:r w:rsidR="00214619">
              <w:rPr>
                <w:rFonts w:eastAsia="Times New Roman" w:cs="Times New Roman"/>
                <w:sz w:val="20"/>
                <w:szCs w:val="20"/>
              </w:rPr>
              <w:t>, MAI (IGSU)</w:t>
            </w:r>
          </w:p>
        </w:tc>
        <w:tc>
          <w:tcPr>
            <w:tcW w:w="1701" w:type="dxa"/>
            <w:tcBorders>
              <w:top w:val="single" w:sz="4" w:space="0" w:color="auto"/>
              <w:left w:val="nil"/>
              <w:bottom w:val="single" w:sz="4" w:space="0" w:color="000000"/>
              <w:right w:val="single" w:sz="5" w:space="0" w:color="000000"/>
            </w:tcBorders>
            <w:shd w:val="clear" w:color="auto" w:fill="auto"/>
            <w:tcMar>
              <w:top w:w="0" w:type="dxa"/>
              <w:left w:w="100" w:type="dxa"/>
              <w:bottom w:w="0" w:type="dxa"/>
              <w:right w:w="100" w:type="dxa"/>
            </w:tcMar>
          </w:tcPr>
          <w:p w14:paraId="38B4A68A" w14:textId="77777777" w:rsidR="002508D3" w:rsidRDefault="002508D3" w:rsidP="00494139">
            <w:pPr>
              <w:spacing w:after="0" w:line="240" w:lineRule="auto"/>
              <w:ind w:firstLine="0"/>
              <w:rPr>
                <w:rFonts w:eastAsia="Times New Roman" w:cs="Times New Roman"/>
                <w:sz w:val="20"/>
                <w:szCs w:val="20"/>
              </w:rPr>
            </w:pPr>
            <w:r>
              <w:rPr>
                <w:rFonts w:eastAsia="Times New Roman" w:cs="Times New Roman"/>
                <w:sz w:val="20"/>
                <w:szCs w:val="20"/>
              </w:rPr>
              <w:t>buget propriu MMAP</w:t>
            </w:r>
          </w:p>
        </w:tc>
      </w:tr>
    </w:tbl>
    <w:p w14:paraId="2BBAE691" w14:textId="77777777" w:rsidR="002508D3" w:rsidRDefault="002508D3" w:rsidP="002508D3">
      <w:pPr>
        <w:rPr>
          <w:rFonts w:eastAsia="Times New Roman" w:cs="Times New Roman"/>
        </w:rPr>
      </w:pPr>
    </w:p>
    <w:p w14:paraId="3C2C0C56" w14:textId="77777777" w:rsidR="002508D3" w:rsidRDefault="002508D3" w:rsidP="002508D3">
      <w:pPr>
        <w:spacing w:before="0"/>
        <w:ind w:firstLine="567"/>
        <w:rPr>
          <w:rFonts w:eastAsia="Times New Roman" w:cs="Times New Roman"/>
          <w:b/>
          <w:i/>
        </w:rPr>
      </w:pPr>
      <w:r>
        <w:rPr>
          <w:rFonts w:eastAsia="Times New Roman" w:cs="Times New Roman"/>
        </w:rPr>
        <w:t xml:space="preserve">Activitățile ce se vor realiza în vederea implementării Programului de </w:t>
      </w:r>
      <w:r>
        <w:rPr>
          <w:rFonts w:eastAsia="Times New Roman" w:cs="Times New Roman"/>
          <w:b/>
          <w:i/>
        </w:rPr>
        <w:t>Măsuri dezvoltarea sustenabilă a zonei costiere</w:t>
      </w:r>
      <w:r>
        <w:rPr>
          <w:rFonts w:eastAsia="Times New Roman" w:cs="Times New Roman"/>
        </w:rPr>
        <w:t xml:space="preserve"> sunt prezentate în Tabelul de mai jos, unde sunt indicate termenele de implementare, organizațiile responsabile pentru realizarea activităților, și implicit implementarea măsurilor, precum și posibilele surse de finanțare.</w:t>
      </w:r>
    </w:p>
    <w:tbl>
      <w:tblPr>
        <w:tblW w:w="14082" w:type="dxa"/>
        <w:tblInd w:w="-68" w:type="dxa"/>
        <w:tblBorders>
          <w:top w:val="nil"/>
          <w:left w:val="nil"/>
          <w:bottom w:val="nil"/>
          <w:right w:val="nil"/>
          <w:insideH w:val="nil"/>
          <w:insideV w:val="nil"/>
        </w:tblBorders>
        <w:tblLayout w:type="fixed"/>
        <w:tblLook w:val="0600" w:firstRow="0" w:lastRow="0" w:firstColumn="0" w:lastColumn="0" w:noHBand="1" w:noVBand="1"/>
      </w:tblPr>
      <w:tblGrid>
        <w:gridCol w:w="1892"/>
        <w:gridCol w:w="2121"/>
        <w:gridCol w:w="4254"/>
        <w:gridCol w:w="1277"/>
        <w:gridCol w:w="1418"/>
        <w:gridCol w:w="1419"/>
        <w:gridCol w:w="1701"/>
      </w:tblGrid>
      <w:tr w:rsidR="002508D3" w14:paraId="5027B41B" w14:textId="77777777" w:rsidTr="00473248">
        <w:trPr>
          <w:trHeight w:val="570"/>
        </w:trPr>
        <w:tc>
          <w:tcPr>
            <w:tcW w:w="1892" w:type="dxa"/>
            <w:tcBorders>
              <w:top w:val="single" w:sz="5" w:space="0" w:color="000000"/>
              <w:left w:val="single" w:sz="5" w:space="0" w:color="000000"/>
              <w:bottom w:val="single" w:sz="5" w:space="0" w:color="000000"/>
              <w:right w:val="single" w:sz="4" w:space="0" w:color="auto"/>
            </w:tcBorders>
            <w:tcMar>
              <w:top w:w="0" w:type="dxa"/>
              <w:left w:w="100" w:type="dxa"/>
              <w:bottom w:w="0" w:type="dxa"/>
              <w:right w:w="100" w:type="dxa"/>
            </w:tcMar>
          </w:tcPr>
          <w:p w14:paraId="00E219E9" w14:textId="77777777" w:rsidR="002508D3" w:rsidRDefault="002508D3" w:rsidP="002508D3">
            <w:pPr>
              <w:spacing w:after="0" w:line="240" w:lineRule="auto"/>
              <w:ind w:hanging="37"/>
              <w:rPr>
                <w:rFonts w:eastAsia="Times New Roman" w:cs="Times New Roman"/>
                <w:sz w:val="20"/>
                <w:szCs w:val="20"/>
              </w:rPr>
            </w:pPr>
            <w:bookmarkStart w:id="149" w:name="_heading=h.xvir7l" w:colFirst="0" w:colLast="0"/>
            <w:bookmarkEnd w:id="149"/>
            <w:r>
              <w:rPr>
                <w:rFonts w:eastAsia="Times New Roman" w:cs="Times New Roman"/>
                <w:sz w:val="20"/>
                <w:szCs w:val="20"/>
              </w:rPr>
              <w:t>Măsură</w:t>
            </w:r>
          </w:p>
        </w:tc>
        <w:tc>
          <w:tcPr>
            <w:tcW w:w="2121" w:type="dxa"/>
            <w:tcBorders>
              <w:top w:val="single" w:sz="4" w:space="0" w:color="auto"/>
              <w:left w:val="single" w:sz="4" w:space="0" w:color="auto"/>
              <w:bottom w:val="single" w:sz="4" w:space="0" w:color="auto"/>
              <w:right w:val="single" w:sz="4" w:space="0" w:color="auto"/>
            </w:tcBorders>
          </w:tcPr>
          <w:p w14:paraId="7D08AAE0" w14:textId="77777777" w:rsidR="002508D3" w:rsidRDefault="002508D3" w:rsidP="002508D3">
            <w:pPr>
              <w:spacing w:after="0" w:line="240" w:lineRule="auto"/>
              <w:ind w:firstLine="48"/>
              <w:rPr>
                <w:rFonts w:eastAsia="Times New Roman" w:cs="Times New Roman"/>
                <w:sz w:val="20"/>
                <w:szCs w:val="20"/>
              </w:rPr>
            </w:pPr>
            <w:r>
              <w:rPr>
                <w:rFonts w:eastAsia="Times New Roman" w:cs="Times New Roman"/>
                <w:sz w:val="20"/>
                <w:szCs w:val="20"/>
              </w:rPr>
              <w:t>Obiective vizate</w:t>
            </w:r>
          </w:p>
        </w:tc>
        <w:tc>
          <w:tcPr>
            <w:tcW w:w="4254" w:type="dxa"/>
            <w:tcBorders>
              <w:top w:val="single" w:sz="5" w:space="0" w:color="000000"/>
              <w:left w:val="single" w:sz="4" w:space="0" w:color="auto"/>
              <w:bottom w:val="single" w:sz="5" w:space="0" w:color="000000"/>
              <w:right w:val="single" w:sz="5" w:space="0" w:color="000000"/>
            </w:tcBorders>
            <w:tcMar>
              <w:top w:w="0" w:type="dxa"/>
              <w:left w:w="100" w:type="dxa"/>
              <w:bottom w:w="0" w:type="dxa"/>
              <w:right w:w="100" w:type="dxa"/>
            </w:tcMar>
          </w:tcPr>
          <w:p w14:paraId="50904C29"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Activitate</w:t>
            </w:r>
          </w:p>
        </w:tc>
        <w:tc>
          <w:tcPr>
            <w:tcW w:w="1277"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4AC69EC8" w14:textId="77777777" w:rsidR="002508D3" w:rsidRPr="002508D3" w:rsidRDefault="002508D3" w:rsidP="002508D3">
            <w:pPr>
              <w:spacing w:after="0" w:line="240" w:lineRule="auto"/>
              <w:ind w:firstLine="0"/>
              <w:rPr>
                <w:rFonts w:eastAsia="Times New Roman" w:cs="Times New Roman"/>
                <w:sz w:val="20"/>
                <w:szCs w:val="22"/>
              </w:rPr>
            </w:pPr>
            <w:r w:rsidRPr="002508D3">
              <w:rPr>
                <w:rFonts w:eastAsia="Times New Roman" w:cs="Times New Roman"/>
                <w:sz w:val="20"/>
                <w:szCs w:val="22"/>
              </w:rPr>
              <w:t>Prioritate</w:t>
            </w:r>
          </w:p>
        </w:tc>
        <w:tc>
          <w:tcPr>
            <w:tcW w:w="1418"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40C628FC" w14:textId="77777777" w:rsidR="002508D3" w:rsidRPr="002508D3" w:rsidRDefault="002508D3" w:rsidP="002508D3">
            <w:pPr>
              <w:spacing w:after="0" w:line="240" w:lineRule="auto"/>
              <w:ind w:firstLine="0"/>
              <w:rPr>
                <w:rFonts w:eastAsia="Times New Roman" w:cs="Times New Roman"/>
                <w:sz w:val="20"/>
                <w:szCs w:val="20"/>
              </w:rPr>
            </w:pPr>
            <w:r w:rsidRPr="002508D3">
              <w:rPr>
                <w:rFonts w:eastAsia="Times New Roman" w:cs="Times New Roman"/>
                <w:sz w:val="20"/>
                <w:szCs w:val="20"/>
              </w:rPr>
              <w:t>Termen de implementare</w:t>
            </w:r>
          </w:p>
        </w:tc>
        <w:tc>
          <w:tcPr>
            <w:tcW w:w="1419"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D1F2C95" w14:textId="77777777" w:rsidR="002508D3" w:rsidRPr="00473248" w:rsidRDefault="002508D3" w:rsidP="00473248">
            <w:pPr>
              <w:spacing w:after="0" w:line="240" w:lineRule="auto"/>
              <w:ind w:firstLine="0"/>
              <w:rPr>
                <w:rFonts w:eastAsia="Times New Roman" w:cs="Times New Roman"/>
                <w:sz w:val="20"/>
                <w:szCs w:val="20"/>
              </w:rPr>
            </w:pPr>
            <w:r w:rsidRPr="00473248">
              <w:rPr>
                <w:rFonts w:eastAsia="Times New Roman" w:cs="Times New Roman"/>
                <w:sz w:val="20"/>
                <w:szCs w:val="20"/>
              </w:rPr>
              <w:t>Instituții responsabile</w:t>
            </w:r>
          </w:p>
        </w:tc>
        <w:tc>
          <w:tcPr>
            <w:tcW w:w="1701" w:type="dxa"/>
            <w:tcBorders>
              <w:top w:val="single" w:sz="5" w:space="0" w:color="000000"/>
              <w:left w:val="nil"/>
              <w:bottom w:val="single" w:sz="6" w:space="0" w:color="000000"/>
              <w:right w:val="single" w:sz="5" w:space="0" w:color="000000"/>
            </w:tcBorders>
            <w:tcMar>
              <w:top w:w="0" w:type="dxa"/>
              <w:left w:w="100" w:type="dxa"/>
              <w:bottom w:w="0" w:type="dxa"/>
              <w:right w:w="100" w:type="dxa"/>
            </w:tcMar>
          </w:tcPr>
          <w:p w14:paraId="7FFE0C38"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Finanțare</w:t>
            </w:r>
          </w:p>
        </w:tc>
      </w:tr>
      <w:tr w:rsidR="002508D3" w14:paraId="3982FA29" w14:textId="77777777" w:rsidTr="00473248">
        <w:trPr>
          <w:trHeight w:val="978"/>
        </w:trPr>
        <w:tc>
          <w:tcPr>
            <w:tcW w:w="1892" w:type="dxa"/>
            <w:vMerge w:val="restart"/>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1E356214" w14:textId="77777777" w:rsidR="002508D3" w:rsidRDefault="002508D3" w:rsidP="002508D3">
            <w:pPr>
              <w:spacing w:after="0" w:line="240" w:lineRule="auto"/>
              <w:ind w:hanging="37"/>
              <w:rPr>
                <w:rFonts w:eastAsia="Times New Roman" w:cs="Times New Roman"/>
                <w:sz w:val="20"/>
                <w:szCs w:val="20"/>
              </w:rPr>
            </w:pPr>
            <w:r>
              <w:rPr>
                <w:rFonts w:eastAsia="Times New Roman" w:cs="Times New Roman"/>
                <w:sz w:val="20"/>
                <w:szCs w:val="20"/>
              </w:rPr>
              <w:t>M7.1 Stimularea întreprinderilor care obțin eticheta ecologică pentru activitatea de cazare turistică</w:t>
            </w:r>
          </w:p>
        </w:tc>
        <w:tc>
          <w:tcPr>
            <w:tcW w:w="2121" w:type="dxa"/>
            <w:vMerge w:val="restart"/>
            <w:tcBorders>
              <w:top w:val="single" w:sz="4" w:space="0" w:color="auto"/>
              <w:left w:val="single" w:sz="4" w:space="0" w:color="auto"/>
              <w:bottom w:val="single" w:sz="4" w:space="0" w:color="auto"/>
              <w:right w:val="single" w:sz="4" w:space="0" w:color="auto"/>
            </w:tcBorders>
          </w:tcPr>
          <w:p w14:paraId="01004CD2" w14:textId="77777777" w:rsidR="002508D3" w:rsidRDefault="002508D3" w:rsidP="002508D3">
            <w:pPr>
              <w:spacing w:line="240" w:lineRule="auto"/>
              <w:ind w:firstLine="48"/>
              <w:rPr>
                <w:rFonts w:eastAsia="Times New Roman" w:cs="Times New Roman"/>
                <w:sz w:val="20"/>
                <w:szCs w:val="20"/>
              </w:rPr>
            </w:pPr>
            <w:r w:rsidRPr="00DD49F4">
              <w:rPr>
                <w:rFonts w:eastAsia="Times New Roman" w:cs="Times New Roman"/>
                <w:sz w:val="20"/>
                <w:szCs w:val="20"/>
              </w:rPr>
              <w:t>Os4.b Dezvoltarea “verde” a zonei costiere</w:t>
            </w:r>
            <w:r>
              <w:rPr>
                <w:rFonts w:eastAsia="Times New Roman" w:cs="Times New Roman"/>
                <w:sz w:val="20"/>
                <w:szCs w:val="20"/>
              </w:rPr>
              <w:t>.</w:t>
            </w: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038FC692"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7.1.1 Realizarea de campanii de promovare și informare a deținătorilor și managerilor structurilor de primire turistică asupra criteriilor pentru încadrarea în program și ale avantajelor obținerii “Eticheta ecologică în turism“</w:t>
            </w:r>
          </w:p>
        </w:tc>
        <w:tc>
          <w:tcPr>
            <w:tcW w:w="1277"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3DC17DF2" w14:textId="77777777" w:rsidR="002508D3" w:rsidRPr="002508D3" w:rsidRDefault="002508D3" w:rsidP="002508D3">
            <w:pPr>
              <w:spacing w:after="0" w:line="240" w:lineRule="auto"/>
              <w:ind w:firstLine="0"/>
              <w:rPr>
                <w:rFonts w:eastAsia="Times New Roman" w:cs="Times New Roman"/>
                <w:sz w:val="20"/>
                <w:szCs w:val="22"/>
              </w:rPr>
            </w:pPr>
            <w:r w:rsidRPr="002508D3">
              <w:rPr>
                <w:rFonts w:eastAsia="Times New Roman" w:cs="Times New Roman"/>
                <w:sz w:val="20"/>
                <w:szCs w:val="22"/>
              </w:rPr>
              <w:t>Ridicată</w:t>
            </w:r>
          </w:p>
        </w:tc>
        <w:tc>
          <w:tcPr>
            <w:tcW w:w="1418"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43098703" w14:textId="77777777" w:rsidR="002508D3" w:rsidRPr="002508D3" w:rsidRDefault="002508D3" w:rsidP="002508D3">
            <w:pPr>
              <w:spacing w:after="0" w:line="240" w:lineRule="auto"/>
              <w:ind w:firstLine="0"/>
              <w:rPr>
                <w:rFonts w:eastAsia="Times New Roman" w:cs="Times New Roman"/>
                <w:sz w:val="20"/>
                <w:szCs w:val="20"/>
              </w:rPr>
            </w:pPr>
            <w:r w:rsidRPr="002508D3">
              <w:rPr>
                <w:rFonts w:eastAsia="Times New Roman" w:cs="Times New Roman"/>
                <w:sz w:val="20"/>
                <w:szCs w:val="20"/>
              </w:rPr>
              <w:t>2030</w:t>
            </w:r>
          </w:p>
        </w:tc>
        <w:tc>
          <w:tcPr>
            <w:tcW w:w="1419"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5F8D4D5D" w14:textId="77777777" w:rsidR="002508D3" w:rsidRPr="00473248" w:rsidRDefault="002508D3" w:rsidP="00473248">
            <w:pPr>
              <w:spacing w:after="0" w:line="240" w:lineRule="auto"/>
              <w:ind w:firstLine="0"/>
              <w:rPr>
                <w:rFonts w:eastAsia="Times New Roman" w:cs="Times New Roman"/>
                <w:sz w:val="20"/>
                <w:szCs w:val="20"/>
              </w:rPr>
            </w:pPr>
            <w:r w:rsidRPr="00473248">
              <w:rPr>
                <w:rFonts w:eastAsia="Times New Roman" w:cs="Times New Roman"/>
                <w:sz w:val="20"/>
                <w:szCs w:val="20"/>
              </w:rPr>
              <w:t>MMAP, MEAT</w:t>
            </w:r>
          </w:p>
        </w:tc>
        <w:tc>
          <w:tcPr>
            <w:tcW w:w="1701" w:type="dxa"/>
            <w:vMerge w:val="restart"/>
            <w:tcBorders>
              <w:top w:val="single" w:sz="6" w:space="0" w:color="000000"/>
              <w:left w:val="single" w:sz="4" w:space="0" w:color="000000"/>
              <w:bottom w:val="nil"/>
              <w:right w:val="single" w:sz="4" w:space="0" w:color="000000"/>
            </w:tcBorders>
            <w:shd w:val="clear" w:color="auto" w:fill="auto"/>
            <w:tcMar>
              <w:top w:w="0" w:type="dxa"/>
              <w:left w:w="100" w:type="dxa"/>
              <w:bottom w:w="0" w:type="dxa"/>
              <w:right w:w="100" w:type="dxa"/>
            </w:tcMar>
          </w:tcPr>
          <w:p w14:paraId="4ADDC95E"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bugetul propriu al MEAT, programe europene, precum PNRR, INTERREG EUROPE 2021-2027, Programul Regional Sud-Est</w:t>
            </w:r>
          </w:p>
        </w:tc>
      </w:tr>
      <w:tr w:rsidR="002508D3" w14:paraId="0F8065CF" w14:textId="77777777" w:rsidTr="00473248">
        <w:trPr>
          <w:trHeight w:val="978"/>
        </w:trPr>
        <w:tc>
          <w:tcPr>
            <w:tcW w:w="1892" w:type="dxa"/>
            <w:vMerge/>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70C3B6A8" w14:textId="77777777" w:rsidR="002508D3" w:rsidRDefault="002508D3" w:rsidP="002508D3">
            <w:pPr>
              <w:widowControl w:val="0"/>
              <w:pBdr>
                <w:top w:val="nil"/>
                <w:left w:val="nil"/>
                <w:bottom w:val="nil"/>
                <w:right w:val="nil"/>
                <w:between w:val="nil"/>
              </w:pBdr>
              <w:spacing w:after="0"/>
              <w:ind w:hanging="37"/>
              <w:rPr>
                <w:rFonts w:eastAsia="Times New Roman" w:cs="Times New Roman"/>
                <w:sz w:val="20"/>
                <w:szCs w:val="20"/>
              </w:rPr>
            </w:pPr>
          </w:p>
        </w:tc>
        <w:tc>
          <w:tcPr>
            <w:tcW w:w="2121" w:type="dxa"/>
            <w:vMerge/>
            <w:tcBorders>
              <w:top w:val="single" w:sz="4" w:space="0" w:color="auto"/>
              <w:left w:val="single" w:sz="4" w:space="0" w:color="auto"/>
              <w:bottom w:val="single" w:sz="4" w:space="0" w:color="auto"/>
              <w:right w:val="single" w:sz="4" w:space="0" w:color="auto"/>
            </w:tcBorders>
          </w:tcPr>
          <w:p w14:paraId="1F433AFA" w14:textId="77777777" w:rsidR="002508D3" w:rsidRDefault="002508D3" w:rsidP="002508D3">
            <w:pPr>
              <w:spacing w:after="0" w:line="240" w:lineRule="auto"/>
              <w:ind w:firstLine="48"/>
              <w:rPr>
                <w:rFonts w:eastAsia="Times New Roman" w:cs="Times New Roman"/>
                <w:sz w:val="20"/>
                <w:szCs w:val="20"/>
              </w:rPr>
            </w:pPr>
          </w:p>
        </w:tc>
        <w:tc>
          <w:tcPr>
            <w:tcW w:w="4254" w:type="dxa"/>
            <w:tcBorders>
              <w:top w:val="single" w:sz="4" w:space="0" w:color="auto"/>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713A4AAE" w14:textId="42081184" w:rsidR="002508D3" w:rsidRDefault="002508D3" w:rsidP="002508D3">
            <w:pPr>
              <w:spacing w:after="0" w:line="240" w:lineRule="auto"/>
              <w:ind w:firstLine="0"/>
              <w:rPr>
                <w:rFonts w:eastAsia="Times New Roman" w:cs="Times New Roman"/>
                <w:sz w:val="20"/>
                <w:szCs w:val="20"/>
              </w:rPr>
            </w:pPr>
            <w:r>
              <w:rPr>
                <w:rFonts w:eastAsia="Times New Roman" w:cs="Times New Roman"/>
                <w:sz w:val="20"/>
                <w:szCs w:val="20"/>
              </w:rPr>
              <w:t>A 7.1.2 Inițierea și aprobarea, prin Hotărâre de Guvern, a unui Program de stimulare a întreprinderilor din turism care au obținut, urmare</w:t>
            </w:r>
            <w:r w:rsidR="003C4FA1">
              <w:rPr>
                <w:rFonts w:eastAsia="Times New Roman" w:cs="Times New Roman"/>
                <w:sz w:val="20"/>
                <w:szCs w:val="20"/>
              </w:rPr>
              <w:t xml:space="preserve"> a</w:t>
            </w:r>
            <w:r>
              <w:rPr>
                <w:rFonts w:eastAsia="Times New Roman" w:cs="Times New Roman"/>
                <w:sz w:val="20"/>
                <w:szCs w:val="20"/>
              </w:rPr>
              <w:t xml:space="preserve"> investițiilor realizate, “Eticheta ecologică în turism“</w:t>
            </w:r>
          </w:p>
        </w:tc>
        <w:tc>
          <w:tcPr>
            <w:tcW w:w="1277" w:type="dxa"/>
            <w:tcBorders>
              <w:top w:val="single" w:sz="4" w:space="0" w:color="auto"/>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644FE873" w14:textId="77777777" w:rsidR="002508D3" w:rsidRPr="002508D3" w:rsidRDefault="002508D3" w:rsidP="002508D3">
            <w:pPr>
              <w:spacing w:after="0" w:line="240" w:lineRule="auto"/>
              <w:ind w:firstLine="0"/>
              <w:rPr>
                <w:rFonts w:eastAsia="Times New Roman" w:cs="Times New Roman"/>
                <w:sz w:val="20"/>
                <w:szCs w:val="22"/>
              </w:rPr>
            </w:pPr>
            <w:r w:rsidRPr="002508D3">
              <w:rPr>
                <w:rFonts w:eastAsia="Times New Roman" w:cs="Times New Roman"/>
                <w:sz w:val="20"/>
                <w:szCs w:val="22"/>
              </w:rPr>
              <w:t>Ridicată</w:t>
            </w:r>
          </w:p>
        </w:tc>
        <w:tc>
          <w:tcPr>
            <w:tcW w:w="1418" w:type="dxa"/>
            <w:tcBorders>
              <w:top w:val="single" w:sz="4" w:space="0" w:color="auto"/>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68956BB3" w14:textId="77777777" w:rsidR="002508D3" w:rsidRPr="002508D3" w:rsidRDefault="002508D3" w:rsidP="002508D3">
            <w:pPr>
              <w:spacing w:after="0" w:line="240" w:lineRule="auto"/>
              <w:ind w:firstLine="0"/>
              <w:rPr>
                <w:rFonts w:eastAsia="Times New Roman" w:cs="Times New Roman"/>
                <w:sz w:val="20"/>
                <w:szCs w:val="20"/>
              </w:rPr>
            </w:pPr>
            <w:r w:rsidRPr="002508D3">
              <w:rPr>
                <w:rFonts w:eastAsia="Times New Roman" w:cs="Times New Roman"/>
                <w:sz w:val="20"/>
                <w:szCs w:val="20"/>
              </w:rPr>
              <w:t>2027</w:t>
            </w:r>
          </w:p>
        </w:tc>
        <w:tc>
          <w:tcPr>
            <w:tcW w:w="1419" w:type="dxa"/>
            <w:tcBorders>
              <w:top w:val="single" w:sz="4" w:space="0" w:color="auto"/>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4751AFC2" w14:textId="77777777" w:rsidR="002508D3" w:rsidRPr="00473248" w:rsidRDefault="002508D3" w:rsidP="00473248">
            <w:pPr>
              <w:spacing w:after="0" w:line="240" w:lineRule="auto"/>
              <w:ind w:firstLine="0"/>
              <w:rPr>
                <w:rFonts w:eastAsia="Times New Roman" w:cs="Times New Roman"/>
                <w:sz w:val="20"/>
                <w:szCs w:val="20"/>
              </w:rPr>
            </w:pPr>
            <w:r w:rsidRPr="00473248">
              <w:rPr>
                <w:rFonts w:eastAsia="Times New Roman" w:cs="Times New Roman"/>
                <w:sz w:val="20"/>
                <w:szCs w:val="20"/>
              </w:rPr>
              <w:t>MMAP, MEAT</w:t>
            </w:r>
          </w:p>
        </w:tc>
        <w:tc>
          <w:tcPr>
            <w:tcW w:w="1701" w:type="dxa"/>
            <w:vMerge/>
            <w:tcBorders>
              <w:top w:val="single" w:sz="4" w:space="0" w:color="auto"/>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23D07760" w14:textId="77777777" w:rsidR="002508D3" w:rsidRDefault="002508D3" w:rsidP="00473248">
            <w:pPr>
              <w:widowControl w:val="0"/>
              <w:pBdr>
                <w:top w:val="nil"/>
                <w:left w:val="nil"/>
                <w:bottom w:val="nil"/>
                <w:right w:val="nil"/>
                <w:between w:val="nil"/>
              </w:pBdr>
              <w:spacing w:after="0"/>
              <w:ind w:firstLine="0"/>
              <w:rPr>
                <w:rFonts w:eastAsia="Times New Roman" w:cs="Times New Roman"/>
                <w:sz w:val="20"/>
                <w:szCs w:val="20"/>
              </w:rPr>
            </w:pPr>
          </w:p>
        </w:tc>
      </w:tr>
      <w:tr w:rsidR="002508D3" w14:paraId="39D68B69" w14:textId="77777777" w:rsidTr="00473248">
        <w:trPr>
          <w:trHeight w:val="896"/>
        </w:trPr>
        <w:tc>
          <w:tcPr>
            <w:tcW w:w="1892" w:type="dxa"/>
            <w:vMerge w:val="restart"/>
            <w:tcBorders>
              <w:top w:val="single" w:sz="4" w:space="0" w:color="auto"/>
              <w:left w:val="single" w:sz="4" w:space="0" w:color="000000"/>
              <w:bottom w:val="nil"/>
              <w:right w:val="single" w:sz="4" w:space="0" w:color="auto"/>
            </w:tcBorders>
            <w:shd w:val="clear" w:color="auto" w:fill="auto"/>
            <w:tcMar>
              <w:top w:w="100" w:type="dxa"/>
              <w:left w:w="100" w:type="dxa"/>
              <w:bottom w:w="100" w:type="dxa"/>
              <w:right w:w="100" w:type="dxa"/>
            </w:tcMar>
          </w:tcPr>
          <w:p w14:paraId="4BCE7810" w14:textId="77777777" w:rsidR="002508D3" w:rsidRDefault="002508D3" w:rsidP="002508D3">
            <w:pPr>
              <w:spacing w:after="0" w:line="240" w:lineRule="auto"/>
              <w:ind w:hanging="37"/>
              <w:rPr>
                <w:rFonts w:eastAsia="Times New Roman" w:cs="Times New Roman"/>
                <w:sz w:val="20"/>
                <w:szCs w:val="20"/>
              </w:rPr>
            </w:pPr>
            <w:r>
              <w:rPr>
                <w:rFonts w:eastAsia="Times New Roman" w:cs="Times New Roman"/>
                <w:sz w:val="20"/>
                <w:szCs w:val="20"/>
              </w:rPr>
              <w:t xml:space="preserve">M7.2 Stimularea operatorilor de plaje și de porturi de agrement care </w:t>
            </w:r>
            <w:r>
              <w:rPr>
                <w:rFonts w:eastAsia="Times New Roman" w:cs="Times New Roman"/>
                <w:sz w:val="20"/>
                <w:szCs w:val="20"/>
              </w:rPr>
              <w:lastRenderedPageBreak/>
              <w:t>reușesc să obțină distincția Blue Flag</w:t>
            </w:r>
          </w:p>
        </w:tc>
        <w:tc>
          <w:tcPr>
            <w:tcW w:w="2121" w:type="dxa"/>
            <w:vMerge w:val="restart"/>
            <w:tcBorders>
              <w:top w:val="single" w:sz="4" w:space="0" w:color="auto"/>
              <w:left w:val="single" w:sz="4" w:space="0" w:color="auto"/>
              <w:bottom w:val="nil"/>
              <w:right w:val="single" w:sz="4" w:space="0" w:color="auto"/>
            </w:tcBorders>
          </w:tcPr>
          <w:p w14:paraId="4AE0CAB0" w14:textId="77777777" w:rsidR="002508D3" w:rsidRPr="00DD49F4" w:rsidRDefault="002508D3" w:rsidP="002508D3">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lastRenderedPageBreak/>
              <w:t>Os4.b Dezvoltarea “verde” a zonei costiere;</w:t>
            </w:r>
          </w:p>
          <w:p w14:paraId="2CCCA9B7" w14:textId="77777777" w:rsidR="002508D3" w:rsidRDefault="002508D3" w:rsidP="002508D3">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lastRenderedPageBreak/>
              <w:t>Os2.a Atingerea stării ecologice bune a ecosistemelor.</w:t>
            </w:r>
          </w:p>
        </w:tc>
        <w:tc>
          <w:tcPr>
            <w:tcW w:w="4254" w:type="dxa"/>
            <w:tcBorders>
              <w:top w:val="single" w:sz="4" w:space="0" w:color="auto"/>
              <w:left w:val="single" w:sz="4" w:space="0" w:color="auto"/>
              <w:bottom w:val="nil"/>
              <w:right w:val="single" w:sz="4" w:space="0" w:color="000000"/>
            </w:tcBorders>
            <w:shd w:val="clear" w:color="auto" w:fill="auto"/>
            <w:tcMar>
              <w:top w:w="0" w:type="dxa"/>
              <w:left w:w="100" w:type="dxa"/>
              <w:bottom w:w="0" w:type="dxa"/>
              <w:right w:w="100" w:type="dxa"/>
            </w:tcMar>
          </w:tcPr>
          <w:p w14:paraId="42979AE9"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lastRenderedPageBreak/>
              <w:t>A 7.2.1 Realizarea de campanii de promovare și informare a antreprenorilor cu privire la criteriile pentru încadrarea în program și avantajele programului</w:t>
            </w:r>
          </w:p>
        </w:tc>
        <w:tc>
          <w:tcPr>
            <w:tcW w:w="1277" w:type="dxa"/>
            <w:tcBorders>
              <w:top w:val="single" w:sz="4" w:space="0" w:color="auto"/>
              <w:left w:val="single" w:sz="4" w:space="0" w:color="000000"/>
              <w:bottom w:val="nil"/>
              <w:right w:val="single" w:sz="4" w:space="0" w:color="000000"/>
            </w:tcBorders>
            <w:shd w:val="clear" w:color="auto" w:fill="auto"/>
            <w:tcMar>
              <w:top w:w="0" w:type="dxa"/>
              <w:left w:w="100" w:type="dxa"/>
              <w:bottom w:w="0" w:type="dxa"/>
              <w:right w:w="100" w:type="dxa"/>
            </w:tcMar>
          </w:tcPr>
          <w:p w14:paraId="4D1EB6C8" w14:textId="77777777" w:rsidR="002508D3" w:rsidRPr="002508D3" w:rsidRDefault="002508D3" w:rsidP="002508D3">
            <w:pPr>
              <w:spacing w:after="0" w:line="240" w:lineRule="auto"/>
              <w:ind w:firstLine="0"/>
              <w:rPr>
                <w:rFonts w:eastAsia="Times New Roman" w:cs="Times New Roman"/>
                <w:sz w:val="20"/>
                <w:szCs w:val="22"/>
              </w:rPr>
            </w:pPr>
            <w:r w:rsidRPr="002508D3">
              <w:rPr>
                <w:rFonts w:eastAsia="Times New Roman" w:cs="Times New Roman"/>
                <w:color w:val="000000"/>
                <w:sz w:val="20"/>
                <w:szCs w:val="22"/>
              </w:rPr>
              <w:t>Ridicată</w:t>
            </w:r>
          </w:p>
        </w:tc>
        <w:tc>
          <w:tcPr>
            <w:tcW w:w="1418" w:type="dxa"/>
            <w:tcBorders>
              <w:top w:val="single" w:sz="4" w:space="0" w:color="auto"/>
              <w:left w:val="single" w:sz="4" w:space="0" w:color="000000"/>
              <w:bottom w:val="nil"/>
              <w:right w:val="single" w:sz="4" w:space="0" w:color="000000"/>
            </w:tcBorders>
            <w:shd w:val="clear" w:color="auto" w:fill="auto"/>
            <w:tcMar>
              <w:top w:w="0" w:type="dxa"/>
              <w:left w:w="100" w:type="dxa"/>
              <w:bottom w:w="0" w:type="dxa"/>
              <w:right w:w="100" w:type="dxa"/>
            </w:tcMar>
          </w:tcPr>
          <w:p w14:paraId="2E570434" w14:textId="77777777" w:rsidR="002508D3" w:rsidRPr="002508D3" w:rsidRDefault="002508D3" w:rsidP="002508D3">
            <w:pPr>
              <w:spacing w:after="0" w:line="240" w:lineRule="auto"/>
              <w:ind w:firstLine="0"/>
              <w:rPr>
                <w:rFonts w:eastAsia="Times New Roman" w:cs="Times New Roman"/>
                <w:sz w:val="20"/>
                <w:szCs w:val="20"/>
              </w:rPr>
            </w:pPr>
            <w:r w:rsidRPr="002508D3">
              <w:rPr>
                <w:rFonts w:eastAsia="Times New Roman" w:cs="Times New Roman"/>
                <w:color w:val="000000"/>
                <w:sz w:val="20"/>
                <w:szCs w:val="20"/>
              </w:rPr>
              <w:t>2030</w:t>
            </w:r>
          </w:p>
        </w:tc>
        <w:tc>
          <w:tcPr>
            <w:tcW w:w="1419" w:type="dxa"/>
            <w:tcBorders>
              <w:top w:val="single" w:sz="4" w:space="0" w:color="auto"/>
              <w:left w:val="single" w:sz="4" w:space="0" w:color="000000"/>
              <w:bottom w:val="nil"/>
              <w:right w:val="single" w:sz="4" w:space="0" w:color="000000"/>
            </w:tcBorders>
            <w:shd w:val="clear" w:color="auto" w:fill="auto"/>
            <w:tcMar>
              <w:top w:w="0" w:type="dxa"/>
              <w:left w:w="100" w:type="dxa"/>
              <w:bottom w:w="0" w:type="dxa"/>
              <w:right w:w="100" w:type="dxa"/>
            </w:tcMar>
          </w:tcPr>
          <w:p w14:paraId="5B4907CB" w14:textId="77777777" w:rsidR="002508D3" w:rsidRPr="00473248" w:rsidRDefault="002508D3" w:rsidP="00473248">
            <w:pPr>
              <w:spacing w:after="0" w:line="240" w:lineRule="auto"/>
              <w:ind w:firstLine="0"/>
              <w:rPr>
                <w:rFonts w:eastAsia="Times New Roman" w:cs="Times New Roman"/>
                <w:sz w:val="20"/>
                <w:szCs w:val="20"/>
              </w:rPr>
            </w:pPr>
            <w:r w:rsidRPr="00473248">
              <w:rPr>
                <w:rFonts w:eastAsia="Times New Roman" w:cs="Times New Roman"/>
                <w:color w:val="000000"/>
                <w:sz w:val="20"/>
                <w:szCs w:val="20"/>
              </w:rPr>
              <w:t>MMAP (ABADL), MEAT</w:t>
            </w:r>
          </w:p>
        </w:tc>
        <w:tc>
          <w:tcPr>
            <w:tcW w:w="1701" w:type="dxa"/>
            <w:vMerge w:val="restart"/>
            <w:tcBorders>
              <w:top w:val="single" w:sz="4" w:space="0" w:color="auto"/>
              <w:left w:val="single" w:sz="4" w:space="0" w:color="000000"/>
              <w:bottom w:val="nil"/>
              <w:right w:val="single" w:sz="4" w:space="0" w:color="000000"/>
            </w:tcBorders>
            <w:shd w:val="clear" w:color="auto" w:fill="auto"/>
            <w:tcMar>
              <w:top w:w="0" w:type="dxa"/>
              <w:left w:w="100" w:type="dxa"/>
              <w:bottom w:w="0" w:type="dxa"/>
              <w:right w:w="100" w:type="dxa"/>
            </w:tcMar>
          </w:tcPr>
          <w:p w14:paraId="1BBCECD6"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 xml:space="preserve">bugetul propriu al MMAP, buget propriu MEAT, programe </w:t>
            </w:r>
            <w:r>
              <w:rPr>
                <w:rFonts w:eastAsia="Times New Roman" w:cs="Times New Roman"/>
                <w:sz w:val="20"/>
                <w:szCs w:val="20"/>
              </w:rPr>
              <w:lastRenderedPageBreak/>
              <w:t>europene, precum PNRR, INTERREG EUROPE 2021-2027, Programul Regional Sud-Est</w:t>
            </w:r>
          </w:p>
        </w:tc>
      </w:tr>
      <w:tr w:rsidR="002508D3" w14:paraId="3931A00E" w14:textId="77777777" w:rsidTr="002508D3">
        <w:trPr>
          <w:trHeight w:val="724"/>
        </w:trPr>
        <w:tc>
          <w:tcPr>
            <w:tcW w:w="1892" w:type="dxa"/>
            <w:vMerge/>
            <w:tcBorders>
              <w:top w:val="nil"/>
              <w:left w:val="single" w:sz="4" w:space="0" w:color="000000"/>
              <w:bottom w:val="single" w:sz="4" w:space="0" w:color="000000"/>
              <w:right w:val="single" w:sz="4" w:space="0" w:color="auto"/>
            </w:tcBorders>
            <w:shd w:val="clear" w:color="auto" w:fill="auto"/>
            <w:tcMar>
              <w:top w:w="100" w:type="dxa"/>
              <w:left w:w="100" w:type="dxa"/>
              <w:bottom w:w="100" w:type="dxa"/>
              <w:right w:w="100" w:type="dxa"/>
            </w:tcMar>
          </w:tcPr>
          <w:p w14:paraId="76AF016D" w14:textId="77777777" w:rsidR="002508D3" w:rsidRDefault="002508D3" w:rsidP="002508D3">
            <w:pPr>
              <w:widowControl w:val="0"/>
              <w:pBdr>
                <w:top w:val="nil"/>
                <w:left w:val="nil"/>
                <w:bottom w:val="nil"/>
                <w:right w:val="nil"/>
                <w:between w:val="nil"/>
              </w:pBdr>
              <w:spacing w:after="0"/>
              <w:ind w:hanging="37"/>
              <w:rPr>
                <w:rFonts w:eastAsia="Times New Roman" w:cs="Times New Roman"/>
                <w:sz w:val="20"/>
                <w:szCs w:val="20"/>
              </w:rPr>
            </w:pPr>
          </w:p>
        </w:tc>
        <w:tc>
          <w:tcPr>
            <w:tcW w:w="2121" w:type="dxa"/>
            <w:vMerge/>
            <w:tcBorders>
              <w:top w:val="nil"/>
              <w:left w:val="single" w:sz="4" w:space="0" w:color="auto"/>
              <w:right w:val="single" w:sz="4" w:space="0" w:color="auto"/>
            </w:tcBorders>
          </w:tcPr>
          <w:p w14:paraId="32D69AF9"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nil"/>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6E041D58"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A 7.2.2 Realizarea de campanii de promovare a plajelor și porturilor de agrement care au obținut distincția Blue Flag</w:t>
            </w:r>
          </w:p>
        </w:tc>
        <w:tc>
          <w:tcPr>
            <w:tcW w:w="1277"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EE69F79" w14:textId="77777777" w:rsidR="002508D3" w:rsidRPr="002508D3" w:rsidRDefault="002508D3" w:rsidP="002508D3">
            <w:pPr>
              <w:spacing w:after="0" w:line="240" w:lineRule="auto"/>
              <w:ind w:firstLine="0"/>
              <w:rPr>
                <w:rFonts w:eastAsia="Times New Roman" w:cs="Times New Roman"/>
                <w:sz w:val="20"/>
                <w:szCs w:val="22"/>
              </w:rPr>
            </w:pPr>
            <w:r w:rsidRPr="002508D3">
              <w:rPr>
                <w:rFonts w:eastAsia="Times New Roman" w:cs="Times New Roman"/>
                <w:color w:val="000000"/>
                <w:sz w:val="20"/>
                <w:szCs w:val="22"/>
              </w:rPr>
              <w:t>Ridicată</w:t>
            </w:r>
          </w:p>
        </w:tc>
        <w:tc>
          <w:tcPr>
            <w:tcW w:w="1418"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080AB03" w14:textId="77777777" w:rsidR="002508D3" w:rsidRPr="002508D3" w:rsidRDefault="002508D3" w:rsidP="002508D3">
            <w:pPr>
              <w:spacing w:after="0" w:line="240" w:lineRule="auto"/>
              <w:ind w:firstLine="0"/>
              <w:rPr>
                <w:rFonts w:eastAsia="Times New Roman" w:cs="Times New Roman"/>
                <w:sz w:val="20"/>
                <w:szCs w:val="20"/>
              </w:rPr>
            </w:pPr>
            <w:r w:rsidRPr="002508D3">
              <w:rPr>
                <w:rFonts w:eastAsia="Times New Roman" w:cs="Times New Roman"/>
                <w:color w:val="000000"/>
                <w:sz w:val="20"/>
                <w:szCs w:val="20"/>
              </w:rPr>
              <w:t>2030</w:t>
            </w:r>
          </w:p>
        </w:tc>
        <w:tc>
          <w:tcPr>
            <w:tcW w:w="1419"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32D8BEC" w14:textId="77777777" w:rsidR="002508D3" w:rsidRPr="00473248" w:rsidRDefault="002508D3" w:rsidP="00473248">
            <w:pPr>
              <w:spacing w:after="0" w:line="240" w:lineRule="auto"/>
              <w:ind w:firstLine="0"/>
              <w:rPr>
                <w:rFonts w:eastAsia="Times New Roman" w:cs="Times New Roman"/>
                <w:sz w:val="20"/>
                <w:szCs w:val="20"/>
              </w:rPr>
            </w:pPr>
            <w:r w:rsidRPr="00473248">
              <w:rPr>
                <w:rFonts w:eastAsia="Times New Roman" w:cs="Times New Roman"/>
                <w:color w:val="000000"/>
                <w:sz w:val="20"/>
                <w:szCs w:val="20"/>
              </w:rPr>
              <w:t>MMAP (ABADL), MEAT</w:t>
            </w:r>
          </w:p>
        </w:tc>
        <w:tc>
          <w:tcPr>
            <w:tcW w:w="1701" w:type="dxa"/>
            <w:vMerge/>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55DC3E9" w14:textId="77777777" w:rsidR="002508D3" w:rsidRDefault="002508D3" w:rsidP="00473248">
            <w:pPr>
              <w:widowControl w:val="0"/>
              <w:pBdr>
                <w:top w:val="nil"/>
                <w:left w:val="nil"/>
                <w:bottom w:val="nil"/>
                <w:right w:val="nil"/>
                <w:between w:val="nil"/>
              </w:pBdr>
              <w:spacing w:after="0"/>
              <w:ind w:firstLine="0"/>
              <w:rPr>
                <w:rFonts w:eastAsia="Times New Roman" w:cs="Times New Roman"/>
                <w:sz w:val="20"/>
                <w:szCs w:val="20"/>
              </w:rPr>
            </w:pPr>
          </w:p>
        </w:tc>
      </w:tr>
      <w:tr w:rsidR="002508D3" w14:paraId="21ACEF27" w14:textId="77777777" w:rsidTr="002508D3">
        <w:trPr>
          <w:trHeight w:val="874"/>
        </w:trPr>
        <w:tc>
          <w:tcPr>
            <w:tcW w:w="1892" w:type="dxa"/>
            <w:vMerge/>
            <w:tcBorders>
              <w:top w:val="single" w:sz="4" w:space="0" w:color="000000"/>
              <w:left w:val="single" w:sz="4" w:space="0" w:color="000000"/>
              <w:bottom w:val="single" w:sz="4" w:space="0" w:color="000000"/>
              <w:right w:val="single" w:sz="4" w:space="0" w:color="auto"/>
            </w:tcBorders>
            <w:shd w:val="clear" w:color="auto" w:fill="auto"/>
            <w:tcMar>
              <w:top w:w="100" w:type="dxa"/>
              <w:left w:w="100" w:type="dxa"/>
              <w:bottom w:w="100" w:type="dxa"/>
              <w:right w:w="100" w:type="dxa"/>
            </w:tcMar>
          </w:tcPr>
          <w:p w14:paraId="3FD60DD5" w14:textId="77777777" w:rsidR="002508D3" w:rsidRDefault="002508D3" w:rsidP="002508D3">
            <w:pPr>
              <w:widowControl w:val="0"/>
              <w:pBdr>
                <w:top w:val="nil"/>
                <w:left w:val="nil"/>
                <w:bottom w:val="nil"/>
                <w:right w:val="nil"/>
                <w:between w:val="nil"/>
              </w:pBdr>
              <w:spacing w:after="0"/>
              <w:ind w:hanging="37"/>
              <w:rPr>
                <w:rFonts w:eastAsia="Times New Roman" w:cs="Times New Roman"/>
                <w:sz w:val="20"/>
                <w:szCs w:val="20"/>
              </w:rPr>
            </w:pPr>
          </w:p>
        </w:tc>
        <w:tc>
          <w:tcPr>
            <w:tcW w:w="2121" w:type="dxa"/>
            <w:vMerge/>
            <w:tcBorders>
              <w:left w:val="single" w:sz="4" w:space="0" w:color="auto"/>
              <w:bottom w:val="single" w:sz="4" w:space="0" w:color="auto"/>
              <w:right w:val="single" w:sz="4" w:space="0" w:color="auto"/>
            </w:tcBorders>
          </w:tcPr>
          <w:p w14:paraId="11DD6891"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76014163" w14:textId="77777777" w:rsidR="002508D3" w:rsidRDefault="002508D3" w:rsidP="002508D3">
            <w:pPr>
              <w:spacing w:after="0" w:line="240" w:lineRule="auto"/>
              <w:ind w:firstLine="0"/>
              <w:rPr>
                <w:rFonts w:eastAsia="Times New Roman" w:cs="Times New Roman"/>
                <w:sz w:val="20"/>
                <w:szCs w:val="20"/>
              </w:rPr>
            </w:pPr>
            <w:r>
              <w:rPr>
                <w:rFonts w:eastAsia="Times New Roman" w:cs="Times New Roman"/>
                <w:color w:val="000000"/>
                <w:sz w:val="20"/>
                <w:szCs w:val="20"/>
              </w:rPr>
              <w:t>A 7.2.3 Inițierea și aprobarea, prin Hotărâre de Guvern, a unui Program de stimulare a operatorilor din turism care au obținut, urmare investițiilor realizate, distincția Blue Flag</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9367471" w14:textId="77777777" w:rsidR="002508D3" w:rsidRPr="002508D3" w:rsidRDefault="002508D3" w:rsidP="002508D3">
            <w:pPr>
              <w:spacing w:after="0" w:line="240" w:lineRule="auto"/>
              <w:ind w:firstLine="0"/>
              <w:rPr>
                <w:rFonts w:eastAsia="Times New Roman" w:cs="Times New Roman"/>
                <w:sz w:val="20"/>
                <w:szCs w:val="22"/>
              </w:rPr>
            </w:pPr>
            <w:r w:rsidRPr="002508D3">
              <w:rPr>
                <w:rFonts w:eastAsia="Times New Roman" w:cs="Times New Roman"/>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91DE819" w14:textId="77777777" w:rsidR="002508D3" w:rsidRPr="002508D3" w:rsidRDefault="002508D3" w:rsidP="002508D3">
            <w:pPr>
              <w:spacing w:after="0" w:line="240" w:lineRule="auto"/>
              <w:ind w:firstLine="0"/>
              <w:rPr>
                <w:rFonts w:eastAsia="Times New Roman" w:cs="Times New Roman"/>
                <w:sz w:val="20"/>
                <w:szCs w:val="20"/>
              </w:rPr>
            </w:pPr>
            <w:r w:rsidRPr="002508D3">
              <w:rPr>
                <w:rFonts w:eastAsia="Times New Roman" w:cs="Times New Roman"/>
                <w:color w:val="000000"/>
                <w:sz w:val="20"/>
                <w:szCs w:val="20"/>
              </w:rPr>
              <w:t>2027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B5DC0C6" w14:textId="77777777" w:rsidR="002508D3" w:rsidRPr="00473248" w:rsidRDefault="002508D3" w:rsidP="00473248">
            <w:pPr>
              <w:spacing w:after="0" w:line="240" w:lineRule="auto"/>
              <w:ind w:firstLine="0"/>
              <w:rPr>
                <w:rFonts w:eastAsia="Times New Roman" w:cs="Times New Roman"/>
                <w:sz w:val="20"/>
                <w:szCs w:val="20"/>
              </w:rPr>
            </w:pPr>
            <w:r w:rsidRPr="00473248">
              <w:rPr>
                <w:rFonts w:eastAsia="Times New Roman" w:cs="Times New Roman"/>
                <w:color w:val="000000"/>
                <w:sz w:val="20"/>
                <w:szCs w:val="20"/>
              </w:rPr>
              <w:t>MMAP (ABADL), MEAT</w:t>
            </w:r>
          </w:p>
        </w:tc>
        <w:tc>
          <w:tcPr>
            <w:tcW w:w="170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6B966E3" w14:textId="77777777" w:rsidR="002508D3" w:rsidRDefault="002508D3" w:rsidP="00473248">
            <w:pPr>
              <w:widowControl w:val="0"/>
              <w:pBdr>
                <w:top w:val="nil"/>
                <w:left w:val="nil"/>
                <w:bottom w:val="nil"/>
                <w:right w:val="nil"/>
                <w:between w:val="nil"/>
              </w:pBdr>
              <w:spacing w:after="0"/>
              <w:ind w:firstLine="0"/>
              <w:rPr>
                <w:rFonts w:eastAsia="Times New Roman" w:cs="Times New Roman"/>
                <w:sz w:val="20"/>
                <w:szCs w:val="20"/>
              </w:rPr>
            </w:pPr>
          </w:p>
        </w:tc>
      </w:tr>
      <w:tr w:rsidR="002508D3" w14:paraId="047AE186" w14:textId="77777777" w:rsidTr="002508D3">
        <w:trPr>
          <w:trHeight w:val="198"/>
        </w:trPr>
        <w:tc>
          <w:tcPr>
            <w:tcW w:w="1892" w:type="dxa"/>
            <w:vMerge w:val="restart"/>
            <w:tcBorders>
              <w:top w:val="single" w:sz="4" w:space="0" w:color="000000"/>
              <w:left w:val="single" w:sz="4" w:space="0" w:color="000000"/>
              <w:right w:val="single" w:sz="4" w:space="0" w:color="auto"/>
            </w:tcBorders>
            <w:shd w:val="clear" w:color="auto" w:fill="auto"/>
            <w:tcMar>
              <w:top w:w="100" w:type="dxa"/>
              <w:left w:w="100" w:type="dxa"/>
              <w:bottom w:w="100" w:type="dxa"/>
              <w:right w:w="100" w:type="dxa"/>
            </w:tcMar>
          </w:tcPr>
          <w:p w14:paraId="025F7919" w14:textId="77777777" w:rsidR="002508D3" w:rsidRDefault="002508D3" w:rsidP="002508D3">
            <w:pPr>
              <w:spacing w:after="0" w:line="240" w:lineRule="auto"/>
              <w:ind w:hanging="37"/>
              <w:rPr>
                <w:rFonts w:eastAsia="Times New Roman" w:cs="Times New Roman"/>
                <w:sz w:val="20"/>
                <w:szCs w:val="20"/>
              </w:rPr>
            </w:pPr>
            <w:r>
              <w:rPr>
                <w:rFonts w:eastAsia="Times New Roman" w:cs="Times New Roman"/>
                <w:sz w:val="20"/>
                <w:szCs w:val="20"/>
              </w:rPr>
              <w:t>M7.3 Inițierea și implementarea unui program de dezvoltare a turismului subacvatic</w:t>
            </w:r>
          </w:p>
        </w:tc>
        <w:tc>
          <w:tcPr>
            <w:tcW w:w="2121" w:type="dxa"/>
            <w:vMerge w:val="restart"/>
            <w:tcBorders>
              <w:top w:val="single" w:sz="4" w:space="0" w:color="auto"/>
              <w:left w:val="single" w:sz="4" w:space="0" w:color="auto"/>
              <w:right w:val="single" w:sz="4" w:space="0" w:color="auto"/>
            </w:tcBorders>
          </w:tcPr>
          <w:p w14:paraId="23B563F7" w14:textId="77777777" w:rsidR="002508D3" w:rsidRPr="00DD49F4" w:rsidRDefault="002508D3" w:rsidP="002508D3">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Os4.b Dezvoltarea “verde” a zonei costiere;</w:t>
            </w:r>
          </w:p>
          <w:p w14:paraId="00C8B0D6" w14:textId="77777777" w:rsidR="002508D3" w:rsidRPr="00DD49F4" w:rsidRDefault="002508D3" w:rsidP="002508D3">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Os1.a Protejarea eficientă a valorilor naturale, peisagistice și culturale</w:t>
            </w:r>
            <w:r>
              <w:rPr>
                <w:rFonts w:eastAsia="Times New Roman" w:cs="Times New Roman"/>
                <w:color w:val="000000"/>
                <w:sz w:val="20"/>
                <w:szCs w:val="20"/>
              </w:rPr>
              <w:t>;</w:t>
            </w:r>
          </w:p>
          <w:p w14:paraId="2E34AB67" w14:textId="77777777" w:rsidR="002508D3" w:rsidRDefault="002508D3" w:rsidP="002508D3">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Os6.b Creșterea gradului de conștientizare cu privire la necesitatea de a păstra și îmbunătăți resursele zonei de coastă</w:t>
            </w:r>
            <w:r>
              <w:rPr>
                <w:rFonts w:eastAsia="Times New Roman" w:cs="Times New Roman"/>
                <w:color w:val="000000"/>
                <w:sz w:val="20"/>
                <w:szCs w:val="20"/>
              </w:rPr>
              <w:t>.</w:t>
            </w: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35A067F6"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7.3.1 Revizuirea legislației privind reglementarea activităților de scufundare în scop recreativ și științific</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5C109AA" w14:textId="77777777" w:rsidR="002508D3" w:rsidRPr="002508D3" w:rsidRDefault="002508D3" w:rsidP="002508D3">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99CB73E" w14:textId="77777777" w:rsidR="002508D3" w:rsidRPr="002508D3" w:rsidRDefault="002508D3" w:rsidP="002508D3">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2025</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C2EA25C" w14:textId="30E5A3D9"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 xml:space="preserve">MC, </w:t>
            </w:r>
            <w:r w:rsidR="00056FC5">
              <w:rPr>
                <w:rFonts w:eastAsia="Times New Roman" w:cs="Times New Roman"/>
                <w:color w:val="000000"/>
                <w:sz w:val="20"/>
                <w:szCs w:val="20"/>
              </w:rPr>
              <w:t xml:space="preserve">MCID; </w:t>
            </w:r>
            <w:r w:rsidRPr="00473248">
              <w:rPr>
                <w:rFonts w:eastAsia="Times New Roman" w:cs="Times New Roman"/>
                <w:color w:val="000000"/>
                <w:sz w:val="20"/>
                <w:szCs w:val="20"/>
              </w:rPr>
              <w:t>MApN</w:t>
            </w:r>
            <w:r w:rsidR="0060228C">
              <w:rPr>
                <w:rFonts w:eastAsia="Times New Roman" w:cs="Times New Roman"/>
                <w:color w:val="000000"/>
                <w:sz w:val="20"/>
                <w:szCs w:val="20"/>
              </w:rPr>
              <w:t xml:space="preserve">, </w:t>
            </w:r>
            <w:r w:rsidR="00787B4D">
              <w:rPr>
                <w:rFonts w:eastAsia="Times New Roman" w:cs="Times New Roman"/>
                <w:color w:val="000000"/>
                <w:sz w:val="20"/>
                <w:szCs w:val="20"/>
              </w:rPr>
              <w:t>MEAT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4177F49" w14:textId="1913266C"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 xml:space="preserve">Bugete proprii ale MC, </w:t>
            </w:r>
            <w:r w:rsidR="00056FC5">
              <w:rPr>
                <w:rFonts w:eastAsia="Times New Roman" w:cs="Times New Roman"/>
                <w:sz w:val="20"/>
                <w:szCs w:val="20"/>
              </w:rPr>
              <w:t xml:space="preserve">MCID, </w:t>
            </w:r>
            <w:r w:rsidR="0060228C">
              <w:rPr>
                <w:rFonts w:eastAsia="Times New Roman" w:cs="Times New Roman"/>
                <w:sz w:val="20"/>
                <w:szCs w:val="20"/>
              </w:rPr>
              <w:t>MApN</w:t>
            </w:r>
            <w:r>
              <w:rPr>
                <w:rFonts w:eastAsia="Times New Roman" w:cs="Times New Roman"/>
                <w:sz w:val="20"/>
                <w:szCs w:val="20"/>
              </w:rPr>
              <w:t xml:space="preserve"> </w:t>
            </w:r>
            <w:r w:rsidR="0060228C">
              <w:rPr>
                <w:rFonts w:eastAsia="Times New Roman" w:cs="Times New Roman"/>
                <w:sz w:val="20"/>
                <w:szCs w:val="20"/>
              </w:rPr>
              <w:t xml:space="preserve">și </w:t>
            </w:r>
            <w:r w:rsidR="00787B4D">
              <w:rPr>
                <w:rFonts w:eastAsia="Times New Roman" w:cs="Times New Roman"/>
                <w:sz w:val="20"/>
                <w:szCs w:val="20"/>
              </w:rPr>
              <w:t>MEAT</w:t>
            </w:r>
          </w:p>
        </w:tc>
      </w:tr>
      <w:tr w:rsidR="002508D3" w14:paraId="664CF180" w14:textId="77777777" w:rsidTr="002508D3">
        <w:trPr>
          <w:trHeight w:val="197"/>
        </w:trPr>
        <w:tc>
          <w:tcPr>
            <w:tcW w:w="1892" w:type="dxa"/>
            <w:vMerge/>
            <w:tcBorders>
              <w:top w:val="single" w:sz="4" w:space="0" w:color="000000"/>
              <w:left w:val="single" w:sz="4" w:space="0" w:color="000000"/>
              <w:right w:val="single" w:sz="4" w:space="0" w:color="auto"/>
            </w:tcBorders>
            <w:shd w:val="clear" w:color="auto" w:fill="auto"/>
            <w:tcMar>
              <w:top w:w="100" w:type="dxa"/>
              <w:left w:w="100" w:type="dxa"/>
              <w:bottom w:w="100" w:type="dxa"/>
              <w:right w:w="100" w:type="dxa"/>
            </w:tcMar>
          </w:tcPr>
          <w:p w14:paraId="792A8886" w14:textId="77777777" w:rsidR="002508D3" w:rsidRDefault="002508D3" w:rsidP="002508D3">
            <w:pPr>
              <w:widowControl w:val="0"/>
              <w:pBdr>
                <w:top w:val="nil"/>
                <w:left w:val="nil"/>
                <w:bottom w:val="nil"/>
                <w:right w:val="nil"/>
                <w:between w:val="nil"/>
              </w:pBdr>
              <w:spacing w:after="0"/>
              <w:ind w:hanging="37"/>
              <w:rPr>
                <w:rFonts w:eastAsia="Times New Roman" w:cs="Times New Roman"/>
                <w:sz w:val="20"/>
                <w:szCs w:val="20"/>
              </w:rPr>
            </w:pPr>
          </w:p>
        </w:tc>
        <w:tc>
          <w:tcPr>
            <w:tcW w:w="2121" w:type="dxa"/>
            <w:vMerge/>
            <w:tcBorders>
              <w:left w:val="single" w:sz="4" w:space="0" w:color="auto"/>
              <w:right w:val="single" w:sz="4" w:space="0" w:color="auto"/>
            </w:tcBorders>
          </w:tcPr>
          <w:p w14:paraId="6FC47B61"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5FBE3E6F"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7.3.2 Realizarea de campanii de conștientizare a importanței protejării și conservării patrimoniului cultural subacvatic;</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06E0E74" w14:textId="77777777" w:rsidR="002508D3" w:rsidRPr="002508D3" w:rsidRDefault="002508D3" w:rsidP="002508D3">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Medie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92D41B9" w14:textId="77777777" w:rsidR="002508D3" w:rsidRPr="002508D3" w:rsidRDefault="002508D3" w:rsidP="002508D3">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83F17EC" w14:textId="4450C692"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 xml:space="preserve">MC, </w:t>
            </w:r>
            <w:r w:rsidR="0060228C">
              <w:rPr>
                <w:rFonts w:eastAsia="Times New Roman" w:cs="Times New Roman"/>
                <w:color w:val="000000"/>
                <w:sz w:val="20"/>
                <w:szCs w:val="20"/>
              </w:rPr>
              <w:t xml:space="preserve">Organizația de Management a Destinației Mamaia – Constanța, </w:t>
            </w:r>
            <w:r w:rsidR="00787B4D">
              <w:rPr>
                <w:rFonts w:eastAsia="Times New Roman" w:cs="Times New Roman"/>
                <w:color w:val="000000"/>
                <w:sz w:val="20"/>
                <w:szCs w:val="20"/>
              </w:rPr>
              <w:t>MEAT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78577AD" w14:textId="02F23E11"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Bugete proprii MC</w:t>
            </w:r>
            <w:r w:rsidR="00787B4D">
              <w:rPr>
                <w:rFonts w:eastAsia="Times New Roman" w:cs="Times New Roman"/>
                <w:sz w:val="20"/>
                <w:szCs w:val="20"/>
              </w:rPr>
              <w:t>, MEAT</w:t>
            </w:r>
            <w:r>
              <w:rPr>
                <w:rFonts w:eastAsia="Times New Roman" w:cs="Times New Roman"/>
                <w:sz w:val="20"/>
                <w:szCs w:val="20"/>
              </w:rPr>
              <w:t xml:space="preserve"> și</w:t>
            </w:r>
            <w:r>
              <w:t xml:space="preserve"> </w:t>
            </w:r>
            <w:r w:rsidR="0060228C" w:rsidRPr="0060228C">
              <w:rPr>
                <w:rFonts w:eastAsia="Times New Roman" w:cs="Times New Roman"/>
                <w:sz w:val="20"/>
                <w:szCs w:val="20"/>
              </w:rPr>
              <w:t>Buget propriu Organizația de Management a Destinației Mamaia – Constanța (parteneriate public-privat)</w:t>
            </w:r>
          </w:p>
        </w:tc>
      </w:tr>
      <w:tr w:rsidR="002508D3" w14:paraId="15B36FC9" w14:textId="77777777" w:rsidTr="002508D3">
        <w:trPr>
          <w:trHeight w:val="197"/>
        </w:trPr>
        <w:tc>
          <w:tcPr>
            <w:tcW w:w="1892" w:type="dxa"/>
            <w:vMerge/>
            <w:tcBorders>
              <w:top w:val="single" w:sz="4" w:space="0" w:color="000000"/>
              <w:left w:val="single" w:sz="4" w:space="0" w:color="000000"/>
              <w:right w:val="single" w:sz="4" w:space="0" w:color="auto"/>
            </w:tcBorders>
            <w:shd w:val="clear" w:color="auto" w:fill="auto"/>
            <w:tcMar>
              <w:top w:w="100" w:type="dxa"/>
              <w:left w:w="100" w:type="dxa"/>
              <w:bottom w:w="100" w:type="dxa"/>
              <w:right w:w="100" w:type="dxa"/>
            </w:tcMar>
          </w:tcPr>
          <w:p w14:paraId="30D9AA8C" w14:textId="77777777" w:rsidR="002508D3" w:rsidRDefault="002508D3" w:rsidP="002508D3">
            <w:pPr>
              <w:widowControl w:val="0"/>
              <w:pBdr>
                <w:top w:val="nil"/>
                <w:left w:val="nil"/>
                <w:bottom w:val="nil"/>
                <w:right w:val="nil"/>
                <w:between w:val="nil"/>
              </w:pBdr>
              <w:spacing w:after="0"/>
              <w:ind w:hanging="37"/>
              <w:rPr>
                <w:rFonts w:eastAsia="Times New Roman" w:cs="Times New Roman"/>
                <w:sz w:val="20"/>
                <w:szCs w:val="20"/>
              </w:rPr>
            </w:pPr>
          </w:p>
        </w:tc>
        <w:tc>
          <w:tcPr>
            <w:tcW w:w="2121" w:type="dxa"/>
            <w:vMerge/>
            <w:tcBorders>
              <w:left w:val="single" w:sz="4" w:space="0" w:color="auto"/>
              <w:right w:val="single" w:sz="4" w:space="0" w:color="auto"/>
            </w:tcBorders>
          </w:tcPr>
          <w:p w14:paraId="297077AE"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5AAC183D"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7.3.3 Realizarea de campanii pentru promovarea turismului subacvatic la litoralul românesc</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72AC7AF" w14:textId="77777777" w:rsidR="002508D3" w:rsidRPr="002508D3" w:rsidRDefault="002508D3" w:rsidP="002508D3">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F3B5126" w14:textId="77777777" w:rsidR="002508D3" w:rsidRPr="002508D3" w:rsidRDefault="002508D3" w:rsidP="002508D3">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1A51113" w14:textId="52E524D8" w:rsidR="002508D3" w:rsidRPr="00473248" w:rsidRDefault="0060228C" w:rsidP="00473248">
            <w:pPr>
              <w:spacing w:after="0" w:line="240" w:lineRule="auto"/>
              <w:ind w:firstLine="0"/>
              <w:rPr>
                <w:rFonts w:eastAsia="Times New Roman" w:cs="Times New Roman"/>
                <w:color w:val="000000"/>
                <w:sz w:val="20"/>
                <w:szCs w:val="20"/>
              </w:rPr>
            </w:pPr>
            <w:r w:rsidRPr="0060228C">
              <w:rPr>
                <w:rFonts w:eastAsia="Times New Roman" w:cs="Times New Roman"/>
                <w:color w:val="000000"/>
                <w:sz w:val="20"/>
                <w:szCs w:val="20"/>
              </w:rPr>
              <w:t>Organizația de Management a Destinației Mamaia – Constanța,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48CB974" w14:textId="5D7CDF99"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 xml:space="preserve">Buget propriu </w:t>
            </w:r>
            <w:r w:rsidR="0060228C" w:rsidRPr="0060228C">
              <w:rPr>
                <w:rFonts w:eastAsia="Times New Roman" w:cs="Times New Roman"/>
                <w:sz w:val="20"/>
                <w:szCs w:val="20"/>
              </w:rPr>
              <w:t>Organizația de Management a Destinației Mamaia – Constanța</w:t>
            </w:r>
            <w:r w:rsidR="0060228C">
              <w:rPr>
                <w:rFonts w:eastAsia="Times New Roman" w:cs="Times New Roman"/>
                <w:sz w:val="20"/>
                <w:szCs w:val="20"/>
              </w:rPr>
              <w:t xml:space="preserve"> (</w:t>
            </w:r>
            <w:r>
              <w:rPr>
                <w:rFonts w:eastAsia="Times New Roman" w:cs="Times New Roman"/>
                <w:sz w:val="20"/>
                <w:szCs w:val="20"/>
              </w:rPr>
              <w:t>parteneriate public-privat</w:t>
            </w:r>
            <w:r w:rsidR="0060228C">
              <w:rPr>
                <w:rFonts w:eastAsia="Times New Roman" w:cs="Times New Roman"/>
                <w:sz w:val="20"/>
                <w:szCs w:val="20"/>
              </w:rPr>
              <w:t>)</w:t>
            </w:r>
          </w:p>
        </w:tc>
      </w:tr>
      <w:tr w:rsidR="002508D3" w14:paraId="25399550" w14:textId="77777777" w:rsidTr="00473248">
        <w:trPr>
          <w:trHeight w:val="197"/>
        </w:trPr>
        <w:tc>
          <w:tcPr>
            <w:tcW w:w="1892"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1FD42C6E" w14:textId="77777777" w:rsidR="002508D3" w:rsidRDefault="002508D3" w:rsidP="002508D3">
            <w:pPr>
              <w:widowControl w:val="0"/>
              <w:pBdr>
                <w:top w:val="nil"/>
                <w:left w:val="nil"/>
                <w:bottom w:val="nil"/>
                <w:right w:val="nil"/>
                <w:between w:val="nil"/>
              </w:pBdr>
              <w:spacing w:after="0"/>
              <w:ind w:hanging="37"/>
              <w:rPr>
                <w:rFonts w:eastAsia="Times New Roman" w:cs="Times New Roman"/>
                <w:sz w:val="20"/>
                <w:szCs w:val="20"/>
              </w:rPr>
            </w:pPr>
          </w:p>
        </w:tc>
        <w:tc>
          <w:tcPr>
            <w:tcW w:w="2121" w:type="dxa"/>
            <w:vMerge/>
            <w:tcBorders>
              <w:left w:val="single" w:sz="4" w:space="0" w:color="auto"/>
              <w:bottom w:val="single" w:sz="4" w:space="0" w:color="auto"/>
              <w:right w:val="single" w:sz="4" w:space="0" w:color="auto"/>
            </w:tcBorders>
          </w:tcPr>
          <w:p w14:paraId="29B92ED9"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4047037A"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7.3.4 Inițierea și implementarea de programe de pregătire / specializare pentru ghizii turistici (scuba - diving, arheologie subacvatică, istorie, etc);</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F5D29D5" w14:textId="77777777" w:rsidR="002508D3" w:rsidRPr="002508D3" w:rsidRDefault="002508D3" w:rsidP="002508D3">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41AD60D" w14:textId="77777777" w:rsidR="002508D3" w:rsidRPr="002508D3" w:rsidRDefault="002508D3" w:rsidP="002508D3">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4928C5D" w14:textId="5F4689CD"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MC,</w:t>
            </w:r>
            <w:r w:rsidR="0060228C">
              <w:rPr>
                <w:rFonts w:eastAsia="Times New Roman" w:cs="Times New Roman"/>
                <w:color w:val="000000"/>
                <w:sz w:val="20"/>
                <w:szCs w:val="20"/>
              </w:rPr>
              <w:t xml:space="preserve"> </w:t>
            </w:r>
            <w:r w:rsidR="0060228C" w:rsidRPr="0060228C">
              <w:rPr>
                <w:rFonts w:eastAsia="Times New Roman" w:cs="Times New Roman"/>
                <w:color w:val="000000"/>
                <w:sz w:val="20"/>
                <w:szCs w:val="20"/>
              </w:rPr>
              <w:t>Organizația de Management a Destinației Mamaia – Constanța)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51F84E2" w14:textId="0C895C8A"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 xml:space="preserve">Bugete proprii MC, </w:t>
            </w:r>
            <w:r w:rsidR="0060228C" w:rsidRPr="0060228C">
              <w:rPr>
                <w:rFonts w:eastAsia="Times New Roman" w:cs="Times New Roman"/>
                <w:sz w:val="20"/>
                <w:szCs w:val="20"/>
              </w:rPr>
              <w:t>Organizația de Management a Destinației Mamaia – Constanța (parteneriate public-privat)</w:t>
            </w:r>
            <w:r>
              <w:rPr>
                <w:rFonts w:eastAsia="Times New Roman" w:cs="Times New Roman"/>
                <w:sz w:val="20"/>
                <w:szCs w:val="20"/>
              </w:rPr>
              <w:t>, parteneriate public-privat, Programul Educație și Ocupare</w:t>
            </w:r>
          </w:p>
        </w:tc>
      </w:tr>
      <w:tr w:rsidR="002508D3" w14:paraId="742088DD" w14:textId="77777777" w:rsidTr="002508D3">
        <w:trPr>
          <w:trHeight w:val="197"/>
        </w:trPr>
        <w:tc>
          <w:tcPr>
            <w:tcW w:w="1892"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4D2E29C7" w14:textId="77777777" w:rsidR="002508D3" w:rsidRDefault="002508D3" w:rsidP="002508D3">
            <w:pPr>
              <w:widowControl w:val="0"/>
              <w:pBdr>
                <w:top w:val="nil"/>
                <w:left w:val="nil"/>
                <w:bottom w:val="nil"/>
                <w:right w:val="nil"/>
                <w:between w:val="nil"/>
              </w:pBdr>
              <w:spacing w:after="0"/>
              <w:ind w:hanging="37"/>
              <w:rPr>
                <w:rFonts w:eastAsia="Times New Roman" w:cs="Times New Roman"/>
                <w:sz w:val="20"/>
                <w:szCs w:val="20"/>
              </w:rPr>
            </w:pPr>
          </w:p>
        </w:tc>
        <w:tc>
          <w:tcPr>
            <w:tcW w:w="2121" w:type="dxa"/>
            <w:vMerge/>
            <w:tcBorders>
              <w:left w:val="single" w:sz="4" w:space="0" w:color="auto"/>
              <w:bottom w:val="single" w:sz="4" w:space="0" w:color="auto"/>
              <w:right w:val="single" w:sz="4" w:space="0" w:color="auto"/>
            </w:tcBorders>
          </w:tcPr>
          <w:p w14:paraId="7F0593D3"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1405125F" w14:textId="0EAB955C"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7.3.</w:t>
            </w:r>
            <w:r w:rsidR="0060228C">
              <w:rPr>
                <w:rFonts w:eastAsia="Times New Roman" w:cs="Times New Roman"/>
                <w:color w:val="000000"/>
                <w:sz w:val="20"/>
                <w:szCs w:val="20"/>
              </w:rPr>
              <w:t>5</w:t>
            </w:r>
            <w:r>
              <w:rPr>
                <w:rFonts w:eastAsia="Times New Roman" w:cs="Times New Roman"/>
                <w:color w:val="000000"/>
                <w:sz w:val="20"/>
                <w:szCs w:val="20"/>
              </w:rPr>
              <w:t xml:space="preserve"> Inițierea și implementarea de proiecte pentru identificarea rutelor turistice subacvatice și interconectarea lor la siturile culturale terestre</w:t>
            </w:r>
          </w:p>
        </w:tc>
        <w:tc>
          <w:tcPr>
            <w:tcW w:w="1277"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219E7EC9" w14:textId="77777777" w:rsidR="002508D3" w:rsidRPr="002508D3" w:rsidRDefault="002508D3" w:rsidP="002508D3">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5872A84E" w14:textId="77777777" w:rsidR="002508D3" w:rsidRPr="002508D3" w:rsidRDefault="002508D3" w:rsidP="002508D3">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41AF9685" w14:textId="2243C5E1"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MC și MCID (INCD GeoEcoMar), MApN</w:t>
            </w:r>
          </w:p>
        </w:tc>
        <w:tc>
          <w:tcPr>
            <w:tcW w:w="1701"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082E5286"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Horizon Europe, Programul Regional Sud-Est, PNCDI IV</w:t>
            </w:r>
          </w:p>
        </w:tc>
      </w:tr>
      <w:tr w:rsidR="002508D3" w14:paraId="502C4FB2" w14:textId="77777777" w:rsidTr="002508D3">
        <w:trPr>
          <w:trHeight w:val="197"/>
        </w:trPr>
        <w:tc>
          <w:tcPr>
            <w:tcW w:w="1892" w:type="dxa"/>
            <w:vMerge/>
            <w:tcBorders>
              <w:top w:val="single" w:sz="4" w:space="0" w:color="auto"/>
              <w:left w:val="single" w:sz="4" w:space="0" w:color="000000"/>
              <w:right w:val="single" w:sz="4" w:space="0" w:color="auto"/>
            </w:tcBorders>
            <w:shd w:val="clear" w:color="auto" w:fill="auto"/>
            <w:tcMar>
              <w:top w:w="100" w:type="dxa"/>
              <w:left w:w="100" w:type="dxa"/>
              <w:bottom w:w="100" w:type="dxa"/>
              <w:right w:w="100" w:type="dxa"/>
            </w:tcMar>
          </w:tcPr>
          <w:p w14:paraId="1F2F6A3E" w14:textId="77777777" w:rsidR="002508D3" w:rsidRDefault="002508D3" w:rsidP="002508D3">
            <w:pPr>
              <w:widowControl w:val="0"/>
              <w:pBdr>
                <w:top w:val="nil"/>
                <w:left w:val="nil"/>
                <w:bottom w:val="nil"/>
                <w:right w:val="nil"/>
                <w:between w:val="nil"/>
              </w:pBdr>
              <w:spacing w:after="0"/>
              <w:ind w:hanging="37"/>
              <w:rPr>
                <w:rFonts w:eastAsia="Times New Roman" w:cs="Times New Roman"/>
                <w:sz w:val="20"/>
                <w:szCs w:val="20"/>
              </w:rPr>
            </w:pPr>
          </w:p>
        </w:tc>
        <w:tc>
          <w:tcPr>
            <w:tcW w:w="2121" w:type="dxa"/>
            <w:vMerge/>
            <w:tcBorders>
              <w:top w:val="single" w:sz="4" w:space="0" w:color="auto"/>
              <w:left w:val="single" w:sz="4" w:space="0" w:color="auto"/>
              <w:bottom w:val="single" w:sz="4" w:space="0" w:color="auto"/>
              <w:right w:val="single" w:sz="4" w:space="0" w:color="auto"/>
            </w:tcBorders>
          </w:tcPr>
          <w:p w14:paraId="790B8BFC"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4B063CFB" w14:textId="41B55249"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7.3.</w:t>
            </w:r>
            <w:r w:rsidR="0060228C">
              <w:rPr>
                <w:rFonts w:eastAsia="Times New Roman" w:cs="Times New Roman"/>
                <w:color w:val="000000"/>
                <w:sz w:val="20"/>
                <w:szCs w:val="20"/>
              </w:rPr>
              <w:t>6</w:t>
            </w:r>
            <w:r>
              <w:rPr>
                <w:rFonts w:eastAsia="Times New Roman" w:cs="Times New Roman"/>
                <w:color w:val="000000"/>
                <w:sz w:val="20"/>
                <w:szCs w:val="20"/>
              </w:rPr>
              <w:t xml:space="preserve"> Inițierea și implementarea de proiecte de restaurare a siturilor și obiectelor subacvatice</w:t>
            </w:r>
          </w:p>
        </w:tc>
        <w:tc>
          <w:tcPr>
            <w:tcW w:w="1277"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95E3B88" w14:textId="77777777" w:rsidR="002508D3" w:rsidRPr="002508D3" w:rsidRDefault="002508D3" w:rsidP="002508D3">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F1E9BC9" w14:textId="77777777" w:rsidR="002508D3" w:rsidRPr="002508D3" w:rsidRDefault="002508D3" w:rsidP="002508D3">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44B3D85" w14:textId="77777777"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MC, MCID (INCD GeoEcoMar)</w:t>
            </w:r>
          </w:p>
        </w:tc>
        <w:tc>
          <w:tcPr>
            <w:tcW w:w="1701"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583E671"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Buget propriu MC, Horizon Europe, Programul Regional Sud-Est, PNCDI IV</w:t>
            </w:r>
          </w:p>
        </w:tc>
      </w:tr>
      <w:tr w:rsidR="002508D3" w14:paraId="5F9CEE95" w14:textId="77777777" w:rsidTr="002508D3">
        <w:trPr>
          <w:trHeight w:val="612"/>
        </w:trPr>
        <w:tc>
          <w:tcPr>
            <w:tcW w:w="1892" w:type="dxa"/>
            <w:vMerge w:val="restart"/>
            <w:tcBorders>
              <w:top w:val="single" w:sz="4" w:space="0" w:color="000000"/>
              <w:left w:val="single" w:sz="4" w:space="0" w:color="000000"/>
              <w:right w:val="single" w:sz="4" w:space="0" w:color="auto"/>
            </w:tcBorders>
            <w:shd w:val="clear" w:color="auto" w:fill="auto"/>
            <w:tcMar>
              <w:top w:w="100" w:type="dxa"/>
              <w:left w:w="100" w:type="dxa"/>
              <w:bottom w:w="100" w:type="dxa"/>
              <w:right w:w="100" w:type="dxa"/>
            </w:tcMar>
          </w:tcPr>
          <w:p w14:paraId="4EFA46EA" w14:textId="77777777" w:rsidR="002508D3" w:rsidRDefault="002508D3" w:rsidP="002508D3">
            <w:pPr>
              <w:spacing w:after="0" w:line="240" w:lineRule="auto"/>
              <w:ind w:hanging="37"/>
              <w:rPr>
                <w:rFonts w:eastAsia="Times New Roman" w:cs="Times New Roman"/>
                <w:sz w:val="20"/>
                <w:szCs w:val="20"/>
              </w:rPr>
            </w:pPr>
            <w:r>
              <w:rPr>
                <w:rFonts w:eastAsia="Times New Roman" w:cs="Times New Roman"/>
                <w:sz w:val="20"/>
                <w:szCs w:val="20"/>
              </w:rPr>
              <w:t>M7.4 Reabilitarea stocurilor de pești cu valoare comercială, încurajarea și susținerea implementării procedurilor/tehnicil</w:t>
            </w:r>
            <w:r>
              <w:rPr>
                <w:rFonts w:eastAsia="Times New Roman" w:cs="Times New Roman"/>
                <w:sz w:val="20"/>
                <w:szCs w:val="20"/>
              </w:rPr>
              <w:lastRenderedPageBreak/>
              <w:t>or și tehnologiilor de pescuit sustenabil prin acordarea de stimulente</w:t>
            </w:r>
          </w:p>
        </w:tc>
        <w:tc>
          <w:tcPr>
            <w:tcW w:w="2121" w:type="dxa"/>
            <w:vMerge w:val="restart"/>
            <w:tcBorders>
              <w:top w:val="single" w:sz="4" w:space="0" w:color="auto"/>
              <w:left w:val="single" w:sz="4" w:space="0" w:color="auto"/>
              <w:right w:val="single" w:sz="4" w:space="0" w:color="auto"/>
            </w:tcBorders>
          </w:tcPr>
          <w:p w14:paraId="727F6462" w14:textId="77777777" w:rsidR="002508D3" w:rsidRDefault="002508D3" w:rsidP="002508D3">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lastRenderedPageBreak/>
              <w:t xml:space="preserve">Os4.a Gestionarea durabilă a resurselor zonei de coastă; </w:t>
            </w:r>
          </w:p>
          <w:p w14:paraId="1C3AFA97" w14:textId="77777777" w:rsidR="002508D3" w:rsidRDefault="002508D3" w:rsidP="002508D3">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Os2.a Atingerea stării ecologice bune a ecosistemelor.</w:t>
            </w: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1DAC376B"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7.4.1 Reabilitarea ecologică a zonelor de reproducere și creștere a stadiilor timpurii, pentru refacerea stocurilor și rutelor de migraţie a peştilor și pentru decolmatarea căilor de acces</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2D6BF10" w14:textId="77777777" w:rsidR="002508D3" w:rsidRPr="002508D3" w:rsidRDefault="002508D3" w:rsidP="002508D3">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36CB5AF" w14:textId="77777777" w:rsidR="002508D3" w:rsidRPr="002508D3" w:rsidRDefault="002508D3" w:rsidP="002508D3">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C82D190" w14:textId="77777777"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 (ANPA)</w:t>
            </w:r>
          </w:p>
        </w:tc>
        <w:tc>
          <w:tcPr>
            <w:tcW w:w="170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1AE7D17" w14:textId="77777777" w:rsidR="002508D3" w:rsidRDefault="002508D3" w:rsidP="00473248">
            <w:pPr>
              <w:spacing w:after="0" w:line="240" w:lineRule="auto"/>
              <w:ind w:firstLine="0"/>
              <w:rPr>
                <w:rFonts w:eastAsia="Times New Roman" w:cs="Times New Roman"/>
                <w:sz w:val="20"/>
                <w:szCs w:val="20"/>
              </w:rPr>
            </w:pPr>
          </w:p>
          <w:p w14:paraId="4E01DE41" w14:textId="77777777" w:rsidR="002508D3" w:rsidRDefault="002508D3" w:rsidP="00473248">
            <w:pPr>
              <w:spacing w:after="0" w:line="240" w:lineRule="auto"/>
              <w:ind w:firstLine="0"/>
              <w:rPr>
                <w:rFonts w:eastAsia="Times New Roman" w:cs="Times New Roman"/>
                <w:sz w:val="20"/>
                <w:szCs w:val="20"/>
              </w:rPr>
            </w:pPr>
          </w:p>
          <w:p w14:paraId="38B84A0B" w14:textId="77777777" w:rsidR="002508D3" w:rsidRDefault="002508D3" w:rsidP="00473248">
            <w:pPr>
              <w:spacing w:after="0" w:line="240" w:lineRule="auto"/>
              <w:ind w:firstLine="0"/>
              <w:rPr>
                <w:rFonts w:eastAsia="Times New Roman" w:cs="Times New Roman"/>
                <w:sz w:val="20"/>
                <w:szCs w:val="20"/>
              </w:rPr>
            </w:pPr>
          </w:p>
          <w:p w14:paraId="10FD4717"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 xml:space="preserve">Programul de Pescuit și </w:t>
            </w:r>
            <w:r>
              <w:rPr>
                <w:rFonts w:eastAsia="Times New Roman" w:cs="Times New Roman"/>
                <w:sz w:val="20"/>
                <w:szCs w:val="20"/>
              </w:rPr>
              <w:lastRenderedPageBreak/>
              <w:t>Acvacultură, fonduri proprii MADR (ANPA)</w:t>
            </w:r>
          </w:p>
        </w:tc>
      </w:tr>
      <w:tr w:rsidR="002508D3" w14:paraId="4B2DBC5B" w14:textId="77777777" w:rsidTr="00473248">
        <w:trPr>
          <w:trHeight w:val="612"/>
        </w:trPr>
        <w:tc>
          <w:tcPr>
            <w:tcW w:w="1892"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2279B0EF" w14:textId="77777777" w:rsidR="002508D3" w:rsidRDefault="002508D3" w:rsidP="002508D3">
            <w:pPr>
              <w:widowControl w:val="0"/>
              <w:pBdr>
                <w:top w:val="nil"/>
                <w:left w:val="nil"/>
                <w:bottom w:val="nil"/>
                <w:right w:val="nil"/>
                <w:between w:val="nil"/>
              </w:pBdr>
              <w:spacing w:after="0"/>
              <w:ind w:hanging="37"/>
              <w:rPr>
                <w:rFonts w:eastAsia="Times New Roman" w:cs="Times New Roman"/>
                <w:sz w:val="20"/>
                <w:szCs w:val="20"/>
              </w:rPr>
            </w:pPr>
          </w:p>
        </w:tc>
        <w:tc>
          <w:tcPr>
            <w:tcW w:w="2121" w:type="dxa"/>
            <w:vMerge/>
            <w:tcBorders>
              <w:left w:val="single" w:sz="4" w:space="0" w:color="auto"/>
              <w:bottom w:val="single" w:sz="4" w:space="0" w:color="auto"/>
              <w:right w:val="single" w:sz="4" w:space="0" w:color="auto"/>
            </w:tcBorders>
          </w:tcPr>
          <w:p w14:paraId="31857C65"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6901F1AD"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7.4.2 Îmbunătățirea/corelarea legislaţiei naţionale în acord cu legislația europeană, privind:</w:t>
            </w:r>
          </w:p>
          <w:p w14:paraId="0AA16287"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lastRenderedPageBreak/>
              <w:t>i) folosirea uneltelor de pescuit, precum plasele monofilament, combaterea, cu măsuri reale, a braconajului,</w:t>
            </w:r>
          </w:p>
          <w:p w14:paraId="6C4D7F00"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ii) consultarea reprezentanţilor din pescării în elaborarea de politici care influenţează domeniul pescaresc,</w:t>
            </w:r>
          </w:p>
          <w:p w14:paraId="740E1869"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iii) protejarea intereselor pescarilor autohtoni și acordarea de compensaţii financiare în perioade nefavorabile, îmbunătăţirea condiţiilor de muncă ale pescarilor;</w:t>
            </w:r>
          </w:p>
          <w:p w14:paraId="5BCB6642"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iv) îmbunătăţirea condiţiilor de muncă ale pescarilor</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51EE465" w14:textId="77777777" w:rsidR="002508D3" w:rsidRPr="002508D3" w:rsidRDefault="002508D3" w:rsidP="002508D3">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lastRenderedPageBreak/>
              <w:t>Foarte 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D2CB82E" w14:textId="77777777" w:rsidR="002508D3" w:rsidRPr="002508D3" w:rsidRDefault="002508D3" w:rsidP="002508D3">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2027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7A28D1C" w14:textId="77777777"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 (ANPA)</w:t>
            </w:r>
          </w:p>
        </w:tc>
        <w:tc>
          <w:tcPr>
            <w:tcW w:w="170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20C4131" w14:textId="77777777" w:rsidR="002508D3" w:rsidRDefault="002508D3" w:rsidP="00473248">
            <w:pPr>
              <w:widowControl w:val="0"/>
              <w:pBdr>
                <w:top w:val="nil"/>
                <w:left w:val="nil"/>
                <w:bottom w:val="nil"/>
                <w:right w:val="nil"/>
                <w:between w:val="nil"/>
              </w:pBdr>
              <w:spacing w:after="0"/>
              <w:ind w:firstLine="0"/>
              <w:rPr>
                <w:rFonts w:eastAsia="Times New Roman" w:cs="Times New Roman"/>
                <w:color w:val="000000"/>
                <w:sz w:val="20"/>
                <w:szCs w:val="20"/>
              </w:rPr>
            </w:pPr>
          </w:p>
        </w:tc>
      </w:tr>
      <w:tr w:rsidR="002508D3" w14:paraId="59F9632C" w14:textId="77777777" w:rsidTr="00473248">
        <w:trPr>
          <w:trHeight w:val="520"/>
        </w:trPr>
        <w:tc>
          <w:tcPr>
            <w:tcW w:w="1892" w:type="dxa"/>
            <w:vMerge/>
            <w:tcBorders>
              <w:top w:val="single" w:sz="4" w:space="0" w:color="auto"/>
              <w:left w:val="single" w:sz="4" w:space="0" w:color="000000"/>
              <w:right w:val="single" w:sz="4" w:space="0" w:color="auto"/>
            </w:tcBorders>
            <w:shd w:val="clear" w:color="auto" w:fill="auto"/>
            <w:tcMar>
              <w:top w:w="100" w:type="dxa"/>
              <w:left w:w="100" w:type="dxa"/>
              <w:bottom w:w="100" w:type="dxa"/>
              <w:right w:w="100" w:type="dxa"/>
            </w:tcMar>
          </w:tcPr>
          <w:p w14:paraId="349FDACE" w14:textId="77777777" w:rsidR="002508D3" w:rsidRDefault="002508D3" w:rsidP="002508D3">
            <w:pPr>
              <w:widowControl w:val="0"/>
              <w:pBdr>
                <w:top w:val="nil"/>
                <w:left w:val="nil"/>
                <w:bottom w:val="nil"/>
                <w:right w:val="nil"/>
                <w:between w:val="nil"/>
              </w:pBdr>
              <w:spacing w:after="0"/>
              <w:ind w:hanging="37"/>
              <w:rPr>
                <w:rFonts w:eastAsia="Times New Roman" w:cs="Times New Roman"/>
                <w:color w:val="000000"/>
                <w:sz w:val="20"/>
                <w:szCs w:val="20"/>
              </w:rPr>
            </w:pPr>
          </w:p>
        </w:tc>
        <w:tc>
          <w:tcPr>
            <w:tcW w:w="2121" w:type="dxa"/>
            <w:vMerge/>
            <w:tcBorders>
              <w:top w:val="single" w:sz="4" w:space="0" w:color="auto"/>
              <w:left w:val="single" w:sz="4" w:space="0" w:color="auto"/>
              <w:right w:val="single" w:sz="4" w:space="0" w:color="auto"/>
            </w:tcBorders>
          </w:tcPr>
          <w:p w14:paraId="7399F251"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73F1F353"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7.4.3 Crearea unui fond de garantare pentru sectorul operaţional de pescuit</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410B88E" w14:textId="77777777" w:rsidR="002508D3" w:rsidRPr="002508D3" w:rsidRDefault="002508D3" w:rsidP="002508D3">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084EDBD" w14:textId="77777777" w:rsidR="002508D3" w:rsidRPr="002508D3" w:rsidRDefault="002508D3" w:rsidP="002508D3">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2027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6A13071" w14:textId="77777777"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 (ANPA)</w:t>
            </w:r>
          </w:p>
        </w:tc>
        <w:tc>
          <w:tcPr>
            <w:tcW w:w="170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0CC5584" w14:textId="77777777" w:rsidR="002508D3" w:rsidRDefault="002508D3" w:rsidP="00473248">
            <w:pPr>
              <w:widowControl w:val="0"/>
              <w:pBdr>
                <w:top w:val="nil"/>
                <w:left w:val="nil"/>
                <w:bottom w:val="nil"/>
                <w:right w:val="nil"/>
                <w:between w:val="nil"/>
              </w:pBdr>
              <w:spacing w:after="0"/>
              <w:ind w:firstLine="0"/>
              <w:rPr>
                <w:rFonts w:eastAsia="Times New Roman" w:cs="Times New Roman"/>
                <w:color w:val="000000"/>
                <w:sz w:val="20"/>
                <w:szCs w:val="20"/>
              </w:rPr>
            </w:pPr>
          </w:p>
        </w:tc>
      </w:tr>
      <w:tr w:rsidR="002508D3" w14:paraId="7C060E04" w14:textId="77777777" w:rsidTr="002508D3">
        <w:trPr>
          <w:trHeight w:val="612"/>
        </w:trPr>
        <w:tc>
          <w:tcPr>
            <w:tcW w:w="1892" w:type="dxa"/>
            <w:vMerge/>
            <w:tcBorders>
              <w:top w:val="single" w:sz="4" w:space="0" w:color="000000"/>
              <w:left w:val="single" w:sz="4" w:space="0" w:color="000000"/>
              <w:right w:val="single" w:sz="4" w:space="0" w:color="auto"/>
            </w:tcBorders>
            <w:shd w:val="clear" w:color="auto" w:fill="auto"/>
            <w:tcMar>
              <w:top w:w="100" w:type="dxa"/>
              <w:left w:w="100" w:type="dxa"/>
              <w:bottom w:w="100" w:type="dxa"/>
              <w:right w:w="100" w:type="dxa"/>
            </w:tcMar>
          </w:tcPr>
          <w:p w14:paraId="4F5E6DFE" w14:textId="77777777" w:rsidR="002508D3" w:rsidRDefault="002508D3" w:rsidP="002508D3">
            <w:pPr>
              <w:widowControl w:val="0"/>
              <w:pBdr>
                <w:top w:val="nil"/>
                <w:left w:val="nil"/>
                <w:bottom w:val="nil"/>
                <w:right w:val="nil"/>
                <w:between w:val="nil"/>
              </w:pBdr>
              <w:spacing w:after="0"/>
              <w:ind w:hanging="37"/>
              <w:rPr>
                <w:rFonts w:eastAsia="Times New Roman" w:cs="Times New Roman"/>
                <w:color w:val="000000"/>
                <w:sz w:val="20"/>
                <w:szCs w:val="20"/>
              </w:rPr>
            </w:pPr>
          </w:p>
        </w:tc>
        <w:tc>
          <w:tcPr>
            <w:tcW w:w="2121" w:type="dxa"/>
            <w:vMerge/>
            <w:tcBorders>
              <w:left w:val="single" w:sz="4" w:space="0" w:color="auto"/>
              <w:right w:val="single" w:sz="4" w:space="0" w:color="auto"/>
            </w:tcBorders>
          </w:tcPr>
          <w:p w14:paraId="74AE8F66"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67C02BFF"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7.4.4 Alocarea de terenuri care să servească amenajării de adăposturi pescăreşti în vederea reactivării pescuitului costier la scară redusă</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264BDDC" w14:textId="77777777" w:rsidR="002508D3" w:rsidRPr="002508D3" w:rsidRDefault="002508D3" w:rsidP="002508D3">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Medie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DD49428" w14:textId="77777777" w:rsidR="002508D3" w:rsidRPr="002508D3" w:rsidRDefault="002508D3" w:rsidP="002508D3">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2027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F44D0AB" w14:textId="77777777"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 (ANPA)</w:t>
            </w:r>
          </w:p>
        </w:tc>
        <w:tc>
          <w:tcPr>
            <w:tcW w:w="170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E061FFD" w14:textId="77777777" w:rsidR="002508D3" w:rsidRDefault="002508D3" w:rsidP="00473248">
            <w:pPr>
              <w:widowControl w:val="0"/>
              <w:pBdr>
                <w:top w:val="nil"/>
                <w:left w:val="nil"/>
                <w:bottom w:val="nil"/>
                <w:right w:val="nil"/>
                <w:between w:val="nil"/>
              </w:pBdr>
              <w:spacing w:after="0"/>
              <w:ind w:firstLine="0"/>
              <w:rPr>
                <w:rFonts w:eastAsia="Times New Roman" w:cs="Times New Roman"/>
                <w:color w:val="000000"/>
                <w:sz w:val="20"/>
                <w:szCs w:val="20"/>
              </w:rPr>
            </w:pPr>
          </w:p>
        </w:tc>
      </w:tr>
      <w:tr w:rsidR="002508D3" w14:paraId="528ED5B8" w14:textId="77777777" w:rsidTr="002508D3">
        <w:trPr>
          <w:trHeight w:val="612"/>
        </w:trPr>
        <w:tc>
          <w:tcPr>
            <w:tcW w:w="1892"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0F5498E1" w14:textId="77777777" w:rsidR="002508D3" w:rsidRDefault="002508D3" w:rsidP="002508D3">
            <w:pPr>
              <w:widowControl w:val="0"/>
              <w:pBdr>
                <w:top w:val="nil"/>
                <w:left w:val="nil"/>
                <w:bottom w:val="nil"/>
                <w:right w:val="nil"/>
                <w:between w:val="nil"/>
              </w:pBdr>
              <w:spacing w:after="0"/>
              <w:ind w:hanging="37"/>
              <w:rPr>
                <w:rFonts w:eastAsia="Times New Roman" w:cs="Times New Roman"/>
                <w:color w:val="000000"/>
                <w:sz w:val="20"/>
                <w:szCs w:val="20"/>
              </w:rPr>
            </w:pPr>
          </w:p>
        </w:tc>
        <w:tc>
          <w:tcPr>
            <w:tcW w:w="2121" w:type="dxa"/>
            <w:vMerge/>
            <w:tcBorders>
              <w:left w:val="single" w:sz="4" w:space="0" w:color="auto"/>
              <w:bottom w:val="single" w:sz="4" w:space="0" w:color="auto"/>
              <w:right w:val="single" w:sz="4" w:space="0" w:color="auto"/>
            </w:tcBorders>
          </w:tcPr>
          <w:p w14:paraId="3B79B918"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47BEA0E4"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7.4.5 Realizarea de campanii de conștientizare și de instruire a pescarilor și piscicultorilor</w:t>
            </w:r>
          </w:p>
        </w:tc>
        <w:tc>
          <w:tcPr>
            <w:tcW w:w="1277"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772F1621" w14:textId="77777777" w:rsidR="002508D3" w:rsidRPr="002508D3" w:rsidRDefault="002508D3" w:rsidP="002508D3">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6470DEE1" w14:textId="77777777" w:rsidR="002508D3" w:rsidRPr="002508D3" w:rsidRDefault="002508D3" w:rsidP="002508D3">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59235758" w14:textId="77777777"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 MCID (INCDM Grigore Antipa, INCDDD)</w:t>
            </w:r>
          </w:p>
        </w:tc>
        <w:tc>
          <w:tcPr>
            <w:tcW w:w="1701" w:type="dxa"/>
            <w:vMerge/>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3BDAC39B" w14:textId="77777777" w:rsidR="002508D3" w:rsidRDefault="002508D3" w:rsidP="00473248">
            <w:pPr>
              <w:widowControl w:val="0"/>
              <w:pBdr>
                <w:top w:val="nil"/>
                <w:left w:val="nil"/>
                <w:bottom w:val="nil"/>
                <w:right w:val="nil"/>
                <w:between w:val="nil"/>
              </w:pBdr>
              <w:spacing w:after="0"/>
              <w:ind w:firstLine="0"/>
              <w:rPr>
                <w:rFonts w:eastAsia="Times New Roman" w:cs="Times New Roman"/>
                <w:color w:val="000000"/>
                <w:sz w:val="20"/>
                <w:szCs w:val="20"/>
              </w:rPr>
            </w:pPr>
          </w:p>
        </w:tc>
      </w:tr>
      <w:tr w:rsidR="002508D3" w14:paraId="12C1FD26" w14:textId="77777777" w:rsidTr="002508D3">
        <w:trPr>
          <w:trHeight w:val="612"/>
        </w:trPr>
        <w:tc>
          <w:tcPr>
            <w:tcW w:w="1892" w:type="dxa"/>
            <w:vMerge/>
            <w:tcBorders>
              <w:top w:val="single" w:sz="4" w:space="0" w:color="auto"/>
              <w:left w:val="single" w:sz="4" w:space="0" w:color="000000"/>
              <w:right w:val="single" w:sz="4" w:space="0" w:color="auto"/>
            </w:tcBorders>
            <w:shd w:val="clear" w:color="auto" w:fill="auto"/>
            <w:tcMar>
              <w:top w:w="100" w:type="dxa"/>
              <w:left w:w="100" w:type="dxa"/>
              <w:bottom w:w="100" w:type="dxa"/>
              <w:right w:w="100" w:type="dxa"/>
            </w:tcMar>
          </w:tcPr>
          <w:p w14:paraId="4CA9C777" w14:textId="77777777" w:rsidR="002508D3" w:rsidRDefault="002508D3" w:rsidP="002508D3">
            <w:pPr>
              <w:widowControl w:val="0"/>
              <w:pBdr>
                <w:top w:val="nil"/>
                <w:left w:val="nil"/>
                <w:bottom w:val="nil"/>
                <w:right w:val="nil"/>
                <w:between w:val="nil"/>
              </w:pBdr>
              <w:spacing w:after="0"/>
              <w:ind w:hanging="37"/>
              <w:rPr>
                <w:rFonts w:eastAsia="Times New Roman" w:cs="Times New Roman"/>
                <w:color w:val="000000"/>
                <w:sz w:val="20"/>
                <w:szCs w:val="20"/>
              </w:rPr>
            </w:pPr>
          </w:p>
        </w:tc>
        <w:tc>
          <w:tcPr>
            <w:tcW w:w="2121" w:type="dxa"/>
            <w:vMerge/>
            <w:tcBorders>
              <w:top w:val="single" w:sz="4" w:space="0" w:color="auto"/>
              <w:left w:val="single" w:sz="4" w:space="0" w:color="auto"/>
              <w:bottom w:val="single" w:sz="4" w:space="0" w:color="auto"/>
              <w:right w:val="single" w:sz="4" w:space="0" w:color="auto"/>
            </w:tcBorders>
          </w:tcPr>
          <w:p w14:paraId="2855EEFB"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03BDE95B"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7.4.6 Stimularea activităţii de cercetare în domeniul piscicol</w:t>
            </w:r>
          </w:p>
        </w:tc>
        <w:tc>
          <w:tcPr>
            <w:tcW w:w="1277"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7ADF731" w14:textId="77777777" w:rsidR="002508D3" w:rsidRPr="002508D3" w:rsidRDefault="002508D3" w:rsidP="002508D3">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7F0CFF1" w14:textId="77777777" w:rsidR="002508D3" w:rsidRPr="002508D3" w:rsidRDefault="002508D3" w:rsidP="002508D3">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C6632C8" w14:textId="77777777"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 MCID (INCDM Grigore Antipa, INCDDD)</w:t>
            </w:r>
          </w:p>
        </w:tc>
        <w:tc>
          <w:tcPr>
            <w:tcW w:w="1701"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7B70185"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Programul de Pescuit și Acvacultură, PNCDI IV, fonduri proprii MADR (ANPA)</w:t>
            </w:r>
          </w:p>
        </w:tc>
      </w:tr>
      <w:tr w:rsidR="002508D3" w14:paraId="48D855A0" w14:textId="77777777" w:rsidTr="00473248">
        <w:trPr>
          <w:trHeight w:val="1024"/>
        </w:trPr>
        <w:tc>
          <w:tcPr>
            <w:tcW w:w="1892" w:type="dxa"/>
            <w:vMerge w:val="restart"/>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37194644" w14:textId="77777777" w:rsidR="002508D3" w:rsidRDefault="002508D3" w:rsidP="002508D3">
            <w:pPr>
              <w:spacing w:after="0" w:line="240" w:lineRule="auto"/>
              <w:ind w:hanging="37"/>
              <w:rPr>
                <w:rFonts w:eastAsia="Times New Roman" w:cs="Times New Roman"/>
                <w:sz w:val="20"/>
                <w:szCs w:val="20"/>
              </w:rPr>
            </w:pPr>
            <w:r>
              <w:rPr>
                <w:rFonts w:eastAsia="Times New Roman" w:cs="Times New Roman"/>
                <w:sz w:val="20"/>
                <w:szCs w:val="20"/>
              </w:rPr>
              <w:lastRenderedPageBreak/>
              <w:t>M7.5 Dezvoltarea infrastructurii pescărești și utilizarea de mijloace de pescuit prietenoase cu mediul pentru evitarea deteriorării substratului marin și diminuarea presiunii asupra mediului</w:t>
            </w:r>
          </w:p>
        </w:tc>
        <w:tc>
          <w:tcPr>
            <w:tcW w:w="2121" w:type="dxa"/>
            <w:vMerge w:val="restart"/>
            <w:tcBorders>
              <w:top w:val="single" w:sz="4" w:space="0" w:color="auto"/>
              <w:left w:val="single" w:sz="4" w:space="0" w:color="auto"/>
              <w:bottom w:val="single" w:sz="4" w:space="0" w:color="auto"/>
              <w:right w:val="single" w:sz="4" w:space="0" w:color="auto"/>
            </w:tcBorders>
          </w:tcPr>
          <w:p w14:paraId="5FA95FAA" w14:textId="77777777" w:rsidR="002508D3" w:rsidRDefault="002508D3" w:rsidP="002508D3">
            <w:pPr>
              <w:spacing w:after="0" w:line="240" w:lineRule="auto"/>
              <w:ind w:firstLine="48"/>
              <w:rPr>
                <w:rFonts w:eastAsia="Times New Roman" w:cs="Times New Roman"/>
                <w:color w:val="000000"/>
                <w:sz w:val="20"/>
                <w:szCs w:val="20"/>
              </w:rPr>
            </w:pPr>
            <w:r w:rsidRPr="00DD49F4">
              <w:rPr>
                <w:rFonts w:eastAsia="Times New Roman" w:cs="Times New Roman"/>
                <w:color w:val="000000"/>
                <w:sz w:val="20"/>
                <w:szCs w:val="20"/>
              </w:rPr>
              <w:t>Os 4.a Gestionarea durabilă a resurselor zonei de coastă</w:t>
            </w:r>
            <w:r>
              <w:rPr>
                <w:rFonts w:eastAsia="Times New Roman" w:cs="Times New Roman"/>
                <w:color w:val="000000"/>
                <w:sz w:val="20"/>
                <w:szCs w:val="20"/>
              </w:rPr>
              <w:t>.</w:t>
            </w: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7FC7E91A"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7.5.1 Elaborarea și implementarea programelor pentru modernizarea ambarcaţiunilor de pescuit, dotarea cu echipamente de navigaţie şi plase de pescuit specializate, diferenţiat pe specii de peşte</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3467D50" w14:textId="77777777" w:rsidR="002508D3" w:rsidRPr="002508D3" w:rsidRDefault="002508D3" w:rsidP="002508D3">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2422B13" w14:textId="77777777" w:rsidR="002508D3" w:rsidRPr="002508D3" w:rsidRDefault="002508D3" w:rsidP="002508D3">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vMerge w:val="restart"/>
            <w:tcBorders>
              <w:top w:val="single" w:sz="4" w:space="0" w:color="000000"/>
              <w:left w:val="single" w:sz="4" w:space="0" w:color="000000"/>
              <w:right w:val="single" w:sz="4" w:space="0" w:color="000000"/>
            </w:tcBorders>
            <w:shd w:val="clear" w:color="auto" w:fill="auto"/>
            <w:tcMar>
              <w:top w:w="0" w:type="dxa"/>
              <w:left w:w="100" w:type="dxa"/>
              <w:bottom w:w="0" w:type="dxa"/>
              <w:right w:w="100" w:type="dxa"/>
            </w:tcMar>
          </w:tcPr>
          <w:p w14:paraId="2F7B368B" w14:textId="77777777" w:rsidR="002508D3" w:rsidRPr="00473248" w:rsidRDefault="002508D3" w:rsidP="00473248">
            <w:pPr>
              <w:spacing w:after="0" w:line="240" w:lineRule="auto"/>
              <w:ind w:firstLine="0"/>
              <w:rPr>
                <w:rFonts w:eastAsia="Times New Roman" w:cs="Times New Roman"/>
                <w:color w:val="000000"/>
                <w:sz w:val="20"/>
                <w:szCs w:val="20"/>
              </w:rPr>
            </w:pPr>
          </w:p>
          <w:p w14:paraId="24E846A4" w14:textId="77777777" w:rsidR="002508D3" w:rsidRPr="00473248" w:rsidRDefault="002508D3" w:rsidP="00473248">
            <w:pPr>
              <w:spacing w:after="0" w:line="240" w:lineRule="auto"/>
              <w:ind w:firstLine="0"/>
              <w:rPr>
                <w:rFonts w:eastAsia="Times New Roman" w:cs="Times New Roman"/>
                <w:color w:val="000000"/>
                <w:sz w:val="20"/>
                <w:szCs w:val="20"/>
              </w:rPr>
            </w:pPr>
          </w:p>
          <w:p w14:paraId="7DEADABD" w14:textId="77777777"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 (ANPA), MCID (INCDM Grigore Antipa, INCDDD)</w:t>
            </w:r>
          </w:p>
        </w:tc>
        <w:tc>
          <w:tcPr>
            <w:tcW w:w="1701" w:type="dxa"/>
            <w:vMerge w:val="restart"/>
            <w:tcBorders>
              <w:top w:val="single" w:sz="4" w:space="0" w:color="000000"/>
              <w:left w:val="single" w:sz="4" w:space="0" w:color="000000"/>
              <w:right w:val="single" w:sz="4" w:space="0" w:color="000000"/>
            </w:tcBorders>
            <w:shd w:val="clear" w:color="auto" w:fill="auto"/>
            <w:tcMar>
              <w:top w:w="0" w:type="dxa"/>
              <w:left w:w="100" w:type="dxa"/>
              <w:bottom w:w="0" w:type="dxa"/>
              <w:right w:w="100" w:type="dxa"/>
            </w:tcMar>
          </w:tcPr>
          <w:p w14:paraId="35D68AB5" w14:textId="77777777" w:rsidR="002508D3" w:rsidRDefault="002508D3" w:rsidP="00473248">
            <w:pPr>
              <w:spacing w:after="0" w:line="240" w:lineRule="auto"/>
              <w:ind w:firstLine="0"/>
              <w:rPr>
                <w:rFonts w:eastAsia="Times New Roman" w:cs="Times New Roman"/>
                <w:sz w:val="20"/>
                <w:szCs w:val="20"/>
              </w:rPr>
            </w:pPr>
          </w:p>
          <w:p w14:paraId="029419F3" w14:textId="77777777" w:rsidR="002508D3" w:rsidRDefault="002508D3" w:rsidP="00473248">
            <w:pPr>
              <w:spacing w:after="0" w:line="240" w:lineRule="auto"/>
              <w:ind w:firstLine="0"/>
              <w:rPr>
                <w:rFonts w:eastAsia="Times New Roman" w:cs="Times New Roman"/>
                <w:sz w:val="20"/>
                <w:szCs w:val="20"/>
              </w:rPr>
            </w:pPr>
          </w:p>
          <w:p w14:paraId="06B42ABD"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Programul de Pescuit și Acvacultură 2021-2027, fonduri proprii MADR</w:t>
            </w:r>
          </w:p>
        </w:tc>
      </w:tr>
      <w:tr w:rsidR="002508D3" w14:paraId="49ACDFD7" w14:textId="77777777" w:rsidTr="00473248">
        <w:trPr>
          <w:trHeight w:val="968"/>
        </w:trPr>
        <w:tc>
          <w:tcPr>
            <w:tcW w:w="1892" w:type="dxa"/>
            <w:vMerge/>
            <w:tcBorders>
              <w:top w:val="single" w:sz="4" w:space="0" w:color="auto"/>
              <w:left w:val="single" w:sz="4" w:space="0" w:color="000000"/>
              <w:right w:val="single" w:sz="4" w:space="0" w:color="auto"/>
            </w:tcBorders>
            <w:shd w:val="clear" w:color="auto" w:fill="auto"/>
            <w:tcMar>
              <w:top w:w="100" w:type="dxa"/>
              <w:left w:w="100" w:type="dxa"/>
              <w:bottom w:w="100" w:type="dxa"/>
              <w:right w:w="100" w:type="dxa"/>
            </w:tcMar>
          </w:tcPr>
          <w:p w14:paraId="2E59B81A" w14:textId="77777777" w:rsidR="002508D3" w:rsidRDefault="002508D3" w:rsidP="002508D3">
            <w:pPr>
              <w:widowControl w:val="0"/>
              <w:pBdr>
                <w:top w:val="nil"/>
                <w:left w:val="nil"/>
                <w:bottom w:val="nil"/>
                <w:right w:val="nil"/>
                <w:between w:val="nil"/>
              </w:pBdr>
              <w:spacing w:after="0"/>
              <w:ind w:hanging="37"/>
              <w:rPr>
                <w:rFonts w:eastAsia="Times New Roman" w:cs="Times New Roman"/>
                <w:sz w:val="20"/>
                <w:szCs w:val="20"/>
              </w:rPr>
            </w:pPr>
          </w:p>
        </w:tc>
        <w:tc>
          <w:tcPr>
            <w:tcW w:w="2121" w:type="dxa"/>
            <w:vMerge/>
            <w:tcBorders>
              <w:top w:val="single" w:sz="4" w:space="0" w:color="auto"/>
              <w:left w:val="single" w:sz="4" w:space="0" w:color="auto"/>
              <w:right w:val="single" w:sz="4" w:space="0" w:color="auto"/>
            </w:tcBorders>
          </w:tcPr>
          <w:p w14:paraId="42F897F5"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55EA7C07"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7.5.2 Elaborarea și implementarea programelor privind modernizarea uneltelor de pescuit, respectiv achiziţia de noi unelte, schimbarea motoarelor ambarcaţiunilor</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FA4F335" w14:textId="77777777" w:rsidR="002508D3" w:rsidRPr="002508D3" w:rsidRDefault="002508D3" w:rsidP="002508D3">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61309DB" w14:textId="77777777" w:rsidR="002508D3" w:rsidRPr="002508D3" w:rsidRDefault="002508D3" w:rsidP="002508D3">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vMerge/>
            <w:tcBorders>
              <w:top w:val="single" w:sz="4" w:space="0" w:color="000000"/>
              <w:left w:val="single" w:sz="4" w:space="0" w:color="000000"/>
              <w:right w:val="single" w:sz="4" w:space="0" w:color="000000"/>
            </w:tcBorders>
            <w:shd w:val="clear" w:color="auto" w:fill="auto"/>
            <w:tcMar>
              <w:top w:w="0" w:type="dxa"/>
              <w:left w:w="100" w:type="dxa"/>
              <w:bottom w:w="0" w:type="dxa"/>
              <w:right w:w="100" w:type="dxa"/>
            </w:tcMar>
          </w:tcPr>
          <w:p w14:paraId="736DC29D" w14:textId="77777777" w:rsidR="002508D3" w:rsidRPr="00473248" w:rsidRDefault="002508D3" w:rsidP="00473248">
            <w:pPr>
              <w:widowControl w:val="0"/>
              <w:pBdr>
                <w:top w:val="nil"/>
                <w:left w:val="nil"/>
                <w:bottom w:val="nil"/>
                <w:right w:val="nil"/>
                <w:between w:val="nil"/>
              </w:pBdr>
              <w:spacing w:after="0"/>
              <w:ind w:firstLine="0"/>
              <w:rPr>
                <w:rFonts w:eastAsia="Times New Roman" w:cs="Times New Roman"/>
                <w:color w:val="000000"/>
                <w:sz w:val="20"/>
                <w:szCs w:val="20"/>
              </w:rPr>
            </w:pPr>
          </w:p>
        </w:tc>
        <w:tc>
          <w:tcPr>
            <w:tcW w:w="1701" w:type="dxa"/>
            <w:vMerge/>
            <w:tcBorders>
              <w:top w:val="single" w:sz="4" w:space="0" w:color="000000"/>
              <w:left w:val="single" w:sz="4" w:space="0" w:color="000000"/>
              <w:right w:val="single" w:sz="4" w:space="0" w:color="000000"/>
            </w:tcBorders>
            <w:shd w:val="clear" w:color="auto" w:fill="auto"/>
            <w:tcMar>
              <w:top w:w="0" w:type="dxa"/>
              <w:left w:w="100" w:type="dxa"/>
              <w:bottom w:w="0" w:type="dxa"/>
              <w:right w:w="100" w:type="dxa"/>
            </w:tcMar>
          </w:tcPr>
          <w:p w14:paraId="54CFF9BE" w14:textId="77777777" w:rsidR="002508D3" w:rsidRDefault="002508D3" w:rsidP="00473248">
            <w:pPr>
              <w:widowControl w:val="0"/>
              <w:pBdr>
                <w:top w:val="nil"/>
                <w:left w:val="nil"/>
                <w:bottom w:val="nil"/>
                <w:right w:val="nil"/>
                <w:between w:val="nil"/>
              </w:pBdr>
              <w:spacing w:after="0"/>
              <w:ind w:firstLine="0"/>
              <w:rPr>
                <w:rFonts w:eastAsia="Times New Roman" w:cs="Times New Roman"/>
                <w:color w:val="000000"/>
                <w:sz w:val="20"/>
                <w:szCs w:val="20"/>
              </w:rPr>
            </w:pPr>
          </w:p>
        </w:tc>
      </w:tr>
      <w:tr w:rsidR="002508D3" w14:paraId="42977DEC" w14:textId="77777777" w:rsidTr="002508D3">
        <w:trPr>
          <w:trHeight w:val="1264"/>
        </w:trPr>
        <w:tc>
          <w:tcPr>
            <w:tcW w:w="1892" w:type="dxa"/>
            <w:vMerge/>
            <w:tcBorders>
              <w:top w:val="single" w:sz="4" w:space="0" w:color="000000"/>
              <w:left w:val="single" w:sz="4" w:space="0" w:color="000000"/>
              <w:right w:val="single" w:sz="4" w:space="0" w:color="auto"/>
            </w:tcBorders>
            <w:shd w:val="clear" w:color="auto" w:fill="auto"/>
            <w:tcMar>
              <w:top w:w="100" w:type="dxa"/>
              <w:left w:w="100" w:type="dxa"/>
              <w:bottom w:w="100" w:type="dxa"/>
              <w:right w:w="100" w:type="dxa"/>
            </w:tcMar>
          </w:tcPr>
          <w:p w14:paraId="08141194" w14:textId="77777777" w:rsidR="002508D3" w:rsidRDefault="002508D3" w:rsidP="002508D3">
            <w:pPr>
              <w:widowControl w:val="0"/>
              <w:pBdr>
                <w:top w:val="nil"/>
                <w:left w:val="nil"/>
                <w:bottom w:val="nil"/>
                <w:right w:val="nil"/>
                <w:between w:val="nil"/>
              </w:pBdr>
              <w:spacing w:after="0"/>
              <w:ind w:hanging="37"/>
              <w:rPr>
                <w:rFonts w:eastAsia="Times New Roman" w:cs="Times New Roman"/>
                <w:color w:val="000000"/>
                <w:sz w:val="20"/>
                <w:szCs w:val="20"/>
              </w:rPr>
            </w:pPr>
          </w:p>
        </w:tc>
        <w:tc>
          <w:tcPr>
            <w:tcW w:w="2121" w:type="dxa"/>
            <w:vMerge/>
            <w:tcBorders>
              <w:left w:val="single" w:sz="4" w:space="0" w:color="auto"/>
              <w:bottom w:val="single" w:sz="4" w:space="0" w:color="auto"/>
              <w:right w:val="single" w:sz="4" w:space="0" w:color="auto"/>
            </w:tcBorders>
          </w:tcPr>
          <w:p w14:paraId="04F2FF69"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793D0BCC"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7.5.3 Îmbunătățirea bazei logistice prin retehnologizare şi modernizarea infrastructurii, achiziționarea de echipamente moderne și soft-uri specializate pentru standardizarea metodelor de pescuit și procesarea datelor de producție</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5FA9B34" w14:textId="77777777" w:rsidR="002508D3" w:rsidRPr="002508D3" w:rsidRDefault="002508D3" w:rsidP="002508D3">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A20EABC" w14:textId="77777777" w:rsidR="002508D3" w:rsidRPr="002508D3" w:rsidRDefault="002508D3" w:rsidP="002508D3">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vMerge/>
            <w:tcBorders>
              <w:top w:val="single" w:sz="4" w:space="0" w:color="000000"/>
              <w:left w:val="single" w:sz="4" w:space="0" w:color="000000"/>
              <w:right w:val="single" w:sz="4" w:space="0" w:color="000000"/>
            </w:tcBorders>
            <w:shd w:val="clear" w:color="auto" w:fill="auto"/>
            <w:tcMar>
              <w:top w:w="0" w:type="dxa"/>
              <w:left w:w="100" w:type="dxa"/>
              <w:bottom w:w="0" w:type="dxa"/>
              <w:right w:w="100" w:type="dxa"/>
            </w:tcMar>
          </w:tcPr>
          <w:p w14:paraId="0BDA2E21" w14:textId="77777777" w:rsidR="002508D3" w:rsidRPr="00473248" w:rsidRDefault="002508D3" w:rsidP="00473248">
            <w:pPr>
              <w:widowControl w:val="0"/>
              <w:pBdr>
                <w:top w:val="nil"/>
                <w:left w:val="nil"/>
                <w:bottom w:val="nil"/>
                <w:right w:val="nil"/>
                <w:between w:val="nil"/>
              </w:pBdr>
              <w:spacing w:after="0"/>
              <w:ind w:firstLine="0"/>
              <w:rPr>
                <w:rFonts w:eastAsia="Times New Roman" w:cs="Times New Roman"/>
                <w:color w:val="000000"/>
                <w:sz w:val="20"/>
                <w:szCs w:val="20"/>
              </w:rPr>
            </w:pPr>
          </w:p>
        </w:tc>
        <w:tc>
          <w:tcPr>
            <w:tcW w:w="1701" w:type="dxa"/>
            <w:vMerge/>
            <w:tcBorders>
              <w:top w:val="single" w:sz="4" w:space="0" w:color="000000"/>
              <w:left w:val="single" w:sz="4" w:space="0" w:color="000000"/>
              <w:right w:val="single" w:sz="4" w:space="0" w:color="000000"/>
            </w:tcBorders>
            <w:shd w:val="clear" w:color="auto" w:fill="auto"/>
            <w:tcMar>
              <w:top w:w="0" w:type="dxa"/>
              <w:left w:w="100" w:type="dxa"/>
              <w:bottom w:w="0" w:type="dxa"/>
              <w:right w:w="100" w:type="dxa"/>
            </w:tcMar>
          </w:tcPr>
          <w:p w14:paraId="4C2856D1" w14:textId="77777777" w:rsidR="002508D3" w:rsidRDefault="002508D3" w:rsidP="00473248">
            <w:pPr>
              <w:widowControl w:val="0"/>
              <w:pBdr>
                <w:top w:val="nil"/>
                <w:left w:val="nil"/>
                <w:bottom w:val="nil"/>
                <w:right w:val="nil"/>
                <w:between w:val="nil"/>
              </w:pBdr>
              <w:spacing w:after="0"/>
              <w:ind w:firstLine="0"/>
              <w:rPr>
                <w:rFonts w:eastAsia="Times New Roman" w:cs="Times New Roman"/>
                <w:color w:val="000000"/>
                <w:sz w:val="20"/>
                <w:szCs w:val="20"/>
              </w:rPr>
            </w:pPr>
          </w:p>
        </w:tc>
      </w:tr>
      <w:tr w:rsidR="002508D3" w14:paraId="25C8090C" w14:textId="77777777" w:rsidTr="00473248">
        <w:trPr>
          <w:trHeight w:val="210"/>
        </w:trPr>
        <w:tc>
          <w:tcPr>
            <w:tcW w:w="1892" w:type="dxa"/>
            <w:vMerge w:val="restart"/>
            <w:tcBorders>
              <w:top w:val="single" w:sz="4" w:space="0" w:color="000000"/>
              <w:left w:val="single" w:sz="4" w:space="0" w:color="000000"/>
              <w:bottom w:val="nil"/>
              <w:right w:val="single" w:sz="4" w:space="0" w:color="auto"/>
            </w:tcBorders>
            <w:shd w:val="clear" w:color="auto" w:fill="auto"/>
            <w:tcMar>
              <w:top w:w="100" w:type="dxa"/>
              <w:left w:w="100" w:type="dxa"/>
              <w:bottom w:w="100" w:type="dxa"/>
              <w:right w:w="100" w:type="dxa"/>
            </w:tcMar>
          </w:tcPr>
          <w:p w14:paraId="48C69316" w14:textId="77777777" w:rsidR="002508D3" w:rsidRDefault="002508D3" w:rsidP="002508D3">
            <w:pPr>
              <w:spacing w:after="0" w:line="240" w:lineRule="auto"/>
              <w:ind w:hanging="37"/>
              <w:rPr>
                <w:rFonts w:eastAsia="Times New Roman" w:cs="Times New Roman"/>
                <w:sz w:val="20"/>
                <w:szCs w:val="20"/>
              </w:rPr>
            </w:pPr>
            <w:r>
              <w:rPr>
                <w:rFonts w:eastAsia="Times New Roman" w:cs="Times New Roman"/>
                <w:sz w:val="20"/>
                <w:szCs w:val="20"/>
              </w:rPr>
              <w:t>M7.6 Dezvoltarea acvaculturii costiere (marine, terestre) prietenoase cu mediul</w:t>
            </w:r>
          </w:p>
        </w:tc>
        <w:tc>
          <w:tcPr>
            <w:tcW w:w="2121" w:type="dxa"/>
            <w:vMerge w:val="restart"/>
            <w:tcBorders>
              <w:top w:val="single" w:sz="4" w:space="0" w:color="auto"/>
              <w:left w:val="single" w:sz="4" w:space="0" w:color="auto"/>
              <w:bottom w:val="nil"/>
              <w:right w:val="single" w:sz="4" w:space="0" w:color="auto"/>
            </w:tcBorders>
          </w:tcPr>
          <w:p w14:paraId="0505905B" w14:textId="77777777" w:rsidR="002508D3" w:rsidRDefault="002508D3" w:rsidP="002508D3">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 xml:space="preserve">Os4.a Gestionarea durabilă a resurselor zonei de coastă; </w:t>
            </w:r>
          </w:p>
          <w:p w14:paraId="417FB2F9" w14:textId="77777777" w:rsidR="002508D3" w:rsidRDefault="002508D3" w:rsidP="002508D3">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Os4.b Dezvoltarea “verde a zonei costiere</w:t>
            </w: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5B01D1F9"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7.6.1 Identificarea și concesionarea zonelor și selectarea speciilor pretabile pentru acvacultură</w:t>
            </w:r>
          </w:p>
        </w:tc>
        <w:tc>
          <w:tcPr>
            <w:tcW w:w="1277"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6FE11D4A" w14:textId="77777777" w:rsidR="002508D3" w:rsidRPr="002508D3" w:rsidRDefault="002508D3" w:rsidP="002508D3">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foarte ridicată</w:t>
            </w:r>
          </w:p>
        </w:tc>
        <w:tc>
          <w:tcPr>
            <w:tcW w:w="1418"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2A2D85F0" w14:textId="77777777" w:rsidR="002508D3" w:rsidRPr="002508D3" w:rsidRDefault="002508D3" w:rsidP="002508D3">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2025</w:t>
            </w:r>
          </w:p>
        </w:tc>
        <w:tc>
          <w:tcPr>
            <w:tcW w:w="1419"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2F780AF3" w14:textId="77777777"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 (ANPA), MMAP (ARBDD), MCID (INCDM Grigore Antipa, INCDDD, INCD GeoEcoMar)</w:t>
            </w:r>
          </w:p>
        </w:tc>
        <w:tc>
          <w:tcPr>
            <w:tcW w:w="1701"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2B48E00C"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color w:val="000000"/>
                <w:sz w:val="20"/>
                <w:szCs w:val="20"/>
              </w:rPr>
              <w:t>PAP 2021- 2027, Programul Piață Unică, Programului Regional Sud-Est, PNCDI IV </w:t>
            </w:r>
          </w:p>
        </w:tc>
      </w:tr>
      <w:tr w:rsidR="002508D3" w14:paraId="6896CED1" w14:textId="77777777" w:rsidTr="00473248">
        <w:trPr>
          <w:trHeight w:val="210"/>
        </w:trPr>
        <w:tc>
          <w:tcPr>
            <w:tcW w:w="1892" w:type="dxa"/>
            <w:vMerge/>
            <w:tcBorders>
              <w:top w:val="single" w:sz="4" w:space="0" w:color="auto"/>
              <w:left w:val="single" w:sz="4" w:space="0" w:color="000000"/>
              <w:bottom w:val="nil"/>
              <w:right w:val="single" w:sz="4" w:space="0" w:color="auto"/>
            </w:tcBorders>
            <w:shd w:val="clear" w:color="auto" w:fill="auto"/>
            <w:tcMar>
              <w:top w:w="100" w:type="dxa"/>
              <w:left w:w="100" w:type="dxa"/>
              <w:bottom w:w="100" w:type="dxa"/>
              <w:right w:w="100" w:type="dxa"/>
            </w:tcMar>
          </w:tcPr>
          <w:p w14:paraId="060FDF4A" w14:textId="77777777" w:rsidR="002508D3" w:rsidRDefault="002508D3" w:rsidP="002508D3">
            <w:pPr>
              <w:widowControl w:val="0"/>
              <w:pBdr>
                <w:top w:val="nil"/>
                <w:left w:val="nil"/>
                <w:bottom w:val="nil"/>
                <w:right w:val="nil"/>
                <w:between w:val="nil"/>
              </w:pBdr>
              <w:spacing w:after="0"/>
              <w:ind w:hanging="37"/>
              <w:rPr>
                <w:rFonts w:eastAsia="Times New Roman" w:cs="Times New Roman"/>
                <w:sz w:val="20"/>
                <w:szCs w:val="20"/>
              </w:rPr>
            </w:pPr>
          </w:p>
        </w:tc>
        <w:tc>
          <w:tcPr>
            <w:tcW w:w="2121" w:type="dxa"/>
            <w:vMerge/>
            <w:tcBorders>
              <w:top w:val="single" w:sz="4" w:space="0" w:color="auto"/>
              <w:left w:val="single" w:sz="4" w:space="0" w:color="auto"/>
              <w:bottom w:val="nil"/>
              <w:right w:val="single" w:sz="4" w:space="0" w:color="auto"/>
            </w:tcBorders>
          </w:tcPr>
          <w:p w14:paraId="29F5C9C3"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554A1A4D"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7.6.2 Implementarea standardelor de calitate pentru peştele de consum livrat în stare vie, în special în cazul aplicării unor tehnologii ecologice</w:t>
            </w:r>
          </w:p>
        </w:tc>
        <w:tc>
          <w:tcPr>
            <w:tcW w:w="1277"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6DFDB5C" w14:textId="77777777" w:rsidR="002508D3" w:rsidRPr="002508D3" w:rsidRDefault="002508D3" w:rsidP="002508D3">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4EF14AB" w14:textId="77777777" w:rsidR="002508D3" w:rsidRPr="002508D3" w:rsidRDefault="002508D3" w:rsidP="002508D3">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2027</w:t>
            </w:r>
          </w:p>
        </w:tc>
        <w:tc>
          <w:tcPr>
            <w:tcW w:w="1419"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2F89919" w14:textId="77777777"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 (ANPA, ANSVA) </w:t>
            </w:r>
          </w:p>
        </w:tc>
        <w:tc>
          <w:tcPr>
            <w:tcW w:w="1701"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61617AC"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color w:val="000000"/>
                <w:sz w:val="20"/>
                <w:szCs w:val="20"/>
              </w:rPr>
              <w:t>PAP 2021- 2027, Programul Piață Unică</w:t>
            </w:r>
          </w:p>
        </w:tc>
      </w:tr>
      <w:tr w:rsidR="002508D3" w14:paraId="198C2D54" w14:textId="77777777" w:rsidTr="00473248">
        <w:trPr>
          <w:trHeight w:val="210"/>
        </w:trPr>
        <w:tc>
          <w:tcPr>
            <w:tcW w:w="1892" w:type="dxa"/>
            <w:vMerge/>
            <w:tcBorders>
              <w:top w:val="single" w:sz="4" w:space="0" w:color="auto"/>
              <w:left w:val="single" w:sz="4" w:space="0" w:color="000000"/>
              <w:bottom w:val="nil"/>
              <w:right w:val="single" w:sz="4" w:space="0" w:color="auto"/>
            </w:tcBorders>
            <w:shd w:val="clear" w:color="auto" w:fill="auto"/>
            <w:tcMar>
              <w:top w:w="100" w:type="dxa"/>
              <w:left w:w="100" w:type="dxa"/>
              <w:bottom w:w="100" w:type="dxa"/>
              <w:right w:w="100" w:type="dxa"/>
            </w:tcMar>
          </w:tcPr>
          <w:p w14:paraId="7C8914A5" w14:textId="77777777" w:rsidR="002508D3" w:rsidRDefault="002508D3" w:rsidP="002508D3">
            <w:pPr>
              <w:widowControl w:val="0"/>
              <w:pBdr>
                <w:top w:val="nil"/>
                <w:left w:val="nil"/>
                <w:bottom w:val="nil"/>
                <w:right w:val="nil"/>
                <w:between w:val="nil"/>
              </w:pBdr>
              <w:spacing w:after="0"/>
              <w:ind w:hanging="37"/>
              <w:rPr>
                <w:rFonts w:eastAsia="Times New Roman" w:cs="Times New Roman"/>
                <w:sz w:val="20"/>
                <w:szCs w:val="20"/>
              </w:rPr>
            </w:pPr>
          </w:p>
        </w:tc>
        <w:tc>
          <w:tcPr>
            <w:tcW w:w="2121" w:type="dxa"/>
            <w:vMerge/>
            <w:tcBorders>
              <w:top w:val="single" w:sz="4" w:space="0" w:color="auto"/>
              <w:left w:val="single" w:sz="4" w:space="0" w:color="auto"/>
              <w:bottom w:val="nil"/>
              <w:right w:val="single" w:sz="4" w:space="0" w:color="auto"/>
            </w:tcBorders>
          </w:tcPr>
          <w:p w14:paraId="31E9ED49"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7640E05C"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7.6.3 Dezvoltarea/consolidarea infrastructurii specifice, inclusiv crearea și dezvoltarea de puncte de debarcare numai pentru acvacultură</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1EC1745" w14:textId="77777777" w:rsidR="002508D3" w:rsidRPr="002508D3" w:rsidRDefault="002508D3" w:rsidP="002508D3">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94570A2" w14:textId="77777777" w:rsidR="002508D3" w:rsidRPr="002508D3" w:rsidRDefault="002508D3" w:rsidP="002508D3">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7FEC408" w14:textId="77777777"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 xml:space="preserve">MADR (ANPA), </w:t>
            </w:r>
            <w:r w:rsidRPr="00473248">
              <w:rPr>
                <w:rFonts w:eastAsia="Times New Roman" w:cs="Times New Roman"/>
                <w:color w:val="000000"/>
                <w:sz w:val="20"/>
                <w:szCs w:val="20"/>
              </w:rPr>
              <w:lastRenderedPageBreak/>
              <w:t>MMAP (ARBDD)</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3B31DD4"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color w:val="000000"/>
                <w:sz w:val="20"/>
                <w:szCs w:val="20"/>
              </w:rPr>
              <w:lastRenderedPageBreak/>
              <w:t>PAP 2021- 2027, Programului Regional Sud-Est, </w:t>
            </w:r>
          </w:p>
        </w:tc>
      </w:tr>
      <w:tr w:rsidR="002508D3" w14:paraId="13712466" w14:textId="77777777" w:rsidTr="00473248">
        <w:trPr>
          <w:trHeight w:val="210"/>
        </w:trPr>
        <w:tc>
          <w:tcPr>
            <w:tcW w:w="1892" w:type="dxa"/>
            <w:vMerge/>
            <w:tcBorders>
              <w:top w:val="single" w:sz="4" w:space="0" w:color="auto"/>
              <w:left w:val="single" w:sz="4" w:space="0" w:color="000000"/>
              <w:bottom w:val="nil"/>
              <w:right w:val="single" w:sz="4" w:space="0" w:color="auto"/>
            </w:tcBorders>
            <w:shd w:val="clear" w:color="auto" w:fill="auto"/>
            <w:tcMar>
              <w:top w:w="100" w:type="dxa"/>
              <w:left w:w="100" w:type="dxa"/>
              <w:bottom w:w="100" w:type="dxa"/>
              <w:right w:w="100" w:type="dxa"/>
            </w:tcMar>
          </w:tcPr>
          <w:p w14:paraId="31B3A4CA" w14:textId="77777777" w:rsidR="002508D3" w:rsidRDefault="002508D3" w:rsidP="002508D3">
            <w:pPr>
              <w:widowControl w:val="0"/>
              <w:pBdr>
                <w:top w:val="nil"/>
                <w:left w:val="nil"/>
                <w:bottom w:val="nil"/>
                <w:right w:val="nil"/>
                <w:between w:val="nil"/>
              </w:pBdr>
              <w:spacing w:after="0"/>
              <w:ind w:hanging="37"/>
              <w:rPr>
                <w:rFonts w:eastAsia="Times New Roman" w:cs="Times New Roman"/>
                <w:sz w:val="20"/>
                <w:szCs w:val="20"/>
              </w:rPr>
            </w:pPr>
          </w:p>
        </w:tc>
        <w:tc>
          <w:tcPr>
            <w:tcW w:w="2121" w:type="dxa"/>
            <w:vMerge/>
            <w:tcBorders>
              <w:top w:val="single" w:sz="4" w:space="0" w:color="auto"/>
              <w:left w:val="single" w:sz="4" w:space="0" w:color="auto"/>
              <w:bottom w:val="single" w:sz="4" w:space="0" w:color="auto"/>
              <w:right w:val="single" w:sz="4" w:space="0" w:color="auto"/>
            </w:tcBorders>
          </w:tcPr>
          <w:p w14:paraId="53C5B8D7"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6350F9AD"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7.6.4 Implementarea sistemului de trasabilitate pentru produsele pescuite și cultivate, suport pentru sistemul integrat de monitorizare a traseului complet de la capturare până la consumatorul final</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4875F6E" w14:textId="77777777" w:rsidR="002508D3" w:rsidRPr="002508D3" w:rsidRDefault="002508D3" w:rsidP="002508D3">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864C2EC" w14:textId="77777777" w:rsidR="002508D3" w:rsidRPr="002508D3" w:rsidRDefault="002508D3" w:rsidP="002508D3">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C96A7E8" w14:textId="77777777"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 (ANPA, ANSVSA)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AB456C3"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color w:val="000000"/>
                <w:sz w:val="20"/>
                <w:szCs w:val="20"/>
              </w:rPr>
              <w:t>PAP 2021- 2027, Programul Piață Unică</w:t>
            </w:r>
          </w:p>
        </w:tc>
      </w:tr>
      <w:tr w:rsidR="002508D3" w14:paraId="35355527" w14:textId="77777777" w:rsidTr="00473248">
        <w:trPr>
          <w:trHeight w:val="210"/>
        </w:trPr>
        <w:tc>
          <w:tcPr>
            <w:tcW w:w="1892" w:type="dxa"/>
            <w:vMerge/>
            <w:tcBorders>
              <w:top w:val="single" w:sz="4" w:space="0" w:color="auto"/>
              <w:left w:val="single" w:sz="4" w:space="0" w:color="000000"/>
              <w:bottom w:val="nil"/>
              <w:right w:val="single" w:sz="4" w:space="0" w:color="auto"/>
            </w:tcBorders>
            <w:shd w:val="clear" w:color="auto" w:fill="auto"/>
            <w:tcMar>
              <w:top w:w="100" w:type="dxa"/>
              <w:left w:w="100" w:type="dxa"/>
              <w:bottom w:w="100" w:type="dxa"/>
              <w:right w:w="100" w:type="dxa"/>
            </w:tcMar>
          </w:tcPr>
          <w:p w14:paraId="768E2150" w14:textId="77777777" w:rsidR="002508D3" w:rsidRDefault="002508D3" w:rsidP="002508D3">
            <w:pPr>
              <w:widowControl w:val="0"/>
              <w:pBdr>
                <w:top w:val="nil"/>
                <w:left w:val="nil"/>
                <w:bottom w:val="nil"/>
                <w:right w:val="nil"/>
                <w:between w:val="nil"/>
              </w:pBdr>
              <w:spacing w:after="0"/>
              <w:ind w:hanging="37"/>
              <w:rPr>
                <w:rFonts w:eastAsia="Times New Roman" w:cs="Times New Roman"/>
                <w:sz w:val="20"/>
                <w:szCs w:val="20"/>
              </w:rPr>
            </w:pPr>
          </w:p>
        </w:tc>
        <w:tc>
          <w:tcPr>
            <w:tcW w:w="2121" w:type="dxa"/>
            <w:vMerge/>
            <w:tcBorders>
              <w:top w:val="single" w:sz="4" w:space="0" w:color="auto"/>
              <w:left w:val="single" w:sz="4" w:space="0" w:color="auto"/>
              <w:bottom w:val="nil"/>
              <w:right w:val="single" w:sz="4" w:space="0" w:color="auto"/>
            </w:tcBorders>
          </w:tcPr>
          <w:p w14:paraId="45A0E61C"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48A89750"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7.6.5 Implementarea unor programe de prevenţie şi tratament în cadrul unor reţele specializate pentru monitorizarea calităţii apei şi bolilor la peşti cu impact cantitativ şi calitativ asupra produsului final</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6C1BB6C" w14:textId="77777777" w:rsidR="002508D3" w:rsidRPr="002508D3" w:rsidRDefault="002508D3" w:rsidP="002508D3">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13FCC2A" w14:textId="77777777" w:rsidR="002508D3" w:rsidRPr="002508D3" w:rsidRDefault="002508D3" w:rsidP="002508D3">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7884E5D" w14:textId="77777777"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 (ANPA), MCID (INCDM Grigore Antipa, INCDDD)</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332F6DD"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color w:val="000000"/>
                <w:sz w:val="20"/>
                <w:szCs w:val="20"/>
              </w:rPr>
              <w:t>PAP 2021- 2027, PNCDI IV</w:t>
            </w:r>
          </w:p>
        </w:tc>
      </w:tr>
      <w:tr w:rsidR="002508D3" w14:paraId="79A9432D" w14:textId="77777777" w:rsidTr="00473248">
        <w:trPr>
          <w:trHeight w:val="210"/>
        </w:trPr>
        <w:tc>
          <w:tcPr>
            <w:tcW w:w="1892" w:type="dxa"/>
            <w:vMerge/>
            <w:tcBorders>
              <w:top w:val="single" w:sz="4" w:space="0" w:color="auto"/>
              <w:left w:val="single" w:sz="4" w:space="0" w:color="000000"/>
              <w:bottom w:val="nil"/>
              <w:right w:val="single" w:sz="4" w:space="0" w:color="auto"/>
            </w:tcBorders>
            <w:shd w:val="clear" w:color="auto" w:fill="auto"/>
            <w:tcMar>
              <w:top w:w="100" w:type="dxa"/>
              <w:left w:w="100" w:type="dxa"/>
              <w:bottom w:w="100" w:type="dxa"/>
              <w:right w:w="100" w:type="dxa"/>
            </w:tcMar>
          </w:tcPr>
          <w:p w14:paraId="5A107CFA" w14:textId="77777777" w:rsidR="002508D3" w:rsidRDefault="002508D3" w:rsidP="002508D3">
            <w:pPr>
              <w:widowControl w:val="0"/>
              <w:pBdr>
                <w:top w:val="nil"/>
                <w:left w:val="nil"/>
                <w:bottom w:val="nil"/>
                <w:right w:val="nil"/>
                <w:between w:val="nil"/>
              </w:pBdr>
              <w:spacing w:after="0"/>
              <w:ind w:hanging="37"/>
              <w:rPr>
                <w:rFonts w:eastAsia="Times New Roman" w:cs="Times New Roman"/>
                <w:sz w:val="20"/>
                <w:szCs w:val="20"/>
              </w:rPr>
            </w:pPr>
          </w:p>
        </w:tc>
        <w:tc>
          <w:tcPr>
            <w:tcW w:w="2121" w:type="dxa"/>
            <w:vMerge/>
            <w:tcBorders>
              <w:top w:val="single" w:sz="4" w:space="0" w:color="auto"/>
              <w:left w:val="single" w:sz="4" w:space="0" w:color="auto"/>
              <w:bottom w:val="nil"/>
              <w:right w:val="single" w:sz="4" w:space="0" w:color="auto"/>
            </w:tcBorders>
          </w:tcPr>
          <w:p w14:paraId="45976B6C"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5D00D796"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7.6.6 Elaborarea și implementarea de măsuri fiscale care să asigurare producţia în cazul unor calamităţi naturale</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45B8F08" w14:textId="77777777" w:rsidR="002508D3" w:rsidRPr="002508D3" w:rsidRDefault="002508D3" w:rsidP="002508D3">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78ACAD9" w14:textId="77777777" w:rsidR="002508D3" w:rsidRPr="002508D3" w:rsidRDefault="002508D3" w:rsidP="002508D3">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294AF5D" w14:textId="77777777"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 (ANPA), MMAP (ARBDD)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D185609"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color w:val="000000"/>
                <w:sz w:val="20"/>
                <w:szCs w:val="20"/>
              </w:rPr>
              <w:t>PAP 2021- 2027</w:t>
            </w:r>
          </w:p>
        </w:tc>
      </w:tr>
      <w:tr w:rsidR="002508D3" w14:paraId="45625EDD" w14:textId="77777777" w:rsidTr="00473248">
        <w:trPr>
          <w:trHeight w:val="72"/>
        </w:trPr>
        <w:tc>
          <w:tcPr>
            <w:tcW w:w="1892" w:type="dxa"/>
            <w:vMerge w:val="restart"/>
            <w:tcBorders>
              <w:top w:val="nil"/>
              <w:left w:val="single" w:sz="4" w:space="0" w:color="000000"/>
              <w:right w:val="single" w:sz="4" w:space="0" w:color="auto"/>
            </w:tcBorders>
            <w:shd w:val="clear" w:color="auto" w:fill="auto"/>
            <w:tcMar>
              <w:top w:w="100" w:type="dxa"/>
              <w:left w:w="100" w:type="dxa"/>
              <w:bottom w:w="100" w:type="dxa"/>
              <w:right w:w="100" w:type="dxa"/>
            </w:tcMar>
          </w:tcPr>
          <w:p w14:paraId="6D83001E" w14:textId="77777777" w:rsidR="002508D3" w:rsidRDefault="002508D3" w:rsidP="002508D3">
            <w:pPr>
              <w:spacing w:after="0" w:line="240" w:lineRule="auto"/>
              <w:ind w:hanging="37"/>
              <w:rPr>
                <w:rFonts w:eastAsia="Times New Roman" w:cs="Times New Roman"/>
                <w:sz w:val="20"/>
                <w:szCs w:val="20"/>
              </w:rPr>
            </w:pPr>
            <w:r>
              <w:rPr>
                <w:rFonts w:eastAsia="Times New Roman" w:cs="Times New Roman"/>
                <w:sz w:val="20"/>
                <w:szCs w:val="20"/>
              </w:rPr>
              <w:t>M7.7 Reabilitarea activităților tradiționale și valorificarea resursei stuficole din Delta Dunării</w:t>
            </w:r>
          </w:p>
        </w:tc>
        <w:tc>
          <w:tcPr>
            <w:tcW w:w="2121" w:type="dxa"/>
            <w:vMerge w:val="restart"/>
            <w:tcBorders>
              <w:top w:val="nil"/>
              <w:left w:val="single" w:sz="4" w:space="0" w:color="auto"/>
              <w:right w:val="single" w:sz="4" w:space="0" w:color="auto"/>
            </w:tcBorders>
          </w:tcPr>
          <w:p w14:paraId="55A878F5" w14:textId="77777777" w:rsidR="002508D3" w:rsidRPr="00DD49F4" w:rsidRDefault="002508D3" w:rsidP="002508D3">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Os4.b Dezvoltarea “verde” a zonei costiere;</w:t>
            </w:r>
          </w:p>
          <w:p w14:paraId="3B3524CC" w14:textId="77777777" w:rsidR="002508D3" w:rsidRPr="00DD49F4" w:rsidRDefault="002508D3" w:rsidP="002508D3">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Os2.c Stimularea dezvoltării infrastructurii verzi;</w:t>
            </w:r>
          </w:p>
          <w:p w14:paraId="00D17F21" w14:textId="77777777" w:rsidR="002508D3" w:rsidRDefault="002508D3" w:rsidP="002508D3">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Os6.b Creșterea gradului de conștientizare cu privire la necesitatea de a păstra și îmbunătăți resursele zonei de coastă.</w:t>
            </w: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0006C060"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7.7.1 Realizarea de campanii de conștientizare a populației locale și turiștilor cu privire la beneficiile reabilitării activităților tradiționale de valorificare a stufului, de noi oportunități de valorificare a resursei stuficole, alături de beneficiile economice pe care aceste oportunități le implică</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E0EDCE0" w14:textId="77777777" w:rsidR="002508D3" w:rsidRPr="002508D3" w:rsidRDefault="002508D3" w:rsidP="002508D3">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Medie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B3C2C9E" w14:textId="77777777" w:rsidR="002508D3" w:rsidRPr="002508D3" w:rsidRDefault="002508D3" w:rsidP="002508D3">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E886F59" w14:textId="77777777"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MMAP (ARBDD)</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3245F22" w14:textId="7214C1DD" w:rsidR="002508D3" w:rsidRDefault="002508D3" w:rsidP="00473248">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 xml:space="preserve">buget propriu MMAP (ARBDD), Program Regional Sud-Est, </w:t>
            </w:r>
          </w:p>
        </w:tc>
      </w:tr>
      <w:tr w:rsidR="002508D3" w14:paraId="782FC8C8" w14:textId="77777777" w:rsidTr="002508D3">
        <w:trPr>
          <w:trHeight w:val="72"/>
        </w:trPr>
        <w:tc>
          <w:tcPr>
            <w:tcW w:w="1892"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69DE1102" w14:textId="77777777" w:rsidR="002508D3" w:rsidRDefault="002508D3" w:rsidP="002508D3">
            <w:pPr>
              <w:widowControl w:val="0"/>
              <w:pBdr>
                <w:top w:val="nil"/>
                <w:left w:val="nil"/>
                <w:bottom w:val="nil"/>
                <w:right w:val="nil"/>
                <w:between w:val="nil"/>
              </w:pBdr>
              <w:spacing w:after="0"/>
              <w:ind w:hanging="37"/>
              <w:rPr>
                <w:rFonts w:eastAsia="Times New Roman" w:cs="Times New Roman"/>
                <w:color w:val="000000"/>
                <w:sz w:val="20"/>
                <w:szCs w:val="20"/>
              </w:rPr>
            </w:pPr>
          </w:p>
        </w:tc>
        <w:tc>
          <w:tcPr>
            <w:tcW w:w="2121" w:type="dxa"/>
            <w:vMerge/>
            <w:tcBorders>
              <w:left w:val="single" w:sz="4" w:space="0" w:color="auto"/>
              <w:bottom w:val="single" w:sz="4" w:space="0" w:color="auto"/>
              <w:right w:val="single" w:sz="4" w:space="0" w:color="auto"/>
            </w:tcBorders>
          </w:tcPr>
          <w:p w14:paraId="073F79EF"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29357122"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7.7.2 Inițiere și implementare de proiecte pilot pentru producerea de energie din stuf</w:t>
            </w:r>
          </w:p>
        </w:tc>
        <w:tc>
          <w:tcPr>
            <w:tcW w:w="1277"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0241FEBF" w14:textId="77777777" w:rsidR="002508D3" w:rsidRPr="002508D3" w:rsidRDefault="002508D3" w:rsidP="002508D3">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Medie</w:t>
            </w:r>
          </w:p>
        </w:tc>
        <w:tc>
          <w:tcPr>
            <w:tcW w:w="1418"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38D68D40" w14:textId="77777777" w:rsidR="002508D3" w:rsidRPr="002508D3" w:rsidRDefault="002508D3" w:rsidP="002508D3">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19F59C02" w14:textId="77777777"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MMAP (ARBDD), MCID (INCD-uri), ME (departamente cercetare din universități)</w:t>
            </w:r>
          </w:p>
        </w:tc>
        <w:tc>
          <w:tcPr>
            <w:tcW w:w="1701"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7E6EB557" w14:textId="215E3EA3" w:rsidR="002508D3" w:rsidRDefault="002508D3" w:rsidP="00473248">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Program Regional Sud-Est, PNRR, fonduri proprii MMAP (ARBDD), parteneriate public-privat</w:t>
            </w:r>
          </w:p>
        </w:tc>
      </w:tr>
      <w:tr w:rsidR="002508D3" w14:paraId="53779339" w14:textId="77777777" w:rsidTr="002508D3">
        <w:trPr>
          <w:trHeight w:val="72"/>
        </w:trPr>
        <w:tc>
          <w:tcPr>
            <w:tcW w:w="1892" w:type="dxa"/>
            <w:vMerge/>
            <w:tcBorders>
              <w:top w:val="single" w:sz="4" w:space="0" w:color="auto"/>
              <w:left w:val="single" w:sz="4" w:space="0" w:color="000000"/>
              <w:right w:val="single" w:sz="4" w:space="0" w:color="auto"/>
            </w:tcBorders>
            <w:shd w:val="clear" w:color="auto" w:fill="auto"/>
            <w:tcMar>
              <w:top w:w="100" w:type="dxa"/>
              <w:left w:w="100" w:type="dxa"/>
              <w:bottom w:w="100" w:type="dxa"/>
              <w:right w:w="100" w:type="dxa"/>
            </w:tcMar>
          </w:tcPr>
          <w:p w14:paraId="5C369C5D" w14:textId="77777777" w:rsidR="002508D3" w:rsidRDefault="002508D3" w:rsidP="002508D3">
            <w:pPr>
              <w:widowControl w:val="0"/>
              <w:pBdr>
                <w:top w:val="nil"/>
                <w:left w:val="nil"/>
                <w:bottom w:val="nil"/>
                <w:right w:val="nil"/>
                <w:between w:val="nil"/>
              </w:pBdr>
              <w:spacing w:after="0"/>
              <w:ind w:hanging="37"/>
              <w:rPr>
                <w:rFonts w:eastAsia="Times New Roman" w:cs="Times New Roman"/>
                <w:color w:val="000000"/>
                <w:sz w:val="20"/>
                <w:szCs w:val="20"/>
              </w:rPr>
            </w:pPr>
          </w:p>
        </w:tc>
        <w:tc>
          <w:tcPr>
            <w:tcW w:w="2121" w:type="dxa"/>
            <w:vMerge/>
            <w:tcBorders>
              <w:top w:val="single" w:sz="4" w:space="0" w:color="auto"/>
              <w:left w:val="single" w:sz="4" w:space="0" w:color="auto"/>
              <w:right w:val="single" w:sz="4" w:space="0" w:color="auto"/>
            </w:tcBorders>
          </w:tcPr>
          <w:p w14:paraId="3619716E"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0921540B"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7.7.3 Realizarea de cursuri de instruire în tehnici de construcție cu materiale din stuf adresate comunității locale</w:t>
            </w:r>
          </w:p>
        </w:tc>
        <w:tc>
          <w:tcPr>
            <w:tcW w:w="1277"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EA1DD9F" w14:textId="77777777" w:rsidR="002508D3" w:rsidRPr="002508D3" w:rsidRDefault="002508D3" w:rsidP="002508D3">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2BFFC60" w14:textId="77777777" w:rsidR="002508D3" w:rsidRPr="002508D3" w:rsidRDefault="002508D3" w:rsidP="002508D3">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A4199A9" w14:textId="77777777"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MMAP (ARBDD)</w:t>
            </w:r>
          </w:p>
        </w:tc>
        <w:tc>
          <w:tcPr>
            <w:tcW w:w="1701"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1B0B75F" w14:textId="77777777" w:rsidR="002508D3" w:rsidRDefault="002508D3" w:rsidP="00473248">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Programul Educație și Ocupare, Parteneriate public-privat</w:t>
            </w:r>
          </w:p>
        </w:tc>
      </w:tr>
      <w:tr w:rsidR="002508D3" w14:paraId="1E3D8EF9" w14:textId="77777777" w:rsidTr="002508D3">
        <w:trPr>
          <w:trHeight w:val="72"/>
        </w:trPr>
        <w:tc>
          <w:tcPr>
            <w:tcW w:w="1892" w:type="dxa"/>
            <w:vMerge/>
            <w:tcBorders>
              <w:top w:val="single" w:sz="4" w:space="0" w:color="000000"/>
              <w:left w:val="single" w:sz="4" w:space="0" w:color="000000"/>
              <w:right w:val="single" w:sz="4" w:space="0" w:color="auto"/>
            </w:tcBorders>
            <w:shd w:val="clear" w:color="auto" w:fill="auto"/>
            <w:tcMar>
              <w:top w:w="100" w:type="dxa"/>
              <w:left w:w="100" w:type="dxa"/>
              <w:bottom w:w="100" w:type="dxa"/>
              <w:right w:w="100" w:type="dxa"/>
            </w:tcMar>
          </w:tcPr>
          <w:p w14:paraId="2D57D823" w14:textId="77777777" w:rsidR="002508D3" w:rsidRDefault="002508D3" w:rsidP="002508D3">
            <w:pPr>
              <w:widowControl w:val="0"/>
              <w:pBdr>
                <w:top w:val="nil"/>
                <w:left w:val="nil"/>
                <w:bottom w:val="nil"/>
                <w:right w:val="nil"/>
                <w:between w:val="nil"/>
              </w:pBdr>
              <w:spacing w:after="0"/>
              <w:ind w:hanging="37"/>
              <w:rPr>
                <w:rFonts w:eastAsia="Times New Roman" w:cs="Times New Roman"/>
                <w:color w:val="000000"/>
                <w:sz w:val="20"/>
                <w:szCs w:val="20"/>
              </w:rPr>
            </w:pPr>
          </w:p>
        </w:tc>
        <w:tc>
          <w:tcPr>
            <w:tcW w:w="2121" w:type="dxa"/>
            <w:vMerge/>
            <w:tcBorders>
              <w:left w:val="single" w:sz="4" w:space="0" w:color="auto"/>
              <w:right w:val="single" w:sz="4" w:space="0" w:color="auto"/>
            </w:tcBorders>
          </w:tcPr>
          <w:p w14:paraId="1E0B75CF"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38B3376E"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7.7.4 Inițierea și implementarea de proiecte pentru valorificarea stufului ca materiale în construcția de locuințe tradiționale</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E623766" w14:textId="58C7207A" w:rsidR="002508D3" w:rsidRPr="002508D3" w:rsidRDefault="00482BF0" w:rsidP="002508D3">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w:t>
            </w:r>
            <w:r w:rsidR="002508D3" w:rsidRPr="002508D3">
              <w:rPr>
                <w:rFonts w:eastAsia="Times New Roman" w:cs="Times New Roman"/>
                <w:color w:val="000000"/>
                <w:sz w:val="20"/>
                <w:szCs w:val="22"/>
              </w:rPr>
              <w:t>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8F425FD" w14:textId="77777777" w:rsidR="002508D3" w:rsidRPr="002508D3" w:rsidRDefault="002508D3" w:rsidP="002508D3">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9621DE6" w14:textId="77777777"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MMAP (ARBDD), MCID (INCD-uri), ME (departamente cercetare din universități)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421C2DF" w14:textId="7C20F096" w:rsidR="002508D3" w:rsidRDefault="002508D3" w:rsidP="00473248">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Program Regional Sud-Est,</w:t>
            </w:r>
            <w:r w:rsidR="00E65A44">
              <w:rPr>
                <w:rFonts w:eastAsia="Times New Roman" w:cs="Times New Roman"/>
                <w:color w:val="000000"/>
                <w:sz w:val="20"/>
                <w:szCs w:val="20"/>
              </w:rPr>
              <w:t xml:space="preserve"> </w:t>
            </w:r>
            <w:r>
              <w:rPr>
                <w:rFonts w:eastAsia="Times New Roman" w:cs="Times New Roman"/>
                <w:color w:val="000000"/>
                <w:sz w:val="20"/>
                <w:szCs w:val="20"/>
              </w:rPr>
              <w:t>PNRR, fonduri proprii MMAP (ARBDD), parteneriate public-privat</w:t>
            </w:r>
          </w:p>
        </w:tc>
      </w:tr>
      <w:tr w:rsidR="002508D3" w14:paraId="7BD022C9" w14:textId="77777777" w:rsidTr="002508D3">
        <w:trPr>
          <w:trHeight w:val="72"/>
        </w:trPr>
        <w:tc>
          <w:tcPr>
            <w:tcW w:w="1892" w:type="dxa"/>
            <w:vMerge/>
            <w:tcBorders>
              <w:top w:val="single" w:sz="4" w:space="0" w:color="000000"/>
              <w:left w:val="single" w:sz="4" w:space="0" w:color="000000"/>
              <w:right w:val="single" w:sz="4" w:space="0" w:color="auto"/>
            </w:tcBorders>
            <w:shd w:val="clear" w:color="auto" w:fill="auto"/>
            <w:tcMar>
              <w:top w:w="100" w:type="dxa"/>
              <w:left w:w="100" w:type="dxa"/>
              <w:bottom w:w="100" w:type="dxa"/>
              <w:right w:w="100" w:type="dxa"/>
            </w:tcMar>
          </w:tcPr>
          <w:p w14:paraId="3AA2B582" w14:textId="77777777" w:rsidR="002508D3" w:rsidRDefault="002508D3" w:rsidP="002508D3">
            <w:pPr>
              <w:widowControl w:val="0"/>
              <w:pBdr>
                <w:top w:val="nil"/>
                <w:left w:val="nil"/>
                <w:bottom w:val="nil"/>
                <w:right w:val="nil"/>
                <w:between w:val="nil"/>
              </w:pBdr>
              <w:spacing w:after="0"/>
              <w:ind w:hanging="37"/>
              <w:rPr>
                <w:rFonts w:eastAsia="Times New Roman" w:cs="Times New Roman"/>
                <w:color w:val="000000"/>
                <w:sz w:val="20"/>
                <w:szCs w:val="20"/>
              </w:rPr>
            </w:pPr>
          </w:p>
        </w:tc>
        <w:tc>
          <w:tcPr>
            <w:tcW w:w="2121" w:type="dxa"/>
            <w:vMerge/>
            <w:tcBorders>
              <w:left w:val="single" w:sz="4" w:space="0" w:color="auto"/>
              <w:right w:val="single" w:sz="4" w:space="0" w:color="auto"/>
            </w:tcBorders>
          </w:tcPr>
          <w:p w14:paraId="0F1A07E8"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74AE144A"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7.7.5 Inițierea și implementarea de proiecte pilot pentru valorificarea resursei stuficole în industria modei și de design, promovarea acestui tip de valorificare prin organizarea de târguri, expoziții, etc.</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54D3FE3" w14:textId="77777777" w:rsidR="002508D3" w:rsidRPr="002508D3" w:rsidRDefault="002508D3" w:rsidP="002508D3">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Medie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F98BB9D" w14:textId="77777777" w:rsidR="002508D3" w:rsidRPr="002508D3" w:rsidRDefault="002508D3" w:rsidP="002508D3">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16228D5" w14:textId="77777777"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MMAP (ARBDD), MCID (INCD-uri), ME (departamente cercetare din universități)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DC5796D" w14:textId="16BA945E" w:rsidR="002508D3" w:rsidRDefault="002508D3" w:rsidP="00473248">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Program Regional Sud-Est, PNRR, fonduri proprii MMAP (ARBDD), parteneriate public-privat</w:t>
            </w:r>
          </w:p>
        </w:tc>
      </w:tr>
      <w:tr w:rsidR="002508D3" w14:paraId="560AB24A" w14:textId="77777777" w:rsidTr="002508D3">
        <w:trPr>
          <w:trHeight w:val="72"/>
        </w:trPr>
        <w:tc>
          <w:tcPr>
            <w:tcW w:w="1892" w:type="dxa"/>
            <w:vMerge/>
            <w:tcBorders>
              <w:top w:val="single" w:sz="4" w:space="0" w:color="000000"/>
              <w:left w:val="single" w:sz="4" w:space="0" w:color="000000"/>
              <w:right w:val="single" w:sz="4" w:space="0" w:color="auto"/>
            </w:tcBorders>
            <w:shd w:val="clear" w:color="auto" w:fill="auto"/>
            <w:tcMar>
              <w:top w:w="100" w:type="dxa"/>
              <w:left w:w="100" w:type="dxa"/>
              <w:bottom w:w="100" w:type="dxa"/>
              <w:right w:w="100" w:type="dxa"/>
            </w:tcMar>
          </w:tcPr>
          <w:p w14:paraId="7AD37134" w14:textId="77777777" w:rsidR="002508D3" w:rsidRDefault="002508D3" w:rsidP="002508D3">
            <w:pPr>
              <w:widowControl w:val="0"/>
              <w:pBdr>
                <w:top w:val="nil"/>
                <w:left w:val="nil"/>
                <w:bottom w:val="nil"/>
                <w:right w:val="nil"/>
                <w:between w:val="nil"/>
              </w:pBdr>
              <w:spacing w:after="0"/>
              <w:ind w:hanging="37"/>
              <w:rPr>
                <w:rFonts w:eastAsia="Times New Roman" w:cs="Times New Roman"/>
                <w:color w:val="000000"/>
                <w:sz w:val="20"/>
                <w:szCs w:val="20"/>
              </w:rPr>
            </w:pPr>
          </w:p>
        </w:tc>
        <w:tc>
          <w:tcPr>
            <w:tcW w:w="2121" w:type="dxa"/>
            <w:vMerge/>
            <w:tcBorders>
              <w:left w:val="single" w:sz="4" w:space="0" w:color="auto"/>
              <w:bottom w:val="single" w:sz="4" w:space="0" w:color="auto"/>
              <w:right w:val="single" w:sz="4" w:space="0" w:color="auto"/>
            </w:tcBorders>
          </w:tcPr>
          <w:p w14:paraId="1CAABF38"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5D768D66"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7.7.6 Implementarea de proiecte pentru restaurarea zonelor de stufăriș afectate de degradare sau distrugere.</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81B7BE4" w14:textId="77777777" w:rsidR="002508D3" w:rsidRPr="002508D3" w:rsidRDefault="002508D3" w:rsidP="002508D3">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16C9AA4" w14:textId="77777777" w:rsidR="002508D3" w:rsidRPr="002508D3" w:rsidRDefault="002508D3" w:rsidP="002508D3">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E7563FC" w14:textId="77777777"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MMAP (ARBDD), MCID (INCDDD). ME (UOC)</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889B5A7" w14:textId="0EDAA6F4" w:rsidR="002508D3" w:rsidRDefault="002508D3" w:rsidP="00473248">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Program Regional Sud-Est, PNRR, fonduri proprii MMAP (ARBDD)</w:t>
            </w:r>
          </w:p>
        </w:tc>
      </w:tr>
      <w:tr w:rsidR="002508D3" w14:paraId="7D45D599" w14:textId="77777777" w:rsidTr="00473248">
        <w:trPr>
          <w:trHeight w:val="63"/>
        </w:trPr>
        <w:tc>
          <w:tcPr>
            <w:tcW w:w="1892" w:type="dxa"/>
            <w:vMerge w:val="restart"/>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7366AD00" w14:textId="77777777" w:rsidR="002508D3" w:rsidRDefault="002508D3" w:rsidP="002508D3">
            <w:pPr>
              <w:spacing w:after="0" w:line="240" w:lineRule="auto"/>
              <w:ind w:hanging="37"/>
              <w:rPr>
                <w:rFonts w:eastAsia="Times New Roman" w:cs="Times New Roman"/>
                <w:sz w:val="20"/>
                <w:szCs w:val="20"/>
              </w:rPr>
            </w:pPr>
            <w:r>
              <w:rPr>
                <w:rFonts w:eastAsia="Times New Roman" w:cs="Times New Roman"/>
                <w:sz w:val="20"/>
                <w:szCs w:val="20"/>
              </w:rPr>
              <w:t>M7.8 Aplicarea de către producătorii locali a noilor politici agricole</w:t>
            </w:r>
          </w:p>
        </w:tc>
        <w:tc>
          <w:tcPr>
            <w:tcW w:w="2121" w:type="dxa"/>
            <w:vMerge w:val="restart"/>
            <w:tcBorders>
              <w:top w:val="single" w:sz="4" w:space="0" w:color="auto"/>
              <w:left w:val="single" w:sz="4" w:space="0" w:color="auto"/>
              <w:bottom w:val="single" w:sz="4" w:space="0" w:color="auto"/>
              <w:right w:val="single" w:sz="4" w:space="0" w:color="auto"/>
            </w:tcBorders>
          </w:tcPr>
          <w:p w14:paraId="4507DD53" w14:textId="77777777" w:rsidR="002508D3" w:rsidRDefault="002508D3" w:rsidP="002508D3">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 xml:space="preserve">Os4.a Gestionarea durabilă a resurselor zonei de coastă; </w:t>
            </w:r>
          </w:p>
          <w:p w14:paraId="59C28A99" w14:textId="77777777" w:rsidR="002508D3" w:rsidRPr="00DD49F4" w:rsidRDefault="002508D3" w:rsidP="002508D3">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Os4.b Dezvoltarea “verde” a zonei costiere</w:t>
            </w:r>
          </w:p>
          <w:p w14:paraId="174BFA6F" w14:textId="77777777" w:rsidR="002508D3" w:rsidRDefault="002508D3" w:rsidP="002508D3">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lastRenderedPageBreak/>
              <w:t>Os6.b Creșterea gradului de conștientizare cu privire la necesitatea de a păstra și îmbunătăți resursele zonei de coastă.</w:t>
            </w: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58D3288C"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lastRenderedPageBreak/>
              <w:t xml:space="preserve">A 7.8.1 Implementarea de soluții moderne, inovative pentru eficientizarea producției agricole (utilizarea teledetecției în colectarea datelor spațiale, utilizarea dronelor pentru supraveghere, evaluare, măsurători sau pentru aplicarea de soluții/substanțe (ex. fertilizanți, pesticide), utilizarea softurilor pentru controlul și gestionarea </w:t>
            </w:r>
            <w:r>
              <w:rPr>
                <w:rFonts w:eastAsia="Times New Roman" w:cs="Times New Roman"/>
                <w:color w:val="000000"/>
                <w:sz w:val="20"/>
                <w:szCs w:val="20"/>
              </w:rPr>
              <w:lastRenderedPageBreak/>
              <w:t>eficientă a echipamentelor și a materialelor din ferme, etc)</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7C773DA" w14:textId="77777777" w:rsidR="002508D3" w:rsidRPr="002508D3" w:rsidRDefault="002508D3" w:rsidP="002508D3">
            <w:pPr>
              <w:pBdr>
                <w:top w:val="nil"/>
                <w:left w:val="nil"/>
                <w:bottom w:val="nil"/>
                <w:right w:val="nil"/>
                <w:between w:val="nil"/>
              </w:pBd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lastRenderedPageBreak/>
              <w:t>ridicată</w:t>
            </w:r>
          </w:p>
          <w:p w14:paraId="79B448BC" w14:textId="77777777" w:rsidR="002508D3" w:rsidRPr="002508D3" w:rsidRDefault="002508D3" w:rsidP="002508D3">
            <w:pPr>
              <w:spacing w:after="0" w:line="240" w:lineRule="auto"/>
              <w:ind w:firstLine="0"/>
              <w:rPr>
                <w:rFonts w:eastAsia="Times New Roman" w:cs="Times New Roman"/>
                <w:color w:val="000000"/>
                <w:sz w:val="20"/>
                <w:szCs w:val="22"/>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4574CA2" w14:textId="77777777" w:rsidR="002508D3" w:rsidRPr="002508D3" w:rsidRDefault="002508D3" w:rsidP="002508D3">
            <w:pPr>
              <w:pBdr>
                <w:top w:val="nil"/>
                <w:left w:val="nil"/>
                <w:bottom w:val="nil"/>
                <w:right w:val="nil"/>
                <w:between w:val="nil"/>
              </w:pBd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p w14:paraId="7423B1E6" w14:textId="77777777" w:rsidR="002508D3" w:rsidRPr="002508D3" w:rsidRDefault="002508D3" w:rsidP="002508D3">
            <w:pPr>
              <w:spacing w:after="0" w:line="240" w:lineRule="auto"/>
              <w:ind w:firstLine="0"/>
              <w:rPr>
                <w:rFonts w:eastAsia="Times New Roman" w:cs="Times New Roman"/>
                <w:color w:val="000000"/>
                <w:sz w:val="20"/>
                <w:szCs w:val="20"/>
              </w:rPr>
            </w:pPr>
            <w:r w:rsidRPr="002508D3">
              <w:rPr>
                <w:rFonts w:eastAsia="Times New Roman" w:cs="Times New Roman"/>
                <w:sz w:val="20"/>
                <w:szCs w:val="20"/>
              </w:rPr>
              <w:br/>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86CB699" w14:textId="77777777"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 MCID (INCD-uri), ME (universități)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DA5D0BE" w14:textId="77777777" w:rsidR="002508D3" w:rsidRDefault="002508D3" w:rsidP="00473248">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 xml:space="preserve">Programul pentru Promovarea Produselor Agricole (AGRIP), Planul strategic al Politicii Agricole Comune (PAC), </w:t>
            </w:r>
            <w:r>
              <w:rPr>
                <w:rFonts w:eastAsia="Times New Roman" w:cs="Times New Roman"/>
                <w:color w:val="000000"/>
                <w:sz w:val="20"/>
                <w:szCs w:val="20"/>
              </w:rPr>
              <w:lastRenderedPageBreak/>
              <w:t>Programul Regional Sud-Est, Horizon Europe și PNCDI IV. </w:t>
            </w:r>
          </w:p>
        </w:tc>
      </w:tr>
      <w:tr w:rsidR="002508D3" w14:paraId="3B7E0A42" w14:textId="77777777" w:rsidTr="00473248">
        <w:trPr>
          <w:trHeight w:val="63"/>
        </w:trPr>
        <w:tc>
          <w:tcPr>
            <w:tcW w:w="1892" w:type="dxa"/>
            <w:vMerge/>
            <w:tcBorders>
              <w:top w:val="single" w:sz="4" w:space="0" w:color="auto"/>
              <w:left w:val="single" w:sz="4" w:space="0" w:color="000000"/>
              <w:right w:val="single" w:sz="4" w:space="0" w:color="auto"/>
            </w:tcBorders>
            <w:shd w:val="clear" w:color="auto" w:fill="auto"/>
            <w:tcMar>
              <w:top w:w="100" w:type="dxa"/>
              <w:left w:w="100" w:type="dxa"/>
              <w:bottom w:w="100" w:type="dxa"/>
              <w:right w:w="100" w:type="dxa"/>
            </w:tcMar>
          </w:tcPr>
          <w:p w14:paraId="7B2040D8" w14:textId="77777777" w:rsidR="002508D3" w:rsidRDefault="002508D3" w:rsidP="002508D3">
            <w:pPr>
              <w:widowControl w:val="0"/>
              <w:pBdr>
                <w:top w:val="nil"/>
                <w:left w:val="nil"/>
                <w:bottom w:val="nil"/>
                <w:right w:val="nil"/>
                <w:between w:val="nil"/>
              </w:pBdr>
              <w:spacing w:after="0"/>
              <w:ind w:hanging="37"/>
              <w:rPr>
                <w:rFonts w:eastAsia="Times New Roman" w:cs="Times New Roman"/>
                <w:color w:val="000000"/>
                <w:sz w:val="20"/>
                <w:szCs w:val="20"/>
              </w:rPr>
            </w:pPr>
          </w:p>
        </w:tc>
        <w:tc>
          <w:tcPr>
            <w:tcW w:w="2121" w:type="dxa"/>
            <w:vMerge/>
            <w:tcBorders>
              <w:top w:val="single" w:sz="4" w:space="0" w:color="auto"/>
              <w:left w:val="single" w:sz="4" w:space="0" w:color="auto"/>
              <w:right w:val="single" w:sz="4" w:space="0" w:color="auto"/>
            </w:tcBorders>
          </w:tcPr>
          <w:p w14:paraId="1F649ED3"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722DBDF8"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7.8.2 Implementarea unor programe de gestiune computerizată în special pentru fermele mici și mijlocii</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FDDD192" w14:textId="77777777" w:rsidR="002508D3" w:rsidRPr="002508D3" w:rsidRDefault="002508D3" w:rsidP="002508D3">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Medie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BBDBF41" w14:textId="77777777" w:rsidR="002508D3" w:rsidRPr="002508D3" w:rsidRDefault="002508D3" w:rsidP="002508D3">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2027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95F0C10" w14:textId="77777777"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 MCID (INCD-uri), ME (universități)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E5E876B" w14:textId="77777777" w:rsidR="002508D3" w:rsidRDefault="002508D3" w:rsidP="00473248">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AGRIP, Planul strategic al Politicii Agricole Comune (PAC), PNCDI IV.</w:t>
            </w:r>
          </w:p>
        </w:tc>
      </w:tr>
      <w:tr w:rsidR="002508D3" w14:paraId="1A235AAC" w14:textId="77777777" w:rsidTr="002508D3">
        <w:trPr>
          <w:trHeight w:val="1080"/>
        </w:trPr>
        <w:tc>
          <w:tcPr>
            <w:tcW w:w="1892" w:type="dxa"/>
            <w:vMerge/>
            <w:tcBorders>
              <w:top w:val="single" w:sz="4" w:space="0" w:color="000000"/>
              <w:left w:val="single" w:sz="4" w:space="0" w:color="000000"/>
              <w:right w:val="single" w:sz="4" w:space="0" w:color="auto"/>
            </w:tcBorders>
            <w:shd w:val="clear" w:color="auto" w:fill="auto"/>
            <w:tcMar>
              <w:top w:w="100" w:type="dxa"/>
              <w:left w:w="100" w:type="dxa"/>
              <w:bottom w:w="100" w:type="dxa"/>
              <w:right w:w="100" w:type="dxa"/>
            </w:tcMar>
          </w:tcPr>
          <w:p w14:paraId="6D5C5F83" w14:textId="77777777" w:rsidR="002508D3" w:rsidRDefault="002508D3" w:rsidP="002508D3">
            <w:pPr>
              <w:widowControl w:val="0"/>
              <w:pBdr>
                <w:top w:val="nil"/>
                <w:left w:val="nil"/>
                <w:bottom w:val="nil"/>
                <w:right w:val="nil"/>
                <w:between w:val="nil"/>
              </w:pBdr>
              <w:spacing w:after="0"/>
              <w:ind w:hanging="37"/>
              <w:rPr>
                <w:rFonts w:eastAsia="Times New Roman" w:cs="Times New Roman"/>
                <w:color w:val="000000"/>
                <w:sz w:val="20"/>
                <w:szCs w:val="20"/>
              </w:rPr>
            </w:pPr>
          </w:p>
        </w:tc>
        <w:tc>
          <w:tcPr>
            <w:tcW w:w="2121" w:type="dxa"/>
            <w:vMerge/>
            <w:tcBorders>
              <w:left w:val="single" w:sz="4" w:space="0" w:color="auto"/>
              <w:right w:val="single" w:sz="4" w:space="0" w:color="auto"/>
            </w:tcBorders>
          </w:tcPr>
          <w:p w14:paraId="0BC9271E"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3EEE6D8F"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7.8.3 Programe de sprijin pentru asocierea comunităților de fermieri din zona costieră pentru creșterea eficienței în desfacerea produselor pe plan local în primul rând</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BEDE19C" w14:textId="77777777" w:rsidR="002508D3" w:rsidRPr="002508D3" w:rsidRDefault="002508D3" w:rsidP="002508D3">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FF515A2" w14:textId="77777777" w:rsidR="002508D3" w:rsidRPr="002508D3" w:rsidRDefault="002508D3" w:rsidP="002508D3">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2027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84BBA47" w14:textId="77777777"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C35E1C6" w14:textId="77777777" w:rsidR="002508D3" w:rsidRDefault="002508D3" w:rsidP="00473248">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Programul pentru Promovarea Produselor Agricole (AGRIP), Programul Piață Unică, </w:t>
            </w:r>
          </w:p>
        </w:tc>
      </w:tr>
      <w:tr w:rsidR="002508D3" w14:paraId="126E2B33" w14:textId="77777777" w:rsidTr="002508D3">
        <w:trPr>
          <w:trHeight w:val="63"/>
        </w:trPr>
        <w:tc>
          <w:tcPr>
            <w:tcW w:w="1892"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595A47FB" w14:textId="77777777" w:rsidR="002508D3" w:rsidRDefault="002508D3" w:rsidP="002508D3">
            <w:pPr>
              <w:widowControl w:val="0"/>
              <w:pBdr>
                <w:top w:val="nil"/>
                <w:left w:val="nil"/>
                <w:bottom w:val="nil"/>
                <w:right w:val="nil"/>
                <w:between w:val="nil"/>
              </w:pBdr>
              <w:spacing w:after="0"/>
              <w:ind w:hanging="37"/>
              <w:rPr>
                <w:rFonts w:eastAsia="Times New Roman" w:cs="Times New Roman"/>
                <w:color w:val="000000"/>
                <w:sz w:val="20"/>
                <w:szCs w:val="20"/>
              </w:rPr>
            </w:pPr>
          </w:p>
        </w:tc>
        <w:tc>
          <w:tcPr>
            <w:tcW w:w="2121" w:type="dxa"/>
            <w:vMerge/>
            <w:tcBorders>
              <w:left w:val="single" w:sz="4" w:space="0" w:color="auto"/>
              <w:bottom w:val="single" w:sz="4" w:space="0" w:color="auto"/>
              <w:right w:val="single" w:sz="4" w:space="0" w:color="auto"/>
            </w:tcBorders>
          </w:tcPr>
          <w:p w14:paraId="77885DAB"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457E6221"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7.8.4 Organizarea periodică de întâlniri între fermieri și alți antreprenori (operatori de turism, reprezentanți ai altor comunități de afaceri, reprezentanți ai comunităților locale) prin care să fie promovate ideile, schimburile și care să întărească comunitatea de afaceri din zona costieră, cu beneficii pentru toată zona litorală</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C877351" w14:textId="77777777" w:rsidR="002508D3" w:rsidRPr="002508D3" w:rsidRDefault="002508D3" w:rsidP="002508D3">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35FB069" w14:textId="77777777" w:rsidR="002508D3" w:rsidRPr="002508D3" w:rsidRDefault="002508D3" w:rsidP="002508D3">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8FF78A5" w14:textId="77777777"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MADR</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BC43D3D" w14:textId="77777777" w:rsidR="002508D3" w:rsidRDefault="002508D3" w:rsidP="00473248">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Programul pentru Promovarea Produselor Agricole (AGRIP), Programul Piață Unică</w:t>
            </w:r>
          </w:p>
        </w:tc>
      </w:tr>
      <w:tr w:rsidR="002508D3" w14:paraId="6253401E" w14:textId="77777777" w:rsidTr="002508D3">
        <w:trPr>
          <w:trHeight w:val="378"/>
        </w:trPr>
        <w:tc>
          <w:tcPr>
            <w:tcW w:w="1892" w:type="dxa"/>
            <w:vMerge w:val="restar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77BF56E" w14:textId="77777777" w:rsidR="002508D3" w:rsidRDefault="002508D3" w:rsidP="002508D3">
            <w:pPr>
              <w:spacing w:after="0" w:line="240" w:lineRule="auto"/>
              <w:ind w:hanging="37"/>
              <w:rPr>
                <w:rFonts w:eastAsia="Times New Roman" w:cs="Times New Roman"/>
                <w:sz w:val="20"/>
                <w:szCs w:val="20"/>
              </w:rPr>
            </w:pPr>
            <w:r>
              <w:rPr>
                <w:rFonts w:eastAsia="Times New Roman" w:cs="Times New Roman"/>
                <w:sz w:val="20"/>
                <w:szCs w:val="20"/>
              </w:rPr>
              <w:t>M7.9 Implementarea proiectelor de transport fluvial verde în Delta Dunării</w:t>
            </w:r>
          </w:p>
        </w:tc>
        <w:tc>
          <w:tcPr>
            <w:tcW w:w="2121" w:type="dxa"/>
            <w:vMerge w:val="restart"/>
            <w:tcBorders>
              <w:top w:val="single" w:sz="4" w:space="0" w:color="auto"/>
              <w:left w:val="single" w:sz="4" w:space="0" w:color="auto"/>
              <w:bottom w:val="single" w:sz="4" w:space="0" w:color="auto"/>
              <w:right w:val="single" w:sz="4" w:space="0" w:color="auto"/>
            </w:tcBorders>
          </w:tcPr>
          <w:p w14:paraId="598355C0" w14:textId="77777777" w:rsidR="002508D3" w:rsidRPr="00DD49F4" w:rsidRDefault="002508D3" w:rsidP="002508D3">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Os4.b Dezvoltarea “verde” a zonei costiere;</w:t>
            </w:r>
          </w:p>
          <w:p w14:paraId="1E7D89F5" w14:textId="77777777" w:rsidR="002508D3" w:rsidRDefault="002508D3" w:rsidP="002508D3">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 xml:space="preserve">Os6.b Creșterea gradului de conștientizare cu </w:t>
            </w:r>
            <w:r w:rsidRPr="00DD49F4">
              <w:rPr>
                <w:rFonts w:eastAsia="Times New Roman" w:cs="Times New Roman"/>
                <w:color w:val="000000"/>
                <w:sz w:val="20"/>
                <w:szCs w:val="20"/>
              </w:rPr>
              <w:lastRenderedPageBreak/>
              <w:t>privire la necesitatea de a păstra și îmbunătăți resursele zonei de coastă.</w:t>
            </w: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5122425C"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lastRenderedPageBreak/>
              <w:t>A 7.9.1 Realizarea de campanii de conștientizare a operatorilor de transport fluvial, a operatorilor turistici, precum și a asociațiilor de pescari privind efectele negative ale transportului fluvial cu combustibili convenționali asupra stării ecosistemului deltaic și a serviciilor furnizate de către acesta comunității locale</w:t>
            </w:r>
          </w:p>
        </w:tc>
        <w:tc>
          <w:tcPr>
            <w:tcW w:w="1277"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2A58B2C4" w14:textId="77777777" w:rsidR="002508D3" w:rsidRPr="002508D3" w:rsidRDefault="002508D3" w:rsidP="002508D3">
            <w:pPr>
              <w:spacing w:after="0" w:line="240" w:lineRule="auto"/>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27CEDFE6" w14:textId="77777777" w:rsidR="002508D3" w:rsidRPr="002508D3" w:rsidRDefault="002508D3" w:rsidP="002508D3">
            <w:pPr>
              <w:spacing w:after="0" w:line="240" w:lineRule="auto"/>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vMerge w:val="restart"/>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46703419" w14:textId="77777777" w:rsidR="002508D3" w:rsidRPr="00473248" w:rsidRDefault="002508D3" w:rsidP="00473248">
            <w:pPr>
              <w:spacing w:after="0" w:line="240" w:lineRule="auto"/>
              <w:ind w:firstLine="0"/>
              <w:rPr>
                <w:rFonts w:eastAsia="Times New Roman" w:cs="Times New Roman"/>
                <w:color w:val="000000"/>
                <w:sz w:val="20"/>
                <w:szCs w:val="20"/>
              </w:rPr>
            </w:pPr>
          </w:p>
          <w:p w14:paraId="598B901A" w14:textId="77777777"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MT, MMAP (ARBDD)</w:t>
            </w:r>
          </w:p>
        </w:tc>
        <w:tc>
          <w:tcPr>
            <w:tcW w:w="1701" w:type="dxa"/>
            <w:vMerge w:val="restart"/>
            <w:tcBorders>
              <w:top w:val="single" w:sz="4" w:space="0" w:color="000000"/>
              <w:left w:val="single" w:sz="4" w:space="0" w:color="000000"/>
              <w:bottom w:val="single" w:sz="4" w:space="0" w:color="auto"/>
              <w:right w:val="single" w:sz="4" w:space="0" w:color="000000"/>
            </w:tcBorders>
            <w:tcMar>
              <w:top w:w="0" w:type="dxa"/>
              <w:left w:w="100" w:type="dxa"/>
              <w:bottom w:w="0" w:type="dxa"/>
              <w:right w:w="100" w:type="dxa"/>
            </w:tcMar>
          </w:tcPr>
          <w:p w14:paraId="5A241A4C" w14:textId="77777777" w:rsidR="002508D3" w:rsidRDefault="002508D3" w:rsidP="00473248">
            <w:pPr>
              <w:spacing w:after="0" w:line="240" w:lineRule="auto"/>
              <w:ind w:firstLine="0"/>
              <w:rPr>
                <w:rFonts w:eastAsia="Times New Roman" w:cs="Times New Roman"/>
                <w:sz w:val="20"/>
                <w:szCs w:val="20"/>
              </w:rPr>
            </w:pPr>
          </w:p>
          <w:p w14:paraId="3611C22E" w14:textId="77777777" w:rsidR="002508D3" w:rsidRDefault="002508D3" w:rsidP="00473248">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 xml:space="preserve">Programul Regional Sud-Est, PNRR, parteneriate public-privat, </w:t>
            </w:r>
            <w:r>
              <w:rPr>
                <w:rFonts w:eastAsia="Times New Roman" w:cs="Times New Roman"/>
                <w:color w:val="000000"/>
                <w:sz w:val="20"/>
                <w:szCs w:val="20"/>
              </w:rPr>
              <w:lastRenderedPageBreak/>
              <w:t>fonduri proprii MTI și MMAP</w:t>
            </w:r>
          </w:p>
        </w:tc>
      </w:tr>
      <w:tr w:rsidR="002508D3" w14:paraId="5B64CE0C" w14:textId="77777777" w:rsidTr="002508D3">
        <w:trPr>
          <w:trHeight w:val="378"/>
        </w:trPr>
        <w:tc>
          <w:tcPr>
            <w:tcW w:w="1892"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ECF9DD5" w14:textId="77777777" w:rsidR="002508D3" w:rsidRDefault="002508D3" w:rsidP="002508D3">
            <w:pPr>
              <w:widowControl w:val="0"/>
              <w:pBdr>
                <w:top w:val="nil"/>
                <w:left w:val="nil"/>
                <w:bottom w:val="nil"/>
                <w:right w:val="nil"/>
                <w:between w:val="nil"/>
              </w:pBdr>
              <w:spacing w:after="0"/>
              <w:ind w:hanging="37"/>
              <w:rPr>
                <w:rFonts w:eastAsia="Times New Roman" w:cs="Times New Roman"/>
                <w:color w:val="000000"/>
                <w:sz w:val="20"/>
                <w:szCs w:val="20"/>
              </w:rPr>
            </w:pPr>
          </w:p>
        </w:tc>
        <w:tc>
          <w:tcPr>
            <w:tcW w:w="2121" w:type="dxa"/>
            <w:vMerge/>
            <w:tcBorders>
              <w:top w:val="single" w:sz="4" w:space="0" w:color="auto"/>
              <w:left w:val="single" w:sz="4" w:space="0" w:color="auto"/>
              <w:right w:val="single" w:sz="4" w:space="0" w:color="auto"/>
            </w:tcBorders>
          </w:tcPr>
          <w:p w14:paraId="6DE6D389"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4B4E22D5"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7.9.2 Inițierea și implementarea unor proiecte pilot pentru testarea unor soluțiii de transport bazat pe surse neconvenționale</w:t>
            </w:r>
          </w:p>
        </w:tc>
        <w:tc>
          <w:tcPr>
            <w:tcW w:w="1277"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F9B2D28" w14:textId="77777777" w:rsidR="002508D3" w:rsidRPr="002508D3" w:rsidRDefault="002508D3" w:rsidP="002508D3">
            <w:pPr>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F2020F6" w14:textId="77777777" w:rsidR="002508D3" w:rsidRPr="002508D3" w:rsidRDefault="002508D3" w:rsidP="002508D3">
            <w:pPr>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vMerge/>
            <w:tcBorders>
              <w:top w:val="single" w:sz="4" w:space="0" w:color="auto"/>
              <w:left w:val="single" w:sz="4" w:space="0" w:color="000000"/>
              <w:right w:val="single" w:sz="4" w:space="0" w:color="000000"/>
            </w:tcBorders>
            <w:shd w:val="clear" w:color="auto" w:fill="auto"/>
            <w:tcMar>
              <w:top w:w="0" w:type="dxa"/>
              <w:left w:w="100" w:type="dxa"/>
              <w:bottom w:w="0" w:type="dxa"/>
              <w:right w:w="100" w:type="dxa"/>
            </w:tcMar>
          </w:tcPr>
          <w:p w14:paraId="1E9D5782" w14:textId="77777777" w:rsidR="002508D3" w:rsidRPr="00473248" w:rsidRDefault="002508D3" w:rsidP="00473248">
            <w:pPr>
              <w:widowControl w:val="0"/>
              <w:pBdr>
                <w:top w:val="nil"/>
                <w:left w:val="nil"/>
                <w:bottom w:val="nil"/>
                <w:right w:val="nil"/>
                <w:between w:val="nil"/>
              </w:pBdr>
              <w:spacing w:after="0"/>
              <w:ind w:firstLine="0"/>
              <w:rPr>
                <w:rFonts w:eastAsia="Times New Roman" w:cs="Times New Roman"/>
                <w:color w:val="000000"/>
                <w:sz w:val="20"/>
                <w:szCs w:val="20"/>
              </w:rPr>
            </w:pPr>
          </w:p>
        </w:tc>
        <w:tc>
          <w:tcPr>
            <w:tcW w:w="1701" w:type="dxa"/>
            <w:vMerge/>
            <w:tcBorders>
              <w:top w:val="single" w:sz="4" w:space="0" w:color="auto"/>
              <w:left w:val="single" w:sz="4" w:space="0" w:color="000000"/>
              <w:bottom w:val="single" w:sz="4" w:space="0" w:color="000000"/>
              <w:right w:val="single" w:sz="4" w:space="0" w:color="000000"/>
            </w:tcBorders>
            <w:tcMar>
              <w:top w:w="0" w:type="dxa"/>
              <w:left w:w="100" w:type="dxa"/>
              <w:bottom w:w="0" w:type="dxa"/>
              <w:right w:w="100" w:type="dxa"/>
            </w:tcMar>
          </w:tcPr>
          <w:p w14:paraId="1532DD69" w14:textId="77777777" w:rsidR="002508D3" w:rsidRDefault="002508D3" w:rsidP="00473248">
            <w:pPr>
              <w:widowControl w:val="0"/>
              <w:pBdr>
                <w:top w:val="nil"/>
                <w:left w:val="nil"/>
                <w:bottom w:val="nil"/>
                <w:right w:val="nil"/>
                <w:between w:val="nil"/>
              </w:pBdr>
              <w:spacing w:after="0"/>
              <w:ind w:firstLine="0"/>
              <w:rPr>
                <w:rFonts w:eastAsia="Times New Roman" w:cs="Times New Roman"/>
                <w:color w:val="000000"/>
              </w:rPr>
            </w:pPr>
          </w:p>
        </w:tc>
      </w:tr>
      <w:tr w:rsidR="002508D3" w14:paraId="7D9E0EAA" w14:textId="77777777" w:rsidTr="002508D3">
        <w:trPr>
          <w:trHeight w:val="378"/>
        </w:trPr>
        <w:tc>
          <w:tcPr>
            <w:tcW w:w="1892"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5419872" w14:textId="77777777" w:rsidR="002508D3" w:rsidRDefault="002508D3" w:rsidP="002508D3">
            <w:pPr>
              <w:widowControl w:val="0"/>
              <w:pBdr>
                <w:top w:val="nil"/>
                <w:left w:val="nil"/>
                <w:bottom w:val="nil"/>
                <w:right w:val="nil"/>
                <w:between w:val="nil"/>
              </w:pBdr>
              <w:spacing w:after="0"/>
              <w:ind w:hanging="37"/>
              <w:rPr>
                <w:rFonts w:eastAsia="Times New Roman" w:cs="Times New Roman"/>
                <w:color w:val="000000"/>
              </w:rPr>
            </w:pPr>
          </w:p>
        </w:tc>
        <w:tc>
          <w:tcPr>
            <w:tcW w:w="2121" w:type="dxa"/>
            <w:vMerge/>
            <w:tcBorders>
              <w:left w:val="single" w:sz="4" w:space="0" w:color="auto"/>
              <w:right w:val="single" w:sz="4" w:space="0" w:color="auto"/>
            </w:tcBorders>
          </w:tcPr>
          <w:p w14:paraId="00823173"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1DAFA8B3"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7.9.3 Identificarea unor mecanisme financiare de stimulare a folosirii ambarcațiunilor ce folosesc combustibili neconvenționali (“transportului verde”)</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6E79D0A" w14:textId="77777777" w:rsidR="002508D3" w:rsidRPr="002508D3" w:rsidRDefault="002508D3" w:rsidP="002508D3">
            <w:pPr>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E806EF3" w14:textId="77777777" w:rsidR="002508D3" w:rsidRPr="002508D3" w:rsidRDefault="002508D3" w:rsidP="002508D3">
            <w:pPr>
              <w:ind w:firstLine="0"/>
              <w:rPr>
                <w:rFonts w:eastAsia="Times New Roman" w:cs="Times New Roman"/>
                <w:color w:val="000000"/>
                <w:sz w:val="20"/>
                <w:szCs w:val="20"/>
              </w:rPr>
            </w:pPr>
            <w:r w:rsidRPr="002508D3">
              <w:rPr>
                <w:rFonts w:eastAsia="Times New Roman" w:cs="Times New Roman"/>
                <w:color w:val="000000"/>
                <w:sz w:val="20"/>
                <w:szCs w:val="20"/>
              </w:rPr>
              <w:t>2025</w:t>
            </w:r>
          </w:p>
        </w:tc>
        <w:tc>
          <w:tcPr>
            <w:tcW w:w="1419" w:type="dxa"/>
            <w:vMerge/>
            <w:tcBorders>
              <w:top w:val="single" w:sz="4" w:space="0" w:color="000000"/>
              <w:left w:val="single" w:sz="4" w:space="0" w:color="000000"/>
              <w:right w:val="single" w:sz="4" w:space="0" w:color="000000"/>
            </w:tcBorders>
            <w:shd w:val="clear" w:color="auto" w:fill="auto"/>
            <w:tcMar>
              <w:top w:w="0" w:type="dxa"/>
              <w:left w:w="100" w:type="dxa"/>
              <w:bottom w:w="0" w:type="dxa"/>
              <w:right w:w="100" w:type="dxa"/>
            </w:tcMar>
          </w:tcPr>
          <w:p w14:paraId="102D2823" w14:textId="77777777" w:rsidR="002508D3" w:rsidRPr="00473248" w:rsidRDefault="002508D3" w:rsidP="00473248">
            <w:pPr>
              <w:widowControl w:val="0"/>
              <w:pBdr>
                <w:top w:val="nil"/>
                <w:left w:val="nil"/>
                <w:bottom w:val="nil"/>
                <w:right w:val="nil"/>
                <w:between w:val="nil"/>
              </w:pBdr>
              <w:spacing w:after="0"/>
              <w:ind w:firstLine="0"/>
              <w:rPr>
                <w:rFonts w:eastAsia="Times New Roman" w:cs="Times New Roman"/>
                <w:color w:val="000000"/>
                <w:sz w:val="20"/>
                <w:szCs w:val="20"/>
              </w:rPr>
            </w:pPr>
          </w:p>
        </w:tc>
        <w:tc>
          <w:tcPr>
            <w:tcW w:w="1701" w:type="dxa"/>
            <w:vMerge w:val="restart"/>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2F69819C" w14:textId="77777777" w:rsidR="002508D3" w:rsidRDefault="002508D3" w:rsidP="00473248">
            <w:pPr>
              <w:ind w:firstLine="0"/>
              <w:rPr>
                <w:rFonts w:eastAsia="Times New Roman" w:cs="Times New Roman"/>
                <w:color w:val="000000"/>
              </w:rPr>
            </w:pPr>
            <w:r>
              <w:rPr>
                <w:rFonts w:eastAsia="Times New Roman" w:cs="Times New Roman"/>
                <w:color w:val="000000"/>
              </w:rPr>
              <w:t>fonduri proprii MTI și MMAP</w:t>
            </w:r>
          </w:p>
        </w:tc>
      </w:tr>
      <w:tr w:rsidR="002508D3" w14:paraId="2E48D868" w14:textId="77777777" w:rsidTr="002508D3">
        <w:trPr>
          <w:trHeight w:val="378"/>
        </w:trPr>
        <w:tc>
          <w:tcPr>
            <w:tcW w:w="1892"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3A59D86" w14:textId="77777777" w:rsidR="002508D3" w:rsidRDefault="002508D3" w:rsidP="002508D3">
            <w:pPr>
              <w:widowControl w:val="0"/>
              <w:pBdr>
                <w:top w:val="nil"/>
                <w:left w:val="nil"/>
                <w:bottom w:val="nil"/>
                <w:right w:val="nil"/>
                <w:between w:val="nil"/>
              </w:pBdr>
              <w:spacing w:after="0"/>
              <w:ind w:hanging="37"/>
              <w:rPr>
                <w:rFonts w:eastAsia="Times New Roman" w:cs="Times New Roman"/>
                <w:color w:val="000000"/>
              </w:rPr>
            </w:pPr>
          </w:p>
        </w:tc>
        <w:tc>
          <w:tcPr>
            <w:tcW w:w="2121" w:type="dxa"/>
            <w:vMerge/>
            <w:tcBorders>
              <w:left w:val="single" w:sz="4" w:space="0" w:color="auto"/>
              <w:bottom w:val="single" w:sz="4" w:space="0" w:color="auto"/>
              <w:right w:val="single" w:sz="4" w:space="0" w:color="auto"/>
            </w:tcBorders>
          </w:tcPr>
          <w:p w14:paraId="7398EAA1"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4C6E113B"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7.9.4 Identificarea unor mecanisme financiare de stimulare a operatorilor de transport, turistici și pescarilor pentru scoaterea din uz a ambarcațiunilor cu motoare vechi, poluante</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597F042" w14:textId="77777777" w:rsidR="002508D3" w:rsidRPr="002508D3" w:rsidRDefault="002508D3" w:rsidP="002508D3">
            <w:pPr>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0E8D611" w14:textId="77777777" w:rsidR="002508D3" w:rsidRPr="002508D3" w:rsidRDefault="002508D3" w:rsidP="002508D3">
            <w:pPr>
              <w:ind w:firstLine="0"/>
              <w:rPr>
                <w:rFonts w:eastAsia="Times New Roman" w:cs="Times New Roman"/>
                <w:color w:val="000000"/>
                <w:sz w:val="20"/>
                <w:szCs w:val="20"/>
              </w:rPr>
            </w:pPr>
            <w:r w:rsidRPr="002508D3">
              <w:rPr>
                <w:rFonts w:eastAsia="Times New Roman" w:cs="Times New Roman"/>
                <w:color w:val="000000"/>
                <w:sz w:val="20"/>
                <w:szCs w:val="20"/>
              </w:rPr>
              <w:t>2025</w:t>
            </w:r>
          </w:p>
        </w:tc>
        <w:tc>
          <w:tcPr>
            <w:tcW w:w="1419" w:type="dxa"/>
            <w:vMerge/>
            <w:tcBorders>
              <w:top w:val="single" w:sz="4" w:space="0" w:color="000000"/>
              <w:left w:val="single" w:sz="4" w:space="0" w:color="000000"/>
              <w:right w:val="single" w:sz="4" w:space="0" w:color="000000"/>
            </w:tcBorders>
            <w:shd w:val="clear" w:color="auto" w:fill="auto"/>
            <w:tcMar>
              <w:top w:w="0" w:type="dxa"/>
              <w:left w:w="100" w:type="dxa"/>
              <w:bottom w:w="0" w:type="dxa"/>
              <w:right w:w="100" w:type="dxa"/>
            </w:tcMar>
          </w:tcPr>
          <w:p w14:paraId="1F690599" w14:textId="77777777" w:rsidR="002508D3" w:rsidRPr="00473248" w:rsidRDefault="002508D3" w:rsidP="00473248">
            <w:pPr>
              <w:widowControl w:val="0"/>
              <w:pBdr>
                <w:top w:val="nil"/>
                <w:left w:val="nil"/>
                <w:bottom w:val="nil"/>
                <w:right w:val="nil"/>
                <w:between w:val="nil"/>
              </w:pBdr>
              <w:spacing w:after="0"/>
              <w:ind w:firstLine="0"/>
              <w:rPr>
                <w:rFonts w:eastAsia="Times New Roman" w:cs="Times New Roman"/>
                <w:color w:val="000000"/>
                <w:sz w:val="20"/>
                <w:szCs w:val="20"/>
              </w:rPr>
            </w:pPr>
          </w:p>
        </w:tc>
        <w:tc>
          <w:tcPr>
            <w:tcW w:w="1701" w:type="dxa"/>
            <w:vMerge/>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1B0873A2" w14:textId="77777777" w:rsidR="002508D3" w:rsidRDefault="002508D3" w:rsidP="00473248">
            <w:pPr>
              <w:widowControl w:val="0"/>
              <w:pBdr>
                <w:top w:val="nil"/>
                <w:left w:val="nil"/>
                <w:bottom w:val="nil"/>
                <w:right w:val="nil"/>
                <w:between w:val="nil"/>
              </w:pBdr>
              <w:spacing w:after="0"/>
              <w:ind w:firstLine="0"/>
              <w:rPr>
                <w:rFonts w:eastAsia="Times New Roman" w:cs="Times New Roman"/>
                <w:color w:val="000000"/>
              </w:rPr>
            </w:pPr>
          </w:p>
        </w:tc>
      </w:tr>
      <w:tr w:rsidR="002508D3" w14:paraId="2FDE6D95" w14:textId="77777777" w:rsidTr="00473248">
        <w:trPr>
          <w:trHeight w:val="468"/>
        </w:trPr>
        <w:tc>
          <w:tcPr>
            <w:tcW w:w="1892" w:type="dxa"/>
            <w:vMerge w:val="restar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BA2DD5B" w14:textId="77777777" w:rsidR="002508D3" w:rsidRDefault="002508D3" w:rsidP="002508D3">
            <w:pPr>
              <w:spacing w:after="0"/>
              <w:ind w:hanging="37"/>
              <w:rPr>
                <w:rFonts w:eastAsia="Times New Roman" w:cs="Times New Roman"/>
              </w:rPr>
            </w:pPr>
          </w:p>
          <w:p w14:paraId="7212C226" w14:textId="77777777" w:rsidR="002508D3" w:rsidRPr="005E6631" w:rsidRDefault="002508D3" w:rsidP="002508D3">
            <w:pPr>
              <w:spacing w:after="0"/>
              <w:ind w:hanging="37"/>
              <w:rPr>
                <w:rFonts w:eastAsia="Times New Roman" w:cs="Times New Roman"/>
                <w:sz w:val="20"/>
              </w:rPr>
            </w:pPr>
            <w:r w:rsidRPr="005E6631">
              <w:rPr>
                <w:rFonts w:eastAsia="Times New Roman" w:cs="Times New Roman"/>
                <w:sz w:val="20"/>
              </w:rPr>
              <w:t>M7.10 Dezvoltarea porturilor “verzi” la litoralul românesc al Mării Negre</w:t>
            </w:r>
          </w:p>
          <w:p w14:paraId="54AF20B1" w14:textId="77777777" w:rsidR="002508D3" w:rsidRDefault="002508D3" w:rsidP="002508D3">
            <w:pPr>
              <w:spacing w:after="0"/>
              <w:ind w:hanging="37"/>
              <w:rPr>
                <w:rFonts w:eastAsia="Times New Roman" w:cs="Times New Roman"/>
              </w:rPr>
            </w:pPr>
          </w:p>
        </w:tc>
        <w:tc>
          <w:tcPr>
            <w:tcW w:w="2121" w:type="dxa"/>
            <w:vMerge w:val="restart"/>
            <w:tcBorders>
              <w:top w:val="single" w:sz="4" w:space="0" w:color="auto"/>
              <w:left w:val="single" w:sz="4" w:space="0" w:color="auto"/>
              <w:right w:val="single" w:sz="4" w:space="0" w:color="auto"/>
            </w:tcBorders>
          </w:tcPr>
          <w:p w14:paraId="5D860DED" w14:textId="77777777" w:rsidR="002508D3" w:rsidRPr="00DD49F4" w:rsidRDefault="002508D3" w:rsidP="002508D3">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Os4.b Dezvoltarea “verde” a zonei costiere</w:t>
            </w:r>
          </w:p>
          <w:p w14:paraId="7AD11EF3" w14:textId="77777777" w:rsidR="002508D3" w:rsidRDefault="002508D3" w:rsidP="002508D3">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Os2.c Stimularea dezvoltării infrastructurii verzi</w:t>
            </w: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439D5906"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7.10.1 Implementarea unor proiecte pentru realizarea unui design ecologic al porturilor, care include perdele forestiere, ce contribuie la reducerea poluării atmosferice.</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66D01B1" w14:textId="77777777" w:rsidR="002508D3" w:rsidRPr="002508D3" w:rsidRDefault="002508D3" w:rsidP="002508D3">
            <w:pPr>
              <w:spacing w:after="0"/>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EE693DB" w14:textId="77777777" w:rsidR="002508D3" w:rsidRPr="002508D3" w:rsidRDefault="002508D3" w:rsidP="002508D3">
            <w:pPr>
              <w:spacing w:after="0"/>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0EC30703" w14:textId="77777777"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CN APM, ME (departamente de cercetare ale universităților)</w:t>
            </w:r>
          </w:p>
        </w:tc>
        <w:tc>
          <w:tcPr>
            <w:tcW w:w="1701"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6AF0B862" w14:textId="4B14A119" w:rsidR="002508D3" w:rsidRPr="00B165F8" w:rsidRDefault="002508D3" w:rsidP="00473248">
            <w:pPr>
              <w:spacing w:after="0" w:line="240" w:lineRule="auto"/>
              <w:ind w:firstLine="0"/>
              <w:rPr>
                <w:rFonts w:eastAsia="Times New Roman" w:cs="Times New Roman"/>
                <w:color w:val="000000"/>
                <w:sz w:val="20"/>
              </w:rPr>
            </w:pPr>
            <w:r w:rsidRPr="00B165F8">
              <w:rPr>
                <w:rFonts w:eastAsia="Times New Roman" w:cs="Times New Roman"/>
                <w:color w:val="000000"/>
                <w:sz w:val="20"/>
              </w:rPr>
              <w:t>Buget CN APM, PNRR, Programul (Interreg VI-B) NEXT Bazinul Mării Negre</w:t>
            </w:r>
            <w:r w:rsidR="00E65A44">
              <w:rPr>
                <w:rFonts w:eastAsia="Times New Roman" w:cs="Times New Roman"/>
                <w:color w:val="000000"/>
                <w:sz w:val="20"/>
              </w:rPr>
              <w:t xml:space="preserve"> </w:t>
            </w:r>
            <w:r w:rsidRPr="00B165F8">
              <w:rPr>
                <w:rFonts w:eastAsia="Times New Roman" w:cs="Times New Roman"/>
                <w:color w:val="000000"/>
                <w:sz w:val="20"/>
              </w:rPr>
              <w:t>și Programul INTERREG EUROPE 2021-2027.</w:t>
            </w:r>
          </w:p>
        </w:tc>
      </w:tr>
      <w:tr w:rsidR="002508D3" w14:paraId="6321C2F1" w14:textId="77777777" w:rsidTr="00473248">
        <w:trPr>
          <w:trHeight w:val="741"/>
        </w:trPr>
        <w:tc>
          <w:tcPr>
            <w:tcW w:w="1892"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1EA8DA" w14:textId="77777777" w:rsidR="002508D3" w:rsidRDefault="002508D3" w:rsidP="002508D3">
            <w:pPr>
              <w:widowControl w:val="0"/>
              <w:pBdr>
                <w:top w:val="nil"/>
                <w:left w:val="nil"/>
                <w:bottom w:val="nil"/>
                <w:right w:val="nil"/>
                <w:between w:val="nil"/>
              </w:pBdr>
              <w:spacing w:after="0"/>
              <w:ind w:hanging="37"/>
              <w:rPr>
                <w:rFonts w:eastAsia="Times New Roman" w:cs="Times New Roman"/>
                <w:color w:val="000000"/>
              </w:rPr>
            </w:pPr>
          </w:p>
        </w:tc>
        <w:tc>
          <w:tcPr>
            <w:tcW w:w="2121" w:type="dxa"/>
            <w:vMerge/>
            <w:tcBorders>
              <w:left w:val="single" w:sz="4" w:space="0" w:color="auto"/>
              <w:bottom w:val="single" w:sz="4" w:space="0" w:color="auto"/>
              <w:right w:val="single" w:sz="4" w:space="0" w:color="auto"/>
            </w:tcBorders>
          </w:tcPr>
          <w:p w14:paraId="4A405DC1"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2259958D"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7.10.2 Implementarea proiectelor privind utilizarea surselor de energie regenerabilă în operațiunile și activitățile portuare (inclusiv transport).</w:t>
            </w:r>
          </w:p>
        </w:tc>
        <w:tc>
          <w:tcPr>
            <w:tcW w:w="1277"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61CB03EF" w14:textId="77777777" w:rsidR="002508D3" w:rsidRPr="002508D3" w:rsidRDefault="002508D3" w:rsidP="002508D3">
            <w:pPr>
              <w:spacing w:after="0"/>
              <w:ind w:firstLine="0"/>
              <w:rPr>
                <w:rFonts w:eastAsia="Times New Roman" w:cs="Times New Roman"/>
                <w:color w:val="000000"/>
                <w:sz w:val="20"/>
                <w:szCs w:val="22"/>
              </w:rPr>
            </w:pPr>
            <w:r w:rsidRPr="002508D3">
              <w:rPr>
                <w:rFonts w:eastAsia="Times New Roman" w:cs="Times New Roman"/>
                <w:color w:val="000000"/>
                <w:sz w:val="20"/>
                <w:szCs w:val="22"/>
              </w:rPr>
              <w:t>Medie</w:t>
            </w:r>
          </w:p>
        </w:tc>
        <w:tc>
          <w:tcPr>
            <w:tcW w:w="1418"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4462CD21" w14:textId="77777777" w:rsidR="002508D3" w:rsidRPr="002508D3" w:rsidRDefault="002508D3" w:rsidP="002508D3">
            <w:pPr>
              <w:spacing w:after="0"/>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auto"/>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1D6434A5" w14:textId="77777777"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CN APM, MCID (INCD-uri), ME (departamente de cercetare din universități)</w:t>
            </w:r>
          </w:p>
        </w:tc>
        <w:tc>
          <w:tcPr>
            <w:tcW w:w="1701" w:type="dxa"/>
            <w:tcBorders>
              <w:top w:val="single" w:sz="4" w:space="0" w:color="auto"/>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284466A0" w14:textId="75439915" w:rsidR="002508D3" w:rsidRPr="00B165F8" w:rsidRDefault="002508D3" w:rsidP="00473248">
            <w:pPr>
              <w:spacing w:after="0" w:line="240" w:lineRule="auto"/>
              <w:ind w:firstLine="0"/>
              <w:rPr>
                <w:rFonts w:eastAsia="Times New Roman" w:cs="Times New Roman"/>
                <w:color w:val="000000"/>
                <w:sz w:val="20"/>
              </w:rPr>
            </w:pPr>
            <w:r w:rsidRPr="00B165F8">
              <w:rPr>
                <w:rFonts w:eastAsia="Times New Roman" w:cs="Times New Roman"/>
                <w:color w:val="000000"/>
                <w:sz w:val="20"/>
              </w:rPr>
              <w:t>Buget CN APM, PNCDI IV, PNRR, Programul INTERREG EUROPE 2021-2027.</w:t>
            </w:r>
          </w:p>
        </w:tc>
      </w:tr>
      <w:tr w:rsidR="002508D3" w14:paraId="6EA5A876" w14:textId="77777777" w:rsidTr="002508D3">
        <w:trPr>
          <w:trHeight w:val="144"/>
        </w:trPr>
        <w:tc>
          <w:tcPr>
            <w:tcW w:w="1892"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14087F2" w14:textId="77777777" w:rsidR="002508D3" w:rsidRDefault="002508D3" w:rsidP="002508D3">
            <w:pPr>
              <w:widowControl w:val="0"/>
              <w:pBdr>
                <w:top w:val="nil"/>
                <w:left w:val="nil"/>
                <w:bottom w:val="nil"/>
                <w:right w:val="nil"/>
                <w:between w:val="nil"/>
              </w:pBdr>
              <w:spacing w:after="0"/>
              <w:ind w:hanging="37"/>
              <w:rPr>
                <w:rFonts w:eastAsia="Times New Roman" w:cs="Times New Roman"/>
                <w:color w:val="000000"/>
              </w:rPr>
            </w:pPr>
          </w:p>
        </w:tc>
        <w:tc>
          <w:tcPr>
            <w:tcW w:w="2121" w:type="dxa"/>
            <w:vMerge/>
            <w:tcBorders>
              <w:top w:val="single" w:sz="4" w:space="0" w:color="auto"/>
              <w:left w:val="single" w:sz="4" w:space="0" w:color="auto"/>
              <w:bottom w:val="single" w:sz="4" w:space="0" w:color="auto"/>
              <w:right w:val="single" w:sz="4" w:space="0" w:color="auto"/>
            </w:tcBorders>
          </w:tcPr>
          <w:p w14:paraId="43AC1413"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3B8AE97B"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 xml:space="preserve">A 7.10.3 Identificarea și aplicarea de soluții moderne pentru tratarea și reciclarea deșeurilor de </w:t>
            </w:r>
            <w:r>
              <w:rPr>
                <w:rFonts w:eastAsia="Times New Roman" w:cs="Times New Roman"/>
                <w:color w:val="000000"/>
                <w:sz w:val="20"/>
                <w:szCs w:val="20"/>
              </w:rPr>
              <w:lastRenderedPageBreak/>
              <w:t>la nave, precum și a celor rezultate din diverse activități portuare.</w:t>
            </w:r>
          </w:p>
        </w:tc>
        <w:tc>
          <w:tcPr>
            <w:tcW w:w="1277"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B2BDF96" w14:textId="77777777" w:rsidR="002508D3" w:rsidRPr="002508D3" w:rsidRDefault="002508D3" w:rsidP="002508D3">
            <w:pPr>
              <w:spacing w:after="0"/>
              <w:ind w:firstLine="0"/>
              <w:rPr>
                <w:rFonts w:eastAsia="Times New Roman" w:cs="Times New Roman"/>
                <w:color w:val="000000"/>
                <w:sz w:val="20"/>
                <w:szCs w:val="22"/>
              </w:rPr>
            </w:pPr>
            <w:r w:rsidRPr="002508D3">
              <w:rPr>
                <w:rFonts w:eastAsia="Times New Roman" w:cs="Times New Roman"/>
                <w:color w:val="000000"/>
                <w:sz w:val="20"/>
                <w:szCs w:val="22"/>
              </w:rPr>
              <w:lastRenderedPageBreak/>
              <w:t>Medie</w:t>
            </w:r>
          </w:p>
        </w:tc>
        <w:tc>
          <w:tcPr>
            <w:tcW w:w="1418"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D2D5768" w14:textId="77777777" w:rsidR="002508D3" w:rsidRPr="002508D3" w:rsidRDefault="002508D3" w:rsidP="002508D3">
            <w:pPr>
              <w:spacing w:after="0"/>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F7F096D" w14:textId="77777777"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 xml:space="preserve">CN APM, MMAP, MCID (INCD-uri), </w:t>
            </w:r>
            <w:r w:rsidRPr="00473248">
              <w:rPr>
                <w:rFonts w:eastAsia="Times New Roman" w:cs="Times New Roman"/>
                <w:color w:val="000000"/>
                <w:sz w:val="20"/>
                <w:szCs w:val="20"/>
              </w:rPr>
              <w:lastRenderedPageBreak/>
              <w:t>ME (universități)</w:t>
            </w:r>
          </w:p>
        </w:tc>
        <w:tc>
          <w:tcPr>
            <w:tcW w:w="1701"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7994981" w14:textId="7C7B0C81" w:rsidR="002508D3" w:rsidRPr="00B165F8" w:rsidRDefault="002508D3" w:rsidP="00473248">
            <w:pPr>
              <w:spacing w:after="0" w:line="240" w:lineRule="auto"/>
              <w:ind w:firstLine="0"/>
              <w:rPr>
                <w:rFonts w:eastAsia="Times New Roman" w:cs="Times New Roman"/>
                <w:color w:val="000000"/>
                <w:sz w:val="20"/>
              </w:rPr>
            </w:pPr>
            <w:r w:rsidRPr="00B165F8">
              <w:rPr>
                <w:rFonts w:eastAsia="Times New Roman" w:cs="Times New Roman"/>
                <w:color w:val="000000"/>
                <w:sz w:val="20"/>
              </w:rPr>
              <w:lastRenderedPageBreak/>
              <w:t xml:space="preserve">Buget CN APM, PNCDI IV, </w:t>
            </w:r>
            <w:r w:rsidR="00E65A44">
              <w:rPr>
                <w:rFonts w:eastAsia="Times New Roman" w:cs="Times New Roman"/>
                <w:color w:val="000000"/>
                <w:sz w:val="20"/>
              </w:rPr>
              <w:t xml:space="preserve"> </w:t>
            </w:r>
            <w:r w:rsidRPr="00B165F8">
              <w:rPr>
                <w:rFonts w:eastAsia="Times New Roman" w:cs="Times New Roman"/>
                <w:color w:val="000000"/>
                <w:sz w:val="20"/>
              </w:rPr>
              <w:t>PNRR,</w:t>
            </w:r>
            <w:r w:rsidRPr="00B165F8">
              <w:rPr>
                <w:rFonts w:eastAsia="Times New Roman" w:cs="Times New Roman"/>
                <w:sz w:val="20"/>
              </w:rPr>
              <w:t xml:space="preserve"> </w:t>
            </w:r>
            <w:r w:rsidRPr="00B165F8">
              <w:rPr>
                <w:rFonts w:eastAsia="Times New Roman" w:cs="Times New Roman"/>
                <w:color w:val="000000"/>
                <w:sz w:val="20"/>
              </w:rPr>
              <w:t xml:space="preserve">Programul </w:t>
            </w:r>
            <w:r w:rsidRPr="00B165F8">
              <w:rPr>
                <w:rFonts w:eastAsia="Times New Roman" w:cs="Times New Roman"/>
                <w:color w:val="000000"/>
                <w:sz w:val="20"/>
              </w:rPr>
              <w:lastRenderedPageBreak/>
              <w:t xml:space="preserve">INTERREG EUROPE 2021-2027. </w:t>
            </w:r>
          </w:p>
        </w:tc>
      </w:tr>
      <w:tr w:rsidR="002508D3" w14:paraId="28AC2442" w14:textId="77777777" w:rsidTr="00494139">
        <w:trPr>
          <w:trHeight w:val="1690"/>
        </w:trPr>
        <w:tc>
          <w:tcPr>
            <w:tcW w:w="1892" w:type="dxa"/>
            <w:vMerge w:val="restart"/>
            <w:tcBorders>
              <w:top w:val="single" w:sz="4" w:space="0" w:color="auto"/>
              <w:left w:val="single" w:sz="4" w:space="0" w:color="000000"/>
              <w:right w:val="single" w:sz="4" w:space="0" w:color="auto"/>
            </w:tcBorders>
            <w:shd w:val="clear" w:color="auto" w:fill="auto"/>
            <w:tcMar>
              <w:top w:w="100" w:type="dxa"/>
              <w:left w:w="100" w:type="dxa"/>
              <w:bottom w:w="100" w:type="dxa"/>
              <w:right w:w="100" w:type="dxa"/>
            </w:tcMar>
          </w:tcPr>
          <w:p w14:paraId="643CA576" w14:textId="77777777" w:rsidR="002508D3" w:rsidRDefault="002508D3" w:rsidP="002508D3">
            <w:pPr>
              <w:spacing w:after="0" w:line="240" w:lineRule="auto"/>
              <w:ind w:hanging="37"/>
              <w:rPr>
                <w:rFonts w:eastAsia="Times New Roman" w:cs="Times New Roman"/>
                <w:sz w:val="20"/>
                <w:szCs w:val="20"/>
              </w:rPr>
            </w:pPr>
            <w:r>
              <w:rPr>
                <w:rFonts w:eastAsia="Times New Roman" w:cs="Times New Roman"/>
                <w:sz w:val="20"/>
                <w:szCs w:val="20"/>
              </w:rPr>
              <w:lastRenderedPageBreak/>
              <w:t>M7.11 Evaluarea potențialului de valorificare a resurselor energetice regenerabile din zonă: energia eoliană, “inshore” și „offshore”, energia valurilor, fotovoltaică, etc.</w:t>
            </w:r>
          </w:p>
        </w:tc>
        <w:tc>
          <w:tcPr>
            <w:tcW w:w="2121" w:type="dxa"/>
            <w:vMerge w:val="restart"/>
            <w:tcBorders>
              <w:top w:val="single" w:sz="4" w:space="0" w:color="auto"/>
              <w:left w:val="single" w:sz="4" w:space="0" w:color="auto"/>
              <w:right w:val="single" w:sz="4" w:space="0" w:color="auto"/>
            </w:tcBorders>
          </w:tcPr>
          <w:p w14:paraId="05A47D9B" w14:textId="77777777" w:rsidR="002508D3" w:rsidRPr="00DD49F4" w:rsidRDefault="002508D3" w:rsidP="002508D3">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Os4.c Valorificarea resurselor energetice regenerabile;</w:t>
            </w:r>
          </w:p>
          <w:p w14:paraId="12735FB4" w14:textId="77777777" w:rsidR="002508D3" w:rsidRDefault="002508D3" w:rsidP="002508D3">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Os4.b Dezvoltarea “verde” a zonei costiere.</w:t>
            </w: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6F2B3F4D" w14:textId="5E73BAC7" w:rsidR="002508D3" w:rsidRDefault="00B27196"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7.11.1 Elaborarea și implementarea de studii / proiecte pilot privind evaluarea potențialului de valorificare a energiei eoliene, energiei valurilor și fotovoltaice din zona costieră.</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9284EAD" w14:textId="77777777" w:rsidR="002508D3" w:rsidRPr="002508D3" w:rsidRDefault="002508D3" w:rsidP="002508D3">
            <w:pPr>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A5F3DA8" w14:textId="700E34A4" w:rsidR="002508D3" w:rsidRPr="002508D3" w:rsidRDefault="002508D3" w:rsidP="002508D3">
            <w:pPr>
              <w:ind w:firstLine="0"/>
              <w:rPr>
                <w:rFonts w:eastAsia="Times New Roman" w:cs="Times New Roman"/>
                <w:color w:val="000000"/>
                <w:sz w:val="20"/>
                <w:szCs w:val="20"/>
              </w:rPr>
            </w:pPr>
            <w:r w:rsidRPr="002508D3">
              <w:rPr>
                <w:rFonts w:eastAsia="Times New Roman" w:cs="Times New Roman"/>
                <w:color w:val="000000"/>
                <w:sz w:val="20"/>
                <w:szCs w:val="20"/>
              </w:rPr>
              <w:t>20</w:t>
            </w:r>
            <w:r w:rsidR="00B27196">
              <w:rPr>
                <w:rFonts w:eastAsia="Times New Roman" w:cs="Times New Roman"/>
                <w:color w:val="000000"/>
                <w:sz w:val="20"/>
                <w:szCs w:val="20"/>
              </w:rPr>
              <w:t>27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2CD24B5" w14:textId="42C55006" w:rsidR="002508D3" w:rsidRPr="00473248" w:rsidRDefault="002508D3" w:rsidP="00473248">
            <w:pPr>
              <w:ind w:firstLine="0"/>
              <w:rPr>
                <w:rFonts w:eastAsia="Times New Roman" w:cs="Times New Roman"/>
                <w:color w:val="000000"/>
                <w:sz w:val="20"/>
                <w:szCs w:val="20"/>
              </w:rPr>
            </w:pPr>
            <w:r w:rsidRPr="00473248">
              <w:rPr>
                <w:rFonts w:eastAsia="Times New Roman" w:cs="Times New Roman"/>
                <w:color w:val="000000"/>
                <w:sz w:val="20"/>
                <w:szCs w:val="20"/>
              </w:rPr>
              <w:t>M</w:t>
            </w:r>
            <w:r w:rsidR="00135D14">
              <w:rPr>
                <w:rFonts w:eastAsia="Times New Roman" w:cs="Times New Roman"/>
                <w:color w:val="000000"/>
                <w:sz w:val="20"/>
                <w:szCs w:val="20"/>
              </w:rPr>
              <w:t>inisterul Energiei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30602F4" w14:textId="11675F77" w:rsidR="002508D3" w:rsidRDefault="002508D3" w:rsidP="00135D14">
            <w:pPr>
              <w:spacing w:line="240" w:lineRule="auto"/>
              <w:ind w:firstLine="0"/>
              <w:rPr>
                <w:rFonts w:eastAsia="Times New Roman" w:cs="Times New Roman"/>
                <w:color w:val="000000"/>
              </w:rPr>
            </w:pPr>
            <w:r w:rsidRPr="00135D14">
              <w:rPr>
                <w:rFonts w:eastAsia="Times New Roman" w:cs="Times New Roman"/>
                <w:color w:val="000000"/>
                <w:sz w:val="20"/>
                <w:szCs w:val="20"/>
              </w:rPr>
              <w:t xml:space="preserve">fonduri proprii </w:t>
            </w:r>
            <w:r w:rsidR="00135D14" w:rsidRPr="00135D14">
              <w:rPr>
                <w:rFonts w:eastAsia="Times New Roman" w:cs="Times New Roman"/>
                <w:color w:val="000000"/>
                <w:sz w:val="20"/>
                <w:szCs w:val="20"/>
              </w:rPr>
              <w:t>Ministerul Energiei</w:t>
            </w:r>
            <w:r w:rsidR="00494139">
              <w:rPr>
                <w:rFonts w:eastAsia="Times New Roman" w:cs="Times New Roman"/>
                <w:color w:val="000000"/>
                <w:sz w:val="20"/>
                <w:szCs w:val="20"/>
              </w:rPr>
              <w:t xml:space="preserve">, </w:t>
            </w:r>
            <w:r w:rsidR="00494139" w:rsidRPr="00494139">
              <w:rPr>
                <w:rFonts w:eastAsia="Times New Roman" w:cs="Times New Roman"/>
                <w:color w:val="000000"/>
                <w:sz w:val="20"/>
                <w:szCs w:val="20"/>
              </w:rPr>
              <w:t>Programul de Dezvoltare Durabilă</w:t>
            </w:r>
          </w:p>
        </w:tc>
      </w:tr>
      <w:tr w:rsidR="002508D3" w14:paraId="1C8E5234" w14:textId="77777777" w:rsidTr="002508D3">
        <w:trPr>
          <w:trHeight w:val="144"/>
        </w:trPr>
        <w:tc>
          <w:tcPr>
            <w:tcW w:w="1892" w:type="dxa"/>
            <w:vMerge/>
            <w:tcBorders>
              <w:top w:val="single" w:sz="4" w:space="0" w:color="000000"/>
              <w:left w:val="single" w:sz="4" w:space="0" w:color="000000"/>
              <w:right w:val="single" w:sz="4" w:space="0" w:color="auto"/>
            </w:tcBorders>
            <w:shd w:val="clear" w:color="auto" w:fill="auto"/>
            <w:tcMar>
              <w:top w:w="100" w:type="dxa"/>
              <w:left w:w="100" w:type="dxa"/>
              <w:bottom w:w="100" w:type="dxa"/>
              <w:right w:w="100" w:type="dxa"/>
            </w:tcMar>
          </w:tcPr>
          <w:p w14:paraId="6EF7B4BE" w14:textId="77777777" w:rsidR="002508D3" w:rsidRDefault="002508D3" w:rsidP="002508D3">
            <w:pPr>
              <w:widowControl w:val="0"/>
              <w:pBdr>
                <w:top w:val="nil"/>
                <w:left w:val="nil"/>
                <w:bottom w:val="nil"/>
                <w:right w:val="nil"/>
                <w:between w:val="nil"/>
              </w:pBdr>
              <w:spacing w:after="0"/>
              <w:ind w:hanging="37"/>
              <w:rPr>
                <w:rFonts w:eastAsia="Times New Roman" w:cs="Times New Roman"/>
                <w:color w:val="000000"/>
              </w:rPr>
            </w:pPr>
          </w:p>
        </w:tc>
        <w:tc>
          <w:tcPr>
            <w:tcW w:w="2121" w:type="dxa"/>
            <w:vMerge/>
            <w:tcBorders>
              <w:left w:val="single" w:sz="4" w:space="0" w:color="auto"/>
              <w:right w:val="single" w:sz="4" w:space="0" w:color="auto"/>
            </w:tcBorders>
          </w:tcPr>
          <w:p w14:paraId="2FDDC2C7"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6986198B" w14:textId="11629A01" w:rsidR="002508D3" w:rsidRDefault="00B27196"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7.11.2 Realizarea de campanii pentru susţinerea şi promovarea producţiei de energie din surse alternative, regenerabile şi nepoluante</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88ECDC0" w14:textId="77777777" w:rsidR="002508D3" w:rsidRPr="002508D3" w:rsidRDefault="002508D3" w:rsidP="002508D3">
            <w:pPr>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97819EF" w14:textId="1FB98599" w:rsidR="002508D3" w:rsidRPr="002508D3" w:rsidRDefault="002508D3" w:rsidP="002508D3">
            <w:pPr>
              <w:ind w:firstLine="0"/>
              <w:rPr>
                <w:rFonts w:eastAsia="Times New Roman" w:cs="Times New Roman"/>
                <w:color w:val="000000"/>
                <w:sz w:val="20"/>
                <w:szCs w:val="20"/>
              </w:rPr>
            </w:pPr>
            <w:r w:rsidRPr="002508D3">
              <w:rPr>
                <w:rFonts w:eastAsia="Times New Roman" w:cs="Times New Roman"/>
                <w:color w:val="000000"/>
                <w:sz w:val="20"/>
                <w:szCs w:val="20"/>
              </w:rPr>
              <w:t>20</w:t>
            </w:r>
            <w:r w:rsidR="00B27196">
              <w:rPr>
                <w:rFonts w:eastAsia="Times New Roman" w:cs="Times New Roman"/>
                <w:color w:val="000000"/>
                <w:sz w:val="20"/>
                <w:szCs w:val="20"/>
              </w:rPr>
              <w:t>27</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F87E834" w14:textId="3009C170" w:rsidR="002508D3" w:rsidRPr="00473248" w:rsidRDefault="00135D14" w:rsidP="00473248">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Ministerul Energiei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BE3C876" w14:textId="19832F84" w:rsidR="002508D3" w:rsidRDefault="002508D3" w:rsidP="00473248">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 xml:space="preserve">fonduri proprii </w:t>
            </w:r>
            <w:r w:rsidR="00135D14" w:rsidRPr="00135D14">
              <w:rPr>
                <w:rFonts w:eastAsia="Times New Roman" w:cs="Times New Roman"/>
                <w:color w:val="000000"/>
                <w:sz w:val="20"/>
                <w:szCs w:val="20"/>
              </w:rPr>
              <w:t>Ministerul Energiei</w:t>
            </w:r>
            <w:r>
              <w:rPr>
                <w:rFonts w:eastAsia="Times New Roman" w:cs="Times New Roman"/>
                <w:color w:val="000000"/>
                <w:sz w:val="20"/>
                <w:szCs w:val="20"/>
              </w:rPr>
              <w:t>, parteneriate public-privat</w:t>
            </w:r>
          </w:p>
        </w:tc>
      </w:tr>
      <w:tr w:rsidR="002508D3" w14:paraId="56D1B7BB" w14:textId="77777777" w:rsidTr="002508D3">
        <w:trPr>
          <w:trHeight w:val="144"/>
        </w:trPr>
        <w:tc>
          <w:tcPr>
            <w:tcW w:w="1892"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1AF447C5" w14:textId="77777777" w:rsidR="002508D3" w:rsidRDefault="002508D3" w:rsidP="002508D3">
            <w:pPr>
              <w:widowControl w:val="0"/>
              <w:pBdr>
                <w:top w:val="nil"/>
                <w:left w:val="nil"/>
                <w:bottom w:val="nil"/>
                <w:right w:val="nil"/>
                <w:between w:val="nil"/>
              </w:pBdr>
              <w:spacing w:after="0"/>
              <w:ind w:hanging="37"/>
              <w:rPr>
                <w:rFonts w:eastAsia="Times New Roman" w:cs="Times New Roman"/>
                <w:color w:val="000000"/>
                <w:sz w:val="20"/>
                <w:szCs w:val="20"/>
              </w:rPr>
            </w:pPr>
          </w:p>
        </w:tc>
        <w:tc>
          <w:tcPr>
            <w:tcW w:w="2121" w:type="dxa"/>
            <w:vMerge/>
            <w:tcBorders>
              <w:left w:val="single" w:sz="4" w:space="0" w:color="auto"/>
              <w:bottom w:val="single" w:sz="4" w:space="0" w:color="auto"/>
              <w:right w:val="single" w:sz="4" w:space="0" w:color="auto"/>
            </w:tcBorders>
          </w:tcPr>
          <w:p w14:paraId="287210DB"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3AFD758E" w14:textId="67F91992" w:rsidR="002508D3" w:rsidRDefault="00B27196"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7.11.3 Sprijinirea instituțiilor și infrastructurilor de cercetare-dezvoltare de interes național și European pentru studierea resurselor energetice regenerabile</w:t>
            </w:r>
          </w:p>
        </w:tc>
        <w:tc>
          <w:tcPr>
            <w:tcW w:w="1277"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289393D1" w14:textId="2CC83689" w:rsidR="002508D3" w:rsidRPr="002508D3" w:rsidRDefault="00B27196" w:rsidP="002508D3">
            <w:pPr>
              <w:ind w:firstLine="0"/>
              <w:rPr>
                <w:rFonts w:eastAsia="Times New Roman" w:cs="Times New Roman"/>
                <w:color w:val="000000"/>
                <w:sz w:val="20"/>
                <w:szCs w:val="22"/>
              </w:rPr>
            </w:pPr>
            <w:r>
              <w:rPr>
                <w:rFonts w:eastAsia="Times New Roman" w:cs="Times New Roman"/>
                <w:color w:val="000000"/>
                <w:sz w:val="20"/>
                <w:szCs w:val="22"/>
              </w:rPr>
              <w:t xml:space="preserve">Foarte </w:t>
            </w:r>
            <w:r w:rsidR="002508D3"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409A7A7D" w14:textId="0D60E8A1" w:rsidR="002508D3" w:rsidRPr="002508D3" w:rsidRDefault="002508D3" w:rsidP="002508D3">
            <w:pPr>
              <w:ind w:firstLine="0"/>
              <w:rPr>
                <w:rFonts w:eastAsia="Times New Roman" w:cs="Times New Roman"/>
                <w:color w:val="000000"/>
                <w:sz w:val="20"/>
                <w:szCs w:val="20"/>
              </w:rPr>
            </w:pPr>
            <w:r w:rsidRPr="002508D3">
              <w:rPr>
                <w:rFonts w:eastAsia="Times New Roman" w:cs="Times New Roman"/>
                <w:color w:val="000000"/>
                <w:sz w:val="20"/>
                <w:szCs w:val="20"/>
              </w:rPr>
              <w:t>20</w:t>
            </w:r>
            <w:r w:rsidR="00B27196">
              <w:rPr>
                <w:rFonts w:eastAsia="Times New Roman" w:cs="Times New Roman"/>
                <w:color w:val="000000"/>
                <w:sz w:val="20"/>
                <w:szCs w:val="20"/>
              </w:rPr>
              <w:t>27</w:t>
            </w:r>
          </w:p>
        </w:tc>
        <w:tc>
          <w:tcPr>
            <w:tcW w:w="1419"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0159E4C8" w14:textId="39DB9689"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color w:val="000000"/>
                <w:sz w:val="20"/>
                <w:szCs w:val="20"/>
              </w:rPr>
              <w:t>M</w:t>
            </w:r>
            <w:r w:rsidR="00135D14">
              <w:rPr>
                <w:rFonts w:eastAsia="Times New Roman" w:cs="Times New Roman"/>
                <w:color w:val="000000"/>
                <w:sz w:val="20"/>
                <w:szCs w:val="20"/>
              </w:rPr>
              <w:t>inisterul Energiei</w:t>
            </w:r>
            <w:r w:rsidRPr="00473248">
              <w:rPr>
                <w:rFonts w:eastAsia="Times New Roman" w:cs="Times New Roman"/>
                <w:color w:val="000000"/>
                <w:sz w:val="20"/>
                <w:szCs w:val="20"/>
              </w:rPr>
              <w:t>, MCID (INCD-uri), ME (departamente de cercetare din universități)</w:t>
            </w:r>
          </w:p>
        </w:tc>
        <w:tc>
          <w:tcPr>
            <w:tcW w:w="1701"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70AA7830" w14:textId="54563430" w:rsidR="002508D3" w:rsidRDefault="002508D3" w:rsidP="00473248">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 xml:space="preserve">fonduri proprii </w:t>
            </w:r>
            <w:r w:rsidR="00135D14">
              <w:rPr>
                <w:rFonts w:eastAsia="Times New Roman" w:cs="Times New Roman"/>
                <w:color w:val="000000"/>
                <w:sz w:val="20"/>
                <w:szCs w:val="20"/>
              </w:rPr>
              <w:t>Ministerul Energiei</w:t>
            </w:r>
            <w:r>
              <w:rPr>
                <w:rFonts w:eastAsia="Times New Roman" w:cs="Times New Roman"/>
                <w:color w:val="000000"/>
                <w:sz w:val="20"/>
                <w:szCs w:val="20"/>
              </w:rPr>
              <w:t>, parteneriate public-privat, PNRR, Programul INTERREG EUROPE 2021-2027, Programul de Dezvoltare Durabilă, REPowerEU, Horizon Europe </w:t>
            </w:r>
          </w:p>
        </w:tc>
      </w:tr>
      <w:tr w:rsidR="002508D3" w14:paraId="68D4710A" w14:textId="77777777" w:rsidTr="002508D3">
        <w:trPr>
          <w:trHeight w:val="1266"/>
        </w:trPr>
        <w:tc>
          <w:tcPr>
            <w:tcW w:w="1892" w:type="dxa"/>
            <w:vMerge w:val="restart"/>
            <w:tcBorders>
              <w:top w:val="single" w:sz="4" w:space="0" w:color="auto"/>
              <w:left w:val="single" w:sz="4" w:space="0" w:color="000000"/>
              <w:right w:val="single" w:sz="4" w:space="0" w:color="auto"/>
            </w:tcBorders>
            <w:shd w:val="clear" w:color="auto" w:fill="auto"/>
            <w:tcMar>
              <w:top w:w="100" w:type="dxa"/>
              <w:left w:w="100" w:type="dxa"/>
              <w:bottom w:w="100" w:type="dxa"/>
              <w:right w:w="100" w:type="dxa"/>
            </w:tcMar>
          </w:tcPr>
          <w:p w14:paraId="468274B3" w14:textId="77777777" w:rsidR="002508D3" w:rsidRDefault="002508D3" w:rsidP="002508D3">
            <w:pPr>
              <w:spacing w:after="0" w:line="240" w:lineRule="auto"/>
              <w:ind w:hanging="37"/>
              <w:rPr>
                <w:rFonts w:eastAsia="Times New Roman" w:cs="Times New Roman"/>
                <w:sz w:val="20"/>
                <w:szCs w:val="20"/>
              </w:rPr>
            </w:pPr>
            <w:r>
              <w:rPr>
                <w:rFonts w:eastAsia="Times New Roman" w:cs="Times New Roman"/>
                <w:sz w:val="20"/>
                <w:szCs w:val="20"/>
              </w:rPr>
              <w:lastRenderedPageBreak/>
              <w:t>M7.12 Susținerea și dezvoltarea de noi instrumente pentru transferul cunoștințelor din cercetare spre business în sectoarele Economiei Albastre</w:t>
            </w:r>
          </w:p>
        </w:tc>
        <w:tc>
          <w:tcPr>
            <w:tcW w:w="2121" w:type="dxa"/>
            <w:vMerge w:val="restart"/>
            <w:tcBorders>
              <w:top w:val="single" w:sz="4" w:space="0" w:color="auto"/>
              <w:left w:val="single" w:sz="4" w:space="0" w:color="auto"/>
              <w:right w:val="single" w:sz="4" w:space="0" w:color="auto"/>
            </w:tcBorders>
          </w:tcPr>
          <w:p w14:paraId="15C3C2DC" w14:textId="77777777" w:rsidR="002508D3" w:rsidRDefault="002508D3" w:rsidP="002508D3">
            <w:pPr>
              <w:spacing w:after="0" w:line="240" w:lineRule="auto"/>
              <w:ind w:firstLine="48"/>
              <w:rPr>
                <w:rFonts w:eastAsia="Times New Roman" w:cs="Times New Roman"/>
                <w:color w:val="000000"/>
                <w:sz w:val="20"/>
                <w:szCs w:val="20"/>
              </w:rPr>
            </w:pPr>
            <w:r w:rsidRPr="00DD49F4">
              <w:rPr>
                <w:rFonts w:eastAsia="Times New Roman" w:cs="Times New Roman"/>
                <w:color w:val="000000"/>
                <w:sz w:val="20"/>
                <w:szCs w:val="20"/>
              </w:rPr>
              <w:t>Os4.d. Atragerea investițiilor în biotehnologii pentru recuperarea, remedierea, îmbunătățirea sănătății umane și a mediului, în acord cu strategiile europene de promovare a Economiei Albastre și de atingere a obiectivelor Pactului Verde European și a Strategiei de la Ferma direct în Farfurie</w:t>
            </w:r>
          </w:p>
        </w:tc>
        <w:tc>
          <w:tcPr>
            <w:tcW w:w="4254"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12171E82"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7.12.1 Intensificarea finanțării cercetării-inovării, în special prin implementarea platformelor de parteneriate între autorități locale, mediu de afaceri, universități și institute de cercetare, precum și a unor HUB-uri/platforme naṭionale de inovare orientate pe Blue Economy</w:t>
            </w:r>
          </w:p>
        </w:tc>
        <w:tc>
          <w:tcPr>
            <w:tcW w:w="1277"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BFA17A1" w14:textId="77777777" w:rsidR="002508D3" w:rsidRPr="002508D3" w:rsidRDefault="002508D3" w:rsidP="002508D3">
            <w:pPr>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4692A04" w14:textId="77777777" w:rsidR="002508D3" w:rsidRPr="002508D3" w:rsidRDefault="002508D3" w:rsidP="002508D3">
            <w:pPr>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vMerge w:val="restart"/>
            <w:tcBorders>
              <w:top w:val="single" w:sz="4" w:space="0" w:color="auto"/>
              <w:left w:val="single" w:sz="4" w:space="0" w:color="000000"/>
              <w:right w:val="single" w:sz="4" w:space="0" w:color="000000"/>
            </w:tcBorders>
            <w:shd w:val="clear" w:color="auto" w:fill="auto"/>
            <w:tcMar>
              <w:top w:w="0" w:type="dxa"/>
              <w:left w:w="100" w:type="dxa"/>
              <w:bottom w:w="0" w:type="dxa"/>
              <w:right w:w="100" w:type="dxa"/>
            </w:tcMar>
          </w:tcPr>
          <w:p w14:paraId="317DD3F0" w14:textId="77777777" w:rsidR="002508D3" w:rsidRPr="00473248" w:rsidRDefault="002508D3" w:rsidP="00473248">
            <w:pPr>
              <w:spacing w:after="0" w:line="240" w:lineRule="auto"/>
              <w:ind w:firstLine="0"/>
              <w:rPr>
                <w:rFonts w:eastAsia="Times New Roman" w:cs="Times New Roman"/>
                <w:color w:val="000000"/>
                <w:sz w:val="20"/>
                <w:szCs w:val="20"/>
              </w:rPr>
            </w:pPr>
            <w:r w:rsidRPr="00473248">
              <w:rPr>
                <w:rFonts w:eastAsia="Times New Roman" w:cs="Times New Roman"/>
                <w:sz w:val="20"/>
                <w:szCs w:val="20"/>
              </w:rPr>
              <w:t>MCID, Academia Română, ME (universități)</w:t>
            </w:r>
          </w:p>
        </w:tc>
        <w:tc>
          <w:tcPr>
            <w:tcW w:w="1701" w:type="dxa"/>
            <w:vMerge w:val="restart"/>
            <w:tcBorders>
              <w:top w:val="single" w:sz="4" w:space="0" w:color="auto"/>
              <w:left w:val="single" w:sz="4" w:space="0" w:color="000000"/>
              <w:right w:val="single" w:sz="4" w:space="0" w:color="000000"/>
            </w:tcBorders>
            <w:shd w:val="clear" w:color="auto" w:fill="auto"/>
            <w:tcMar>
              <w:top w:w="0" w:type="dxa"/>
              <w:left w:w="100" w:type="dxa"/>
              <w:bottom w:w="0" w:type="dxa"/>
              <w:right w:w="100" w:type="dxa"/>
            </w:tcMar>
          </w:tcPr>
          <w:p w14:paraId="43387B06" w14:textId="77777777" w:rsidR="002508D3" w:rsidRDefault="002508D3" w:rsidP="00473248">
            <w:pPr>
              <w:spacing w:after="0" w:line="240" w:lineRule="auto"/>
              <w:ind w:firstLine="0"/>
              <w:rPr>
                <w:rFonts w:eastAsia="Times New Roman" w:cs="Times New Roman"/>
                <w:color w:val="000000"/>
                <w:sz w:val="20"/>
                <w:szCs w:val="20"/>
              </w:rPr>
            </w:pPr>
            <w:r>
              <w:rPr>
                <w:rFonts w:eastAsia="Times New Roman" w:cs="Times New Roman"/>
                <w:sz w:val="20"/>
                <w:szCs w:val="20"/>
              </w:rPr>
              <w:t>PNCDI IV</w:t>
            </w:r>
          </w:p>
        </w:tc>
      </w:tr>
      <w:tr w:rsidR="002508D3" w14:paraId="6572AB84" w14:textId="77777777" w:rsidTr="002508D3">
        <w:trPr>
          <w:trHeight w:val="504"/>
        </w:trPr>
        <w:tc>
          <w:tcPr>
            <w:tcW w:w="1892" w:type="dxa"/>
            <w:vMerge/>
            <w:tcBorders>
              <w:top w:val="single" w:sz="4" w:space="0" w:color="000000"/>
              <w:left w:val="single" w:sz="4" w:space="0" w:color="000000"/>
              <w:bottom w:val="single" w:sz="4" w:space="0" w:color="000000"/>
              <w:right w:val="single" w:sz="4" w:space="0" w:color="auto"/>
            </w:tcBorders>
            <w:shd w:val="clear" w:color="auto" w:fill="auto"/>
            <w:tcMar>
              <w:top w:w="100" w:type="dxa"/>
              <w:left w:w="100" w:type="dxa"/>
              <w:bottom w:w="100" w:type="dxa"/>
              <w:right w:w="100" w:type="dxa"/>
            </w:tcMar>
          </w:tcPr>
          <w:p w14:paraId="390180FF" w14:textId="77777777" w:rsidR="002508D3" w:rsidRDefault="002508D3" w:rsidP="002508D3">
            <w:pPr>
              <w:widowControl w:val="0"/>
              <w:pBdr>
                <w:top w:val="nil"/>
                <w:left w:val="nil"/>
                <w:bottom w:val="nil"/>
                <w:right w:val="nil"/>
                <w:between w:val="nil"/>
              </w:pBdr>
              <w:spacing w:after="0"/>
              <w:ind w:hanging="37"/>
              <w:rPr>
                <w:rFonts w:eastAsia="Times New Roman" w:cs="Times New Roman"/>
                <w:color w:val="000000"/>
                <w:sz w:val="20"/>
                <w:szCs w:val="20"/>
              </w:rPr>
            </w:pPr>
          </w:p>
        </w:tc>
        <w:tc>
          <w:tcPr>
            <w:tcW w:w="2121" w:type="dxa"/>
            <w:vMerge/>
            <w:tcBorders>
              <w:left w:val="single" w:sz="4" w:space="0" w:color="auto"/>
              <w:bottom w:val="single" w:sz="4" w:space="0" w:color="auto"/>
              <w:right w:val="single" w:sz="4" w:space="0" w:color="auto"/>
            </w:tcBorders>
          </w:tcPr>
          <w:p w14:paraId="09BE93DA" w14:textId="77777777" w:rsidR="002508D3" w:rsidRDefault="002508D3" w:rsidP="002508D3">
            <w:pPr>
              <w:spacing w:after="0" w:line="240" w:lineRule="auto"/>
              <w:ind w:firstLine="48"/>
              <w:rPr>
                <w:rFonts w:eastAsia="Times New Roman" w:cs="Times New Roman"/>
                <w:color w:val="000000"/>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6F3AC42C"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7.12.2 Dezvoltarea mecanismelor de valorificare rezultatelor cercetării prin transfer tehnologic</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3C84ABBE" w14:textId="77777777" w:rsidR="002508D3" w:rsidRPr="002508D3" w:rsidRDefault="002508D3" w:rsidP="002508D3">
            <w:pPr>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8BD7742" w14:textId="77777777" w:rsidR="002508D3" w:rsidRPr="002508D3" w:rsidRDefault="002508D3" w:rsidP="002508D3">
            <w:pPr>
              <w:ind w:firstLine="0"/>
              <w:rPr>
                <w:rFonts w:eastAsia="Times New Roman" w:cs="Times New Roman"/>
                <w:color w:val="000000"/>
                <w:sz w:val="20"/>
                <w:szCs w:val="20"/>
              </w:rPr>
            </w:pPr>
            <w:r w:rsidRPr="002508D3">
              <w:rPr>
                <w:rFonts w:eastAsia="Times New Roman" w:cs="Times New Roman"/>
                <w:color w:val="000000"/>
                <w:sz w:val="20"/>
                <w:szCs w:val="20"/>
              </w:rPr>
              <w:t>2027</w:t>
            </w:r>
          </w:p>
        </w:tc>
        <w:tc>
          <w:tcPr>
            <w:tcW w:w="141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794F3A6" w14:textId="77777777" w:rsidR="002508D3" w:rsidRPr="00473248" w:rsidRDefault="002508D3" w:rsidP="00473248">
            <w:pPr>
              <w:widowControl w:val="0"/>
              <w:pBdr>
                <w:top w:val="nil"/>
                <w:left w:val="nil"/>
                <w:bottom w:val="nil"/>
                <w:right w:val="nil"/>
                <w:between w:val="nil"/>
              </w:pBdr>
              <w:spacing w:after="0"/>
              <w:ind w:firstLine="0"/>
              <w:rPr>
                <w:rFonts w:eastAsia="Times New Roman" w:cs="Times New Roman"/>
                <w:color w:val="000000"/>
                <w:sz w:val="20"/>
                <w:szCs w:val="20"/>
              </w:rPr>
            </w:pPr>
          </w:p>
        </w:tc>
        <w:tc>
          <w:tcPr>
            <w:tcW w:w="170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853E486" w14:textId="77777777" w:rsidR="002508D3" w:rsidRDefault="002508D3" w:rsidP="00473248">
            <w:pPr>
              <w:widowControl w:val="0"/>
              <w:pBdr>
                <w:top w:val="nil"/>
                <w:left w:val="nil"/>
                <w:bottom w:val="nil"/>
                <w:right w:val="nil"/>
                <w:between w:val="nil"/>
              </w:pBdr>
              <w:spacing w:after="0"/>
              <w:ind w:firstLine="0"/>
              <w:rPr>
                <w:rFonts w:eastAsia="Times New Roman" w:cs="Times New Roman"/>
                <w:color w:val="000000"/>
              </w:rPr>
            </w:pPr>
          </w:p>
        </w:tc>
      </w:tr>
      <w:tr w:rsidR="002508D3" w14:paraId="1BD2C053" w14:textId="77777777" w:rsidTr="002508D3">
        <w:trPr>
          <w:trHeight w:val="420"/>
        </w:trPr>
        <w:tc>
          <w:tcPr>
            <w:tcW w:w="1892" w:type="dxa"/>
            <w:vMerge w:val="restart"/>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7B2AC1B0" w14:textId="77777777" w:rsidR="002508D3" w:rsidRDefault="002508D3" w:rsidP="002508D3">
            <w:pPr>
              <w:ind w:hanging="37"/>
              <w:rPr>
                <w:rFonts w:eastAsia="Times New Roman" w:cs="Times New Roman"/>
              </w:rPr>
            </w:pPr>
            <w:r>
              <w:rPr>
                <w:rFonts w:eastAsia="Times New Roman" w:cs="Times New Roman"/>
                <w:sz w:val="20"/>
                <w:szCs w:val="20"/>
              </w:rPr>
              <w:t>M7.13 Consolidarea infrastructurii antreprenoriale locale</w:t>
            </w:r>
          </w:p>
        </w:tc>
        <w:tc>
          <w:tcPr>
            <w:tcW w:w="2121" w:type="dxa"/>
            <w:vMerge w:val="restart"/>
            <w:tcBorders>
              <w:top w:val="single" w:sz="4" w:space="0" w:color="auto"/>
              <w:left w:val="single" w:sz="4" w:space="0" w:color="auto"/>
              <w:bottom w:val="single" w:sz="4" w:space="0" w:color="auto"/>
              <w:right w:val="single" w:sz="4" w:space="0" w:color="auto"/>
            </w:tcBorders>
          </w:tcPr>
          <w:p w14:paraId="32557BDE" w14:textId="77777777" w:rsidR="002508D3" w:rsidRPr="00DD49F4" w:rsidRDefault="002508D3" w:rsidP="002508D3">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Os4.b Dezvoltarea “verde” a zonei costiere;</w:t>
            </w:r>
          </w:p>
          <w:p w14:paraId="147DC21A" w14:textId="77777777" w:rsidR="002508D3" w:rsidRPr="00DD49F4" w:rsidRDefault="002508D3" w:rsidP="002508D3">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 xml:space="preserve"> Os2.c Stimularea dezvoltării infrastructurii verzi;</w:t>
            </w:r>
          </w:p>
          <w:p w14:paraId="378C19BE" w14:textId="77777777" w:rsidR="002508D3" w:rsidRDefault="002508D3" w:rsidP="002508D3">
            <w:pPr>
              <w:spacing w:line="240" w:lineRule="auto"/>
              <w:ind w:firstLine="48"/>
              <w:rPr>
                <w:rFonts w:eastAsia="Times New Roman" w:cs="Times New Roman"/>
                <w:color w:val="000000"/>
                <w:sz w:val="20"/>
                <w:szCs w:val="20"/>
              </w:rPr>
            </w:pPr>
            <w:r w:rsidRPr="00DD49F4">
              <w:rPr>
                <w:rFonts w:eastAsia="Times New Roman" w:cs="Times New Roman"/>
                <w:color w:val="000000"/>
                <w:sz w:val="20"/>
                <w:szCs w:val="20"/>
              </w:rPr>
              <w:t>Os6.b Creșterea gradului de conștientizare cu privire la necesitatea de a păstra și îmbunătăți resursele zonei de coastă.</w:t>
            </w:r>
          </w:p>
        </w:tc>
        <w:tc>
          <w:tcPr>
            <w:tcW w:w="4254" w:type="dxa"/>
            <w:tcBorders>
              <w:top w:val="single" w:sz="4" w:space="0" w:color="000000"/>
              <w:left w:val="single" w:sz="4" w:space="0" w:color="auto"/>
              <w:bottom w:val="single" w:sz="4" w:space="0" w:color="auto"/>
              <w:right w:val="single" w:sz="4" w:space="0" w:color="000000"/>
            </w:tcBorders>
            <w:tcMar>
              <w:top w:w="0" w:type="dxa"/>
              <w:left w:w="100" w:type="dxa"/>
              <w:bottom w:w="0" w:type="dxa"/>
              <w:right w:w="100" w:type="dxa"/>
            </w:tcMar>
          </w:tcPr>
          <w:p w14:paraId="14C44DA4"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7.13.1 Organizarea de cursuri pentru specializarea trainerilor</w:t>
            </w:r>
          </w:p>
        </w:tc>
        <w:tc>
          <w:tcPr>
            <w:tcW w:w="1277" w:type="dxa"/>
            <w:tcBorders>
              <w:top w:val="single" w:sz="4" w:space="0" w:color="000000"/>
              <w:left w:val="single" w:sz="4" w:space="0" w:color="000000"/>
              <w:bottom w:val="single" w:sz="4" w:space="0" w:color="auto"/>
              <w:right w:val="single" w:sz="4" w:space="0" w:color="000000"/>
            </w:tcBorders>
            <w:tcMar>
              <w:top w:w="0" w:type="dxa"/>
              <w:left w:w="100" w:type="dxa"/>
              <w:bottom w:w="0" w:type="dxa"/>
              <w:right w:w="100" w:type="dxa"/>
            </w:tcMar>
          </w:tcPr>
          <w:p w14:paraId="49E34839" w14:textId="77777777" w:rsidR="002508D3" w:rsidRPr="002508D3" w:rsidRDefault="002508D3" w:rsidP="002508D3">
            <w:pPr>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auto"/>
              <w:right w:val="single" w:sz="4" w:space="0" w:color="000000"/>
            </w:tcBorders>
            <w:tcMar>
              <w:top w:w="0" w:type="dxa"/>
              <w:left w:w="100" w:type="dxa"/>
              <w:bottom w:w="0" w:type="dxa"/>
              <w:right w:w="100" w:type="dxa"/>
            </w:tcMar>
          </w:tcPr>
          <w:p w14:paraId="2F567CAA" w14:textId="77777777" w:rsidR="002508D3" w:rsidRPr="002508D3" w:rsidRDefault="002508D3" w:rsidP="002508D3">
            <w:pPr>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vMerge w:val="restart"/>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23F943F3" w14:textId="77777777" w:rsidR="002508D3" w:rsidRPr="00473248" w:rsidRDefault="002508D3" w:rsidP="00473248">
            <w:pPr>
              <w:spacing w:after="240"/>
              <w:ind w:firstLine="0"/>
              <w:rPr>
                <w:rFonts w:eastAsia="Times New Roman" w:cs="Times New Roman"/>
                <w:sz w:val="20"/>
                <w:szCs w:val="20"/>
              </w:rPr>
            </w:pPr>
          </w:p>
          <w:p w14:paraId="2CB091FA" w14:textId="77777777" w:rsidR="002508D3" w:rsidRPr="00473248" w:rsidRDefault="002508D3" w:rsidP="00473248">
            <w:pPr>
              <w:spacing w:after="240"/>
              <w:ind w:firstLine="0"/>
              <w:rPr>
                <w:rFonts w:eastAsia="Times New Roman" w:cs="Times New Roman"/>
                <w:sz w:val="20"/>
                <w:szCs w:val="20"/>
              </w:rPr>
            </w:pPr>
          </w:p>
          <w:p w14:paraId="0CDCEF5A" w14:textId="77777777" w:rsidR="002508D3" w:rsidRPr="00473248" w:rsidRDefault="002508D3" w:rsidP="00473248">
            <w:pPr>
              <w:ind w:firstLine="0"/>
              <w:rPr>
                <w:rFonts w:eastAsia="Times New Roman" w:cs="Times New Roman"/>
                <w:color w:val="000000"/>
                <w:sz w:val="20"/>
                <w:szCs w:val="20"/>
              </w:rPr>
            </w:pPr>
          </w:p>
          <w:p w14:paraId="12D706C5" w14:textId="77777777" w:rsidR="002508D3" w:rsidRPr="00473248" w:rsidRDefault="002508D3" w:rsidP="00473248">
            <w:pPr>
              <w:ind w:firstLine="0"/>
              <w:rPr>
                <w:rFonts w:eastAsia="Times New Roman" w:cs="Times New Roman"/>
                <w:color w:val="000000"/>
                <w:sz w:val="20"/>
                <w:szCs w:val="20"/>
              </w:rPr>
            </w:pPr>
            <w:r w:rsidRPr="00473248">
              <w:rPr>
                <w:rFonts w:eastAsia="Times New Roman" w:cs="Times New Roman"/>
                <w:color w:val="000000"/>
                <w:sz w:val="20"/>
                <w:szCs w:val="20"/>
              </w:rPr>
              <w:t>MEAT</w:t>
            </w:r>
          </w:p>
        </w:tc>
        <w:tc>
          <w:tcPr>
            <w:tcW w:w="1701" w:type="dxa"/>
            <w:vMerge w:val="restart"/>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5E2B7A72" w14:textId="77777777" w:rsidR="002508D3" w:rsidRDefault="002508D3" w:rsidP="00473248">
            <w:pPr>
              <w:ind w:firstLine="0"/>
              <w:rPr>
                <w:rFonts w:eastAsia="Times New Roman" w:cs="Times New Roman"/>
                <w:color w:val="000000"/>
              </w:rPr>
            </w:pPr>
          </w:p>
          <w:p w14:paraId="4505612C" w14:textId="77777777" w:rsidR="002508D3" w:rsidRDefault="002508D3" w:rsidP="00473248">
            <w:pPr>
              <w:ind w:firstLine="0"/>
              <w:rPr>
                <w:rFonts w:eastAsia="Times New Roman" w:cs="Times New Roman"/>
                <w:color w:val="000000"/>
              </w:rPr>
            </w:pPr>
          </w:p>
          <w:p w14:paraId="7A6DB530" w14:textId="77777777" w:rsidR="002508D3" w:rsidRPr="00B165F8" w:rsidRDefault="002508D3" w:rsidP="00473248">
            <w:pPr>
              <w:ind w:firstLine="0"/>
              <w:rPr>
                <w:rFonts w:eastAsia="Times New Roman" w:cs="Times New Roman"/>
                <w:color w:val="000000"/>
                <w:sz w:val="20"/>
              </w:rPr>
            </w:pPr>
          </w:p>
          <w:p w14:paraId="5DCCFB54" w14:textId="77777777" w:rsidR="002508D3" w:rsidRPr="00135D14" w:rsidRDefault="002508D3" w:rsidP="00135D14">
            <w:pPr>
              <w:spacing w:line="240" w:lineRule="auto"/>
              <w:ind w:firstLine="0"/>
              <w:rPr>
                <w:rFonts w:eastAsia="Times New Roman" w:cs="Times New Roman"/>
                <w:color w:val="000000"/>
                <w:sz w:val="20"/>
                <w:szCs w:val="20"/>
              </w:rPr>
            </w:pPr>
            <w:r w:rsidRPr="00135D14">
              <w:rPr>
                <w:rFonts w:eastAsia="Times New Roman" w:cs="Times New Roman"/>
                <w:color w:val="000000"/>
                <w:sz w:val="20"/>
                <w:szCs w:val="20"/>
              </w:rPr>
              <w:t>Programul Educație și Formare, programul InvestEu, programul INTERREG EUROPE 2021-2027, buget propriu MEAT</w:t>
            </w:r>
          </w:p>
        </w:tc>
      </w:tr>
      <w:tr w:rsidR="002508D3" w14:paraId="19097744" w14:textId="77777777" w:rsidTr="00473248">
        <w:trPr>
          <w:trHeight w:val="420"/>
        </w:trPr>
        <w:tc>
          <w:tcPr>
            <w:tcW w:w="1892" w:type="dxa"/>
            <w:vMerge/>
            <w:tcBorders>
              <w:top w:val="single" w:sz="4" w:space="0" w:color="auto"/>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7F28FED3" w14:textId="77777777" w:rsidR="002508D3" w:rsidRDefault="002508D3" w:rsidP="002508D3">
            <w:pPr>
              <w:widowControl w:val="0"/>
              <w:pBdr>
                <w:top w:val="nil"/>
                <w:left w:val="nil"/>
                <w:bottom w:val="nil"/>
                <w:right w:val="nil"/>
                <w:between w:val="nil"/>
              </w:pBdr>
              <w:spacing w:after="0"/>
              <w:rPr>
                <w:rFonts w:eastAsia="Times New Roman" w:cs="Times New Roman"/>
                <w:color w:val="000000"/>
              </w:rPr>
            </w:pPr>
          </w:p>
        </w:tc>
        <w:tc>
          <w:tcPr>
            <w:tcW w:w="2121" w:type="dxa"/>
            <w:vMerge/>
            <w:tcBorders>
              <w:top w:val="single" w:sz="4" w:space="0" w:color="auto"/>
              <w:left w:val="single" w:sz="4" w:space="0" w:color="auto"/>
              <w:bottom w:val="single" w:sz="4" w:space="0" w:color="auto"/>
              <w:right w:val="single" w:sz="4" w:space="0" w:color="auto"/>
            </w:tcBorders>
          </w:tcPr>
          <w:p w14:paraId="62C4DA37" w14:textId="77777777" w:rsidR="002508D3" w:rsidRDefault="002508D3" w:rsidP="002508D3">
            <w:pPr>
              <w:pBdr>
                <w:top w:val="nil"/>
                <w:left w:val="nil"/>
                <w:bottom w:val="nil"/>
                <w:right w:val="nil"/>
                <w:between w:val="nil"/>
              </w:pBdr>
              <w:spacing w:after="0" w:line="240" w:lineRule="auto"/>
              <w:rPr>
                <w:rFonts w:eastAsia="Times New Roman" w:cs="Times New Roman"/>
                <w:color w:val="000000"/>
                <w:sz w:val="20"/>
                <w:szCs w:val="20"/>
              </w:rPr>
            </w:pPr>
          </w:p>
        </w:tc>
        <w:tc>
          <w:tcPr>
            <w:tcW w:w="4254" w:type="dxa"/>
            <w:tcBorders>
              <w:top w:val="single" w:sz="4" w:space="0" w:color="auto"/>
              <w:left w:val="single" w:sz="4" w:space="0" w:color="auto"/>
              <w:bottom w:val="single" w:sz="4" w:space="0" w:color="auto"/>
              <w:right w:val="single" w:sz="4" w:space="0" w:color="000000"/>
            </w:tcBorders>
            <w:tcMar>
              <w:top w:w="0" w:type="dxa"/>
              <w:left w:w="100" w:type="dxa"/>
              <w:bottom w:w="0" w:type="dxa"/>
              <w:right w:w="100" w:type="dxa"/>
            </w:tcMar>
          </w:tcPr>
          <w:p w14:paraId="34F449AC" w14:textId="77777777" w:rsidR="002508D3" w:rsidRDefault="002508D3" w:rsidP="002508D3">
            <w:pPr>
              <w:pBdr>
                <w:top w:val="nil"/>
                <w:left w:val="nil"/>
                <w:bottom w:val="nil"/>
                <w:right w:val="nil"/>
                <w:between w:val="nil"/>
              </w:pBd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7.13.2 Implementarea programelor de asistență /suport pentru antreprenori și ceilalți actori implicați în dezvoltarea verde a zonei costiere prin:</w:t>
            </w:r>
          </w:p>
          <w:p w14:paraId="1ABB0F39" w14:textId="77777777" w:rsidR="002508D3" w:rsidRDefault="002508D3" w:rsidP="002508D3">
            <w:pPr>
              <w:pBdr>
                <w:top w:val="nil"/>
                <w:left w:val="nil"/>
                <w:bottom w:val="nil"/>
                <w:right w:val="nil"/>
                <w:between w:val="nil"/>
              </w:pBdr>
              <w:spacing w:after="0" w:line="240" w:lineRule="auto"/>
              <w:ind w:left="270" w:firstLine="0"/>
              <w:rPr>
                <w:rFonts w:eastAsia="Times New Roman" w:cs="Times New Roman"/>
                <w:color w:val="000000"/>
                <w:sz w:val="20"/>
                <w:szCs w:val="20"/>
              </w:rPr>
            </w:pPr>
            <w:r>
              <w:rPr>
                <w:rFonts w:eastAsia="Times New Roman" w:cs="Times New Roman"/>
                <w:color w:val="000000"/>
                <w:sz w:val="20"/>
                <w:szCs w:val="20"/>
              </w:rPr>
              <w:t>i) furnizarea informațiilor necesare asupra condițiilor și posibilităților pentru dezvoltarea ideilor/planurilor de business, oportunitățile existente și potențiale de asistență financiară, precum și condițiile pentru obținerea asistenței în timpul pregătirii și implementării proiectelor;</w:t>
            </w:r>
          </w:p>
          <w:p w14:paraId="1543B8FA" w14:textId="77777777" w:rsidR="002508D3" w:rsidRDefault="002508D3" w:rsidP="002508D3">
            <w:pPr>
              <w:pBdr>
                <w:top w:val="nil"/>
                <w:left w:val="nil"/>
                <w:bottom w:val="nil"/>
                <w:right w:val="nil"/>
                <w:between w:val="nil"/>
              </w:pBdr>
              <w:spacing w:after="0" w:line="240" w:lineRule="auto"/>
              <w:ind w:left="270" w:firstLine="0"/>
              <w:rPr>
                <w:rFonts w:eastAsia="Times New Roman" w:cs="Times New Roman"/>
                <w:color w:val="000000"/>
                <w:sz w:val="20"/>
                <w:szCs w:val="20"/>
              </w:rPr>
            </w:pPr>
            <w:r>
              <w:rPr>
                <w:rFonts w:eastAsia="Times New Roman" w:cs="Times New Roman"/>
                <w:color w:val="000000"/>
                <w:sz w:val="20"/>
                <w:szCs w:val="20"/>
              </w:rPr>
              <w:t>ii) îmbunătățirea cunoștințelor și abilităților de concepere, pregătire și management a proiectelor prin realizarea unor ghiduri, organizarea de cursuri de pregătire, workshop-uri sau alte programe de pregătire pentru folosirea abordărilor inovative, noilor cunoștințe și abilități;</w:t>
            </w:r>
          </w:p>
          <w:p w14:paraId="621C1C4B" w14:textId="77777777" w:rsidR="002508D3" w:rsidRDefault="002508D3" w:rsidP="002508D3">
            <w:pPr>
              <w:pBdr>
                <w:top w:val="nil"/>
                <w:left w:val="nil"/>
                <w:bottom w:val="nil"/>
                <w:right w:val="nil"/>
                <w:between w:val="nil"/>
              </w:pBdr>
              <w:spacing w:after="0" w:line="240" w:lineRule="auto"/>
              <w:ind w:left="270" w:firstLine="0"/>
              <w:rPr>
                <w:rFonts w:eastAsia="Times New Roman" w:cs="Times New Roman"/>
                <w:color w:val="000000"/>
                <w:sz w:val="20"/>
                <w:szCs w:val="20"/>
              </w:rPr>
            </w:pPr>
            <w:r>
              <w:rPr>
                <w:rFonts w:eastAsia="Times New Roman" w:cs="Times New Roman"/>
                <w:color w:val="000000"/>
                <w:sz w:val="20"/>
                <w:szCs w:val="20"/>
              </w:rPr>
              <w:lastRenderedPageBreak/>
              <w:t>iii) pregătirea și implementarea programelor de schimb de cunoștințe și experiență la nivel regional, precum și european / internațional;</w:t>
            </w:r>
          </w:p>
          <w:p w14:paraId="6B766267"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iv) furnizarea de asistență tehnică directă în implementarea proiectelor.</w:t>
            </w:r>
          </w:p>
        </w:tc>
        <w:tc>
          <w:tcPr>
            <w:tcW w:w="1277" w:type="dxa"/>
            <w:tcBorders>
              <w:top w:val="single" w:sz="4" w:space="0" w:color="auto"/>
              <w:left w:val="single" w:sz="4" w:space="0" w:color="000000"/>
              <w:bottom w:val="single" w:sz="4" w:space="0" w:color="000000"/>
              <w:right w:val="single" w:sz="4" w:space="0" w:color="000000"/>
            </w:tcBorders>
            <w:tcMar>
              <w:top w:w="0" w:type="dxa"/>
              <w:left w:w="100" w:type="dxa"/>
              <w:bottom w:w="0" w:type="dxa"/>
              <w:right w:w="100" w:type="dxa"/>
            </w:tcMar>
          </w:tcPr>
          <w:p w14:paraId="37A9FE9B" w14:textId="77777777" w:rsidR="002508D3" w:rsidRPr="002508D3" w:rsidRDefault="002508D3" w:rsidP="002508D3">
            <w:pPr>
              <w:ind w:firstLine="0"/>
              <w:rPr>
                <w:rFonts w:eastAsia="Times New Roman" w:cs="Times New Roman"/>
                <w:color w:val="000000"/>
                <w:sz w:val="20"/>
                <w:szCs w:val="22"/>
              </w:rPr>
            </w:pPr>
            <w:r w:rsidRPr="002508D3">
              <w:rPr>
                <w:rFonts w:eastAsia="Times New Roman" w:cs="Times New Roman"/>
                <w:color w:val="000000"/>
                <w:sz w:val="20"/>
                <w:szCs w:val="22"/>
              </w:rPr>
              <w:lastRenderedPageBreak/>
              <w:t>Ridicată</w:t>
            </w:r>
          </w:p>
        </w:tc>
        <w:tc>
          <w:tcPr>
            <w:tcW w:w="1418" w:type="dxa"/>
            <w:tcBorders>
              <w:top w:val="single" w:sz="4" w:space="0" w:color="auto"/>
              <w:left w:val="single" w:sz="4" w:space="0" w:color="000000"/>
              <w:bottom w:val="single" w:sz="4" w:space="0" w:color="000000"/>
              <w:right w:val="single" w:sz="4" w:space="0" w:color="000000"/>
            </w:tcBorders>
            <w:tcMar>
              <w:top w:w="0" w:type="dxa"/>
              <w:left w:w="100" w:type="dxa"/>
              <w:bottom w:w="0" w:type="dxa"/>
              <w:right w:w="100" w:type="dxa"/>
            </w:tcMar>
          </w:tcPr>
          <w:p w14:paraId="0F995D73" w14:textId="77777777" w:rsidR="002508D3" w:rsidRPr="002508D3" w:rsidRDefault="002508D3" w:rsidP="002508D3">
            <w:pPr>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vMerge/>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9A2AFCA" w14:textId="77777777" w:rsidR="002508D3" w:rsidRDefault="002508D3" w:rsidP="002508D3">
            <w:pPr>
              <w:widowControl w:val="0"/>
              <w:pBdr>
                <w:top w:val="nil"/>
                <w:left w:val="nil"/>
                <w:bottom w:val="nil"/>
                <w:right w:val="nil"/>
                <w:between w:val="nil"/>
              </w:pBdr>
              <w:spacing w:after="0"/>
              <w:rPr>
                <w:rFonts w:eastAsia="Times New Roman" w:cs="Times New Roman"/>
                <w:color w:val="000000"/>
              </w:rPr>
            </w:pPr>
          </w:p>
        </w:tc>
        <w:tc>
          <w:tcPr>
            <w:tcW w:w="1701" w:type="dxa"/>
            <w:vMerge/>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13E95E6" w14:textId="77777777" w:rsidR="002508D3" w:rsidRDefault="002508D3" w:rsidP="002508D3">
            <w:pPr>
              <w:widowControl w:val="0"/>
              <w:pBdr>
                <w:top w:val="nil"/>
                <w:left w:val="nil"/>
                <w:bottom w:val="nil"/>
                <w:right w:val="nil"/>
                <w:between w:val="nil"/>
              </w:pBdr>
              <w:spacing w:after="0"/>
              <w:rPr>
                <w:rFonts w:eastAsia="Times New Roman" w:cs="Times New Roman"/>
                <w:color w:val="000000"/>
              </w:rPr>
            </w:pPr>
          </w:p>
        </w:tc>
      </w:tr>
      <w:tr w:rsidR="002508D3" w14:paraId="553446E0" w14:textId="77777777" w:rsidTr="00473248">
        <w:trPr>
          <w:trHeight w:val="420"/>
        </w:trPr>
        <w:tc>
          <w:tcPr>
            <w:tcW w:w="1892"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1B3135F6" w14:textId="77777777" w:rsidR="002508D3" w:rsidRDefault="002508D3" w:rsidP="002508D3">
            <w:pPr>
              <w:widowControl w:val="0"/>
              <w:pBdr>
                <w:top w:val="nil"/>
                <w:left w:val="nil"/>
                <w:bottom w:val="nil"/>
                <w:right w:val="nil"/>
                <w:between w:val="nil"/>
              </w:pBdr>
              <w:spacing w:after="0"/>
              <w:rPr>
                <w:rFonts w:eastAsia="Times New Roman" w:cs="Times New Roman"/>
                <w:color w:val="000000"/>
              </w:rPr>
            </w:pPr>
          </w:p>
        </w:tc>
        <w:tc>
          <w:tcPr>
            <w:tcW w:w="2121" w:type="dxa"/>
            <w:vMerge/>
            <w:tcBorders>
              <w:top w:val="single" w:sz="4" w:space="0" w:color="auto"/>
              <w:left w:val="single" w:sz="4" w:space="0" w:color="auto"/>
              <w:bottom w:val="single" w:sz="4" w:space="0" w:color="auto"/>
              <w:right w:val="single" w:sz="4" w:space="0" w:color="auto"/>
            </w:tcBorders>
          </w:tcPr>
          <w:p w14:paraId="49EFD211" w14:textId="77777777" w:rsidR="002508D3" w:rsidRDefault="002508D3" w:rsidP="002508D3">
            <w:pPr>
              <w:spacing w:after="0" w:line="240" w:lineRule="auto"/>
              <w:rPr>
                <w:rFonts w:eastAsia="Times New Roman" w:cs="Times New Roman"/>
                <w:color w:val="000000"/>
                <w:sz w:val="20"/>
                <w:szCs w:val="20"/>
              </w:rPr>
            </w:pPr>
          </w:p>
        </w:tc>
        <w:tc>
          <w:tcPr>
            <w:tcW w:w="4254" w:type="dxa"/>
            <w:tcBorders>
              <w:top w:val="single" w:sz="4" w:space="0" w:color="auto"/>
              <w:left w:val="single" w:sz="4" w:space="0" w:color="auto"/>
              <w:bottom w:val="single" w:sz="4" w:space="0" w:color="auto"/>
              <w:right w:val="single" w:sz="4" w:space="0" w:color="000000"/>
            </w:tcBorders>
            <w:tcMar>
              <w:top w:w="0" w:type="dxa"/>
              <w:left w:w="100" w:type="dxa"/>
              <w:bottom w:w="0" w:type="dxa"/>
              <w:right w:w="100" w:type="dxa"/>
            </w:tcMar>
          </w:tcPr>
          <w:p w14:paraId="105ABCC1" w14:textId="77777777" w:rsidR="002508D3" w:rsidRDefault="002508D3" w:rsidP="002508D3">
            <w:pPr>
              <w:spacing w:after="0" w:line="240" w:lineRule="auto"/>
              <w:ind w:firstLine="0"/>
              <w:rPr>
                <w:rFonts w:eastAsia="Times New Roman" w:cs="Times New Roman"/>
                <w:color w:val="000000"/>
                <w:sz w:val="20"/>
                <w:szCs w:val="20"/>
              </w:rPr>
            </w:pPr>
            <w:r>
              <w:rPr>
                <w:rFonts w:eastAsia="Times New Roman" w:cs="Times New Roman"/>
                <w:color w:val="000000"/>
                <w:sz w:val="20"/>
                <w:szCs w:val="20"/>
              </w:rPr>
              <w:t>A 7.13.3 Implementarea de programe pentru pregătirea și monitorizarea (prin programe europene suport) implementării proiectelor</w:t>
            </w:r>
          </w:p>
        </w:tc>
        <w:tc>
          <w:tcPr>
            <w:tcW w:w="1277" w:type="dxa"/>
            <w:tcBorders>
              <w:top w:val="single" w:sz="4" w:space="0" w:color="000000"/>
              <w:left w:val="single" w:sz="4" w:space="0" w:color="000000"/>
              <w:bottom w:val="single" w:sz="4" w:space="0" w:color="auto"/>
              <w:right w:val="single" w:sz="4" w:space="0" w:color="000000"/>
            </w:tcBorders>
            <w:tcMar>
              <w:top w:w="0" w:type="dxa"/>
              <w:left w:w="100" w:type="dxa"/>
              <w:bottom w:w="0" w:type="dxa"/>
              <w:right w:w="100" w:type="dxa"/>
            </w:tcMar>
          </w:tcPr>
          <w:p w14:paraId="04080525" w14:textId="77777777" w:rsidR="002508D3" w:rsidRPr="002508D3" w:rsidRDefault="002508D3" w:rsidP="002508D3">
            <w:pPr>
              <w:ind w:firstLine="0"/>
              <w:rPr>
                <w:rFonts w:eastAsia="Times New Roman" w:cs="Times New Roman"/>
                <w:color w:val="000000"/>
                <w:sz w:val="20"/>
                <w:szCs w:val="22"/>
              </w:rPr>
            </w:pPr>
            <w:r w:rsidRPr="002508D3">
              <w:rPr>
                <w:rFonts w:eastAsia="Times New Roman" w:cs="Times New Roman"/>
                <w:color w:val="000000"/>
                <w:sz w:val="20"/>
                <w:szCs w:val="22"/>
              </w:rPr>
              <w:t>Ridicată</w:t>
            </w:r>
          </w:p>
        </w:tc>
        <w:tc>
          <w:tcPr>
            <w:tcW w:w="1418" w:type="dxa"/>
            <w:tcBorders>
              <w:top w:val="single" w:sz="4" w:space="0" w:color="000000"/>
              <w:left w:val="single" w:sz="4" w:space="0" w:color="000000"/>
              <w:bottom w:val="single" w:sz="4" w:space="0" w:color="auto"/>
              <w:right w:val="single" w:sz="4" w:space="0" w:color="000000"/>
            </w:tcBorders>
            <w:tcMar>
              <w:top w:w="0" w:type="dxa"/>
              <w:left w:w="100" w:type="dxa"/>
              <w:bottom w:w="0" w:type="dxa"/>
              <w:right w:w="100" w:type="dxa"/>
            </w:tcMar>
          </w:tcPr>
          <w:p w14:paraId="42BA056D" w14:textId="77777777" w:rsidR="002508D3" w:rsidRPr="002508D3" w:rsidRDefault="002508D3" w:rsidP="002508D3">
            <w:pPr>
              <w:ind w:firstLine="0"/>
              <w:rPr>
                <w:rFonts w:eastAsia="Times New Roman" w:cs="Times New Roman"/>
                <w:color w:val="000000"/>
                <w:sz w:val="20"/>
                <w:szCs w:val="20"/>
              </w:rPr>
            </w:pPr>
            <w:r w:rsidRPr="002508D3">
              <w:rPr>
                <w:rFonts w:eastAsia="Times New Roman" w:cs="Times New Roman"/>
                <w:color w:val="000000"/>
                <w:sz w:val="20"/>
                <w:szCs w:val="20"/>
              </w:rPr>
              <w:t>2030</w:t>
            </w:r>
          </w:p>
        </w:tc>
        <w:tc>
          <w:tcPr>
            <w:tcW w:w="1419" w:type="dxa"/>
            <w:vMerge/>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756F0E25" w14:textId="77777777" w:rsidR="002508D3" w:rsidRDefault="002508D3" w:rsidP="002508D3">
            <w:pPr>
              <w:widowControl w:val="0"/>
              <w:pBdr>
                <w:top w:val="nil"/>
                <w:left w:val="nil"/>
                <w:bottom w:val="nil"/>
                <w:right w:val="nil"/>
                <w:between w:val="nil"/>
              </w:pBdr>
              <w:spacing w:after="0"/>
              <w:rPr>
                <w:rFonts w:eastAsia="Times New Roman" w:cs="Times New Roman"/>
                <w:color w:val="000000"/>
              </w:rPr>
            </w:pPr>
          </w:p>
        </w:tc>
        <w:tc>
          <w:tcPr>
            <w:tcW w:w="1701" w:type="dxa"/>
            <w:vMerge/>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407EA2B1" w14:textId="77777777" w:rsidR="002508D3" w:rsidRDefault="002508D3" w:rsidP="002508D3">
            <w:pPr>
              <w:widowControl w:val="0"/>
              <w:pBdr>
                <w:top w:val="nil"/>
                <w:left w:val="nil"/>
                <w:bottom w:val="nil"/>
                <w:right w:val="nil"/>
                <w:between w:val="nil"/>
              </w:pBdr>
              <w:spacing w:after="0"/>
              <w:rPr>
                <w:rFonts w:eastAsia="Times New Roman" w:cs="Times New Roman"/>
                <w:color w:val="000000"/>
              </w:rPr>
            </w:pPr>
          </w:p>
        </w:tc>
      </w:tr>
    </w:tbl>
    <w:p w14:paraId="1A61188E" w14:textId="77777777" w:rsidR="002508D3" w:rsidRDefault="002508D3" w:rsidP="00473248">
      <w:pPr>
        <w:tabs>
          <w:tab w:val="left" w:pos="1620"/>
        </w:tabs>
        <w:spacing w:line="257" w:lineRule="auto"/>
        <w:ind w:firstLine="0"/>
        <w:rPr>
          <w:rFonts w:eastAsia="Times New Roman" w:cs="Times New Roman"/>
        </w:rPr>
      </w:pPr>
    </w:p>
    <w:p w14:paraId="19F7C0C7" w14:textId="77777777" w:rsidR="002508D3" w:rsidRDefault="002508D3" w:rsidP="00473248">
      <w:pPr>
        <w:spacing w:before="0"/>
        <w:ind w:firstLine="567"/>
        <w:rPr>
          <w:rFonts w:eastAsia="Times New Roman" w:cs="Times New Roman"/>
          <w:b/>
          <w:i/>
        </w:rPr>
      </w:pPr>
      <w:r>
        <w:rPr>
          <w:rFonts w:eastAsia="Times New Roman" w:cs="Times New Roman"/>
        </w:rPr>
        <w:tab/>
        <w:t xml:space="preserve">Activitățile ce se vor realiza în vederea implementării Programului de </w:t>
      </w:r>
      <w:r w:rsidRPr="00DF369E">
        <w:rPr>
          <w:rFonts w:eastAsia="Times New Roman" w:cs="Times New Roman"/>
          <w:b/>
          <w:i/>
        </w:rPr>
        <w:t xml:space="preserve">Măsuri vizând planificarea spațială în zona costieră </w:t>
      </w:r>
      <w:r>
        <w:rPr>
          <w:rFonts w:eastAsia="Times New Roman" w:cs="Times New Roman"/>
        </w:rPr>
        <w:t>sunt prezentate în Tabelul de mai jos, unde sunt indicate termenele de implementare, organizațiile responsabile pentru realizarea activităților, și implicit implementarea măsurilor, precum și posibilele surse de finanțare.</w:t>
      </w:r>
    </w:p>
    <w:tbl>
      <w:tblPr>
        <w:tblW w:w="14095" w:type="dxa"/>
        <w:tblInd w:w="-70" w:type="dxa"/>
        <w:tblBorders>
          <w:top w:val="nil"/>
          <w:left w:val="nil"/>
          <w:bottom w:val="nil"/>
          <w:right w:val="nil"/>
          <w:insideH w:val="nil"/>
          <w:insideV w:val="nil"/>
        </w:tblBorders>
        <w:tblLayout w:type="fixed"/>
        <w:tblLook w:val="0600" w:firstRow="0" w:lastRow="0" w:firstColumn="0" w:lastColumn="0" w:noHBand="1" w:noVBand="1"/>
      </w:tblPr>
      <w:tblGrid>
        <w:gridCol w:w="1892"/>
        <w:gridCol w:w="2133"/>
        <w:gridCol w:w="4254"/>
        <w:gridCol w:w="1277"/>
        <w:gridCol w:w="1418"/>
        <w:gridCol w:w="1419"/>
        <w:gridCol w:w="1702"/>
      </w:tblGrid>
      <w:tr w:rsidR="002508D3" w14:paraId="5CE0267D" w14:textId="77777777" w:rsidTr="002508D3">
        <w:trPr>
          <w:trHeight w:val="570"/>
        </w:trPr>
        <w:tc>
          <w:tcPr>
            <w:tcW w:w="1892" w:type="dxa"/>
            <w:tcBorders>
              <w:top w:val="single" w:sz="5" w:space="0" w:color="000000"/>
              <w:left w:val="single" w:sz="5" w:space="0" w:color="000000"/>
              <w:bottom w:val="single" w:sz="5" w:space="0" w:color="000000"/>
              <w:right w:val="single" w:sz="4" w:space="0" w:color="auto"/>
            </w:tcBorders>
            <w:tcMar>
              <w:top w:w="0" w:type="dxa"/>
              <w:left w:w="100" w:type="dxa"/>
              <w:bottom w:w="0" w:type="dxa"/>
              <w:right w:w="100" w:type="dxa"/>
            </w:tcMar>
          </w:tcPr>
          <w:p w14:paraId="50AB46D1"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Măsură</w:t>
            </w:r>
          </w:p>
        </w:tc>
        <w:tc>
          <w:tcPr>
            <w:tcW w:w="2133" w:type="dxa"/>
            <w:tcBorders>
              <w:top w:val="single" w:sz="4" w:space="0" w:color="auto"/>
              <w:left w:val="single" w:sz="4" w:space="0" w:color="auto"/>
              <w:bottom w:val="single" w:sz="4" w:space="0" w:color="auto"/>
              <w:right w:val="single" w:sz="4" w:space="0" w:color="auto"/>
            </w:tcBorders>
          </w:tcPr>
          <w:p w14:paraId="55C8A66D"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Obiective vizate</w:t>
            </w:r>
          </w:p>
        </w:tc>
        <w:tc>
          <w:tcPr>
            <w:tcW w:w="4254" w:type="dxa"/>
            <w:tcBorders>
              <w:top w:val="single" w:sz="5" w:space="0" w:color="000000"/>
              <w:left w:val="single" w:sz="4" w:space="0" w:color="auto"/>
              <w:bottom w:val="single" w:sz="5" w:space="0" w:color="000000"/>
              <w:right w:val="single" w:sz="5" w:space="0" w:color="000000"/>
            </w:tcBorders>
            <w:tcMar>
              <w:top w:w="0" w:type="dxa"/>
              <w:left w:w="100" w:type="dxa"/>
              <w:bottom w:w="0" w:type="dxa"/>
              <w:right w:w="100" w:type="dxa"/>
            </w:tcMar>
          </w:tcPr>
          <w:p w14:paraId="0DA59006"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Activitate</w:t>
            </w:r>
          </w:p>
        </w:tc>
        <w:tc>
          <w:tcPr>
            <w:tcW w:w="1277"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2392E34A"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Prioritate</w:t>
            </w:r>
          </w:p>
        </w:tc>
        <w:tc>
          <w:tcPr>
            <w:tcW w:w="1418"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55264EB2"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Termen de implementare</w:t>
            </w:r>
          </w:p>
        </w:tc>
        <w:tc>
          <w:tcPr>
            <w:tcW w:w="1419"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39A5E113"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Instituții responsabile</w:t>
            </w:r>
          </w:p>
        </w:tc>
        <w:tc>
          <w:tcPr>
            <w:tcW w:w="1702"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2BB86AA6"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Finanțare</w:t>
            </w:r>
          </w:p>
        </w:tc>
      </w:tr>
      <w:tr w:rsidR="002508D3" w14:paraId="2BC88417" w14:textId="77777777" w:rsidTr="002508D3">
        <w:trPr>
          <w:trHeight w:val="806"/>
        </w:trPr>
        <w:tc>
          <w:tcPr>
            <w:tcW w:w="1892" w:type="dxa"/>
            <w:vMerge w:val="restart"/>
            <w:tcBorders>
              <w:top w:val="nil"/>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1E316E7E"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 xml:space="preserve">M8.1 </w:t>
            </w:r>
            <w:r>
              <w:rPr>
                <w:rFonts w:eastAsia="Times New Roman" w:cs="Times New Roman"/>
                <w:color w:val="000000"/>
                <w:sz w:val="20"/>
                <w:szCs w:val="20"/>
              </w:rPr>
              <w:t>Crearea unui cadru coerent, integrat și sinergic de planificare spațială specific pentru teritoriul transfrontalier și regional</w:t>
            </w:r>
          </w:p>
        </w:tc>
        <w:tc>
          <w:tcPr>
            <w:tcW w:w="2133" w:type="dxa"/>
            <w:vMerge w:val="restart"/>
            <w:tcBorders>
              <w:top w:val="single" w:sz="4" w:space="0" w:color="auto"/>
              <w:left w:val="single" w:sz="4" w:space="0" w:color="auto"/>
              <w:right w:val="single" w:sz="4" w:space="0" w:color="auto"/>
            </w:tcBorders>
          </w:tcPr>
          <w:p w14:paraId="69688C85" w14:textId="77777777" w:rsidR="002508D3" w:rsidRPr="00DB179E" w:rsidRDefault="002508D3" w:rsidP="00473248">
            <w:pPr>
              <w:spacing w:line="240" w:lineRule="auto"/>
              <w:ind w:firstLine="0"/>
              <w:rPr>
                <w:rFonts w:eastAsia="Times New Roman" w:cs="Times New Roman"/>
                <w:sz w:val="20"/>
                <w:szCs w:val="20"/>
              </w:rPr>
            </w:pPr>
            <w:r w:rsidRPr="00DB179E">
              <w:rPr>
                <w:rFonts w:eastAsia="Times New Roman" w:cs="Times New Roman"/>
                <w:sz w:val="20"/>
                <w:szCs w:val="20"/>
              </w:rPr>
              <w:t>Os3.a Punerea în practică a planurilor de amenajare spațială a zonei costiere în coordonare cu planurile statelor vecine;</w:t>
            </w:r>
          </w:p>
          <w:p w14:paraId="6AE3C5B9" w14:textId="77777777" w:rsidR="002508D3" w:rsidRDefault="002508D3" w:rsidP="00473248">
            <w:pPr>
              <w:spacing w:line="240" w:lineRule="auto"/>
              <w:ind w:firstLine="0"/>
              <w:rPr>
                <w:rFonts w:eastAsia="Times New Roman" w:cs="Times New Roman"/>
                <w:sz w:val="20"/>
                <w:szCs w:val="20"/>
              </w:rPr>
            </w:pPr>
            <w:r w:rsidRPr="00DB179E">
              <w:rPr>
                <w:rFonts w:eastAsia="Times New Roman" w:cs="Times New Roman"/>
                <w:sz w:val="20"/>
                <w:szCs w:val="20"/>
              </w:rPr>
              <w:t xml:space="preserve"> Os3.c Planificare și dezvoltare spațială integrată și durabilă a zonelor metropolitane, periurbane și rurale din zona costieră.</w:t>
            </w:r>
          </w:p>
        </w:tc>
        <w:tc>
          <w:tcPr>
            <w:tcW w:w="4254" w:type="dxa"/>
            <w:tcBorders>
              <w:top w:val="nil"/>
              <w:left w:val="single" w:sz="4" w:space="0" w:color="auto"/>
              <w:bottom w:val="single" w:sz="5" w:space="0" w:color="000000"/>
              <w:right w:val="single" w:sz="5" w:space="0" w:color="000000"/>
            </w:tcBorders>
            <w:shd w:val="clear" w:color="auto" w:fill="auto"/>
            <w:tcMar>
              <w:top w:w="0" w:type="dxa"/>
              <w:left w:w="100" w:type="dxa"/>
              <w:bottom w:w="0" w:type="dxa"/>
              <w:right w:w="100" w:type="dxa"/>
            </w:tcMar>
          </w:tcPr>
          <w:p w14:paraId="3F252A44"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A 8.1.1 Elaborarea / actualizarea metodologiei de elaborare a planurilor de amenajare a teritoriului zonal transfrontalier și interjudețean</w:t>
            </w:r>
          </w:p>
        </w:tc>
        <w:tc>
          <w:tcPr>
            <w:tcW w:w="1277"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FD34773"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768CAF7"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2027</w:t>
            </w:r>
          </w:p>
        </w:tc>
        <w:tc>
          <w:tcPr>
            <w:tcW w:w="1419"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A3F2472"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MDLPA</w:t>
            </w:r>
          </w:p>
        </w:tc>
        <w:tc>
          <w:tcPr>
            <w:tcW w:w="1702"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3660486"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Buget propriu MDLPA, INTERREG EUROPE 2021-2027, ESPON 2030 și Interreg Interact IV 2021-2027</w:t>
            </w:r>
          </w:p>
        </w:tc>
      </w:tr>
      <w:tr w:rsidR="002508D3" w14:paraId="22619AB3" w14:textId="77777777" w:rsidTr="002508D3">
        <w:trPr>
          <w:trHeight w:val="1110"/>
        </w:trPr>
        <w:tc>
          <w:tcPr>
            <w:tcW w:w="1892" w:type="dxa"/>
            <w:vMerge/>
            <w:tcBorders>
              <w:top w:val="nil"/>
              <w:left w:val="single" w:sz="5" w:space="0" w:color="000000"/>
              <w:bottom w:val="single" w:sz="5" w:space="0" w:color="000000"/>
              <w:right w:val="single" w:sz="4" w:space="0" w:color="auto"/>
            </w:tcBorders>
            <w:shd w:val="clear" w:color="auto" w:fill="auto"/>
            <w:tcMar>
              <w:top w:w="0" w:type="dxa"/>
              <w:left w:w="100" w:type="dxa"/>
              <w:bottom w:w="0" w:type="dxa"/>
              <w:right w:w="100" w:type="dxa"/>
            </w:tcMar>
          </w:tcPr>
          <w:p w14:paraId="46802020" w14:textId="77777777" w:rsidR="002508D3" w:rsidRDefault="002508D3" w:rsidP="00473248">
            <w:pPr>
              <w:widowControl w:val="0"/>
              <w:pBdr>
                <w:top w:val="nil"/>
                <w:left w:val="nil"/>
                <w:bottom w:val="nil"/>
                <w:right w:val="nil"/>
                <w:between w:val="nil"/>
              </w:pBdr>
              <w:spacing w:after="0"/>
              <w:ind w:firstLine="0"/>
              <w:rPr>
                <w:rFonts w:eastAsia="Times New Roman" w:cs="Times New Roman"/>
                <w:sz w:val="20"/>
                <w:szCs w:val="20"/>
              </w:rPr>
            </w:pPr>
          </w:p>
        </w:tc>
        <w:tc>
          <w:tcPr>
            <w:tcW w:w="2133" w:type="dxa"/>
            <w:vMerge/>
            <w:tcBorders>
              <w:left w:val="single" w:sz="4" w:space="0" w:color="auto"/>
              <w:bottom w:val="single" w:sz="4" w:space="0" w:color="auto"/>
              <w:right w:val="single" w:sz="4" w:space="0" w:color="auto"/>
            </w:tcBorders>
          </w:tcPr>
          <w:p w14:paraId="3C5D4730" w14:textId="77777777" w:rsidR="002508D3" w:rsidRDefault="002508D3" w:rsidP="00473248">
            <w:pPr>
              <w:spacing w:after="0" w:line="240" w:lineRule="auto"/>
              <w:ind w:firstLine="0"/>
              <w:rPr>
                <w:rFonts w:eastAsia="Times New Roman" w:cs="Times New Roman"/>
                <w:sz w:val="20"/>
                <w:szCs w:val="20"/>
              </w:rPr>
            </w:pPr>
          </w:p>
        </w:tc>
        <w:tc>
          <w:tcPr>
            <w:tcW w:w="4254" w:type="dxa"/>
            <w:tcBorders>
              <w:top w:val="nil"/>
              <w:left w:val="single" w:sz="4" w:space="0" w:color="auto"/>
              <w:bottom w:val="single" w:sz="4" w:space="0" w:color="000000"/>
              <w:right w:val="single" w:sz="5" w:space="0" w:color="000000"/>
            </w:tcBorders>
            <w:shd w:val="clear" w:color="auto" w:fill="auto"/>
            <w:tcMar>
              <w:top w:w="0" w:type="dxa"/>
              <w:left w:w="100" w:type="dxa"/>
              <w:bottom w:w="0" w:type="dxa"/>
              <w:right w:w="100" w:type="dxa"/>
            </w:tcMar>
          </w:tcPr>
          <w:p w14:paraId="6180D4ED"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 xml:space="preserve">A 8.1.2 </w:t>
            </w:r>
            <w:r>
              <w:rPr>
                <w:rFonts w:eastAsia="Times New Roman" w:cs="Times New Roman"/>
                <w:sz w:val="20"/>
                <w:szCs w:val="20"/>
              </w:rPr>
              <w:tab/>
              <w:t>Inițierea și elaborarea de strategii și planuri de dezvoltare spațială în zonele transfrontaliere și în zona costieră a Mării Negre</w:t>
            </w:r>
          </w:p>
          <w:p w14:paraId="267575CB"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 xml:space="preserve"> </w:t>
            </w:r>
          </w:p>
        </w:tc>
        <w:tc>
          <w:tcPr>
            <w:tcW w:w="1277" w:type="dxa"/>
            <w:tcBorders>
              <w:top w:val="nil"/>
              <w:left w:val="nil"/>
              <w:bottom w:val="single" w:sz="4" w:space="0" w:color="000000"/>
              <w:right w:val="single" w:sz="5" w:space="0" w:color="000000"/>
            </w:tcBorders>
            <w:shd w:val="clear" w:color="auto" w:fill="auto"/>
            <w:tcMar>
              <w:top w:w="0" w:type="dxa"/>
              <w:left w:w="100" w:type="dxa"/>
              <w:bottom w:w="0" w:type="dxa"/>
              <w:right w:w="100" w:type="dxa"/>
            </w:tcMar>
          </w:tcPr>
          <w:p w14:paraId="0334C398"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nil"/>
              <w:left w:val="nil"/>
              <w:bottom w:val="single" w:sz="4" w:space="0" w:color="000000"/>
              <w:right w:val="single" w:sz="5" w:space="0" w:color="000000"/>
            </w:tcBorders>
            <w:shd w:val="clear" w:color="auto" w:fill="auto"/>
            <w:tcMar>
              <w:top w:w="0" w:type="dxa"/>
              <w:left w:w="100" w:type="dxa"/>
              <w:bottom w:w="0" w:type="dxa"/>
              <w:right w:w="100" w:type="dxa"/>
            </w:tcMar>
          </w:tcPr>
          <w:p w14:paraId="1A403F57"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nil"/>
              <w:left w:val="nil"/>
              <w:bottom w:val="single" w:sz="4" w:space="0" w:color="000000"/>
              <w:right w:val="single" w:sz="5" w:space="0" w:color="000000"/>
            </w:tcBorders>
            <w:shd w:val="clear" w:color="auto" w:fill="auto"/>
            <w:tcMar>
              <w:top w:w="0" w:type="dxa"/>
              <w:left w:w="100" w:type="dxa"/>
              <w:bottom w:w="0" w:type="dxa"/>
              <w:right w:w="100" w:type="dxa"/>
            </w:tcMar>
          </w:tcPr>
          <w:p w14:paraId="2DCAAB06"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MDLPA, autorități locale, MAE</w:t>
            </w:r>
          </w:p>
        </w:tc>
        <w:tc>
          <w:tcPr>
            <w:tcW w:w="1702" w:type="dxa"/>
            <w:tcBorders>
              <w:top w:val="nil"/>
              <w:left w:val="nil"/>
              <w:bottom w:val="single" w:sz="4" w:space="0" w:color="000000"/>
              <w:right w:val="single" w:sz="5" w:space="0" w:color="000000"/>
            </w:tcBorders>
            <w:shd w:val="clear" w:color="auto" w:fill="auto"/>
            <w:tcMar>
              <w:top w:w="0" w:type="dxa"/>
              <w:left w:w="100" w:type="dxa"/>
              <w:bottom w:w="0" w:type="dxa"/>
              <w:right w:w="100" w:type="dxa"/>
            </w:tcMar>
          </w:tcPr>
          <w:p w14:paraId="530FDB6C"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Buget propriu MDLPA, INTERREG EUROPE 2021-2027, ESPON 2030 și Interreg Interact IV 2021-2027</w:t>
            </w:r>
          </w:p>
        </w:tc>
      </w:tr>
      <w:tr w:rsidR="002508D3" w14:paraId="26D6AC95" w14:textId="77777777" w:rsidTr="002508D3">
        <w:trPr>
          <w:trHeight w:val="460"/>
        </w:trPr>
        <w:tc>
          <w:tcPr>
            <w:tcW w:w="1892" w:type="dxa"/>
            <w:vMerge w:val="restart"/>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15787E0D" w14:textId="77777777" w:rsidR="002508D3" w:rsidRDefault="002508D3" w:rsidP="00473248">
            <w:pPr>
              <w:spacing w:after="0" w:line="240" w:lineRule="auto"/>
              <w:ind w:firstLine="0"/>
              <w:rPr>
                <w:rFonts w:eastAsia="Times New Roman" w:cs="Times New Roman"/>
                <w:sz w:val="20"/>
                <w:szCs w:val="20"/>
              </w:rPr>
            </w:pPr>
          </w:p>
          <w:p w14:paraId="4A8874F7" w14:textId="77777777" w:rsidR="002508D3" w:rsidRDefault="002508D3" w:rsidP="00473248">
            <w:pPr>
              <w:spacing w:after="0" w:line="240" w:lineRule="auto"/>
              <w:ind w:firstLine="0"/>
              <w:rPr>
                <w:rFonts w:eastAsia="Times New Roman" w:cs="Times New Roman"/>
                <w:sz w:val="20"/>
                <w:szCs w:val="20"/>
              </w:rPr>
            </w:pPr>
          </w:p>
          <w:p w14:paraId="6FFC0311" w14:textId="77777777" w:rsidR="002508D3" w:rsidRDefault="002508D3" w:rsidP="00473248">
            <w:pPr>
              <w:spacing w:after="0" w:line="240" w:lineRule="auto"/>
              <w:ind w:firstLine="0"/>
              <w:rPr>
                <w:rFonts w:eastAsia="Times New Roman" w:cs="Times New Roman"/>
                <w:sz w:val="20"/>
                <w:szCs w:val="20"/>
              </w:rPr>
            </w:pPr>
          </w:p>
          <w:p w14:paraId="320E8D20" w14:textId="77777777" w:rsidR="002508D3" w:rsidRDefault="002508D3" w:rsidP="00473248">
            <w:pPr>
              <w:spacing w:after="0" w:line="240" w:lineRule="auto"/>
              <w:ind w:firstLine="0"/>
              <w:rPr>
                <w:rFonts w:eastAsia="Times New Roman" w:cs="Times New Roman"/>
                <w:sz w:val="20"/>
                <w:szCs w:val="20"/>
              </w:rPr>
            </w:pPr>
          </w:p>
          <w:p w14:paraId="7348D878"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M8.2 Crearea unui cadru coerent și integrat de planificare spațială la nivel zonal și local</w:t>
            </w:r>
          </w:p>
        </w:tc>
        <w:tc>
          <w:tcPr>
            <w:tcW w:w="2133" w:type="dxa"/>
            <w:vMerge w:val="restart"/>
            <w:tcBorders>
              <w:top w:val="single" w:sz="4" w:space="0" w:color="auto"/>
              <w:left w:val="single" w:sz="4" w:space="0" w:color="auto"/>
              <w:bottom w:val="single" w:sz="4" w:space="0" w:color="auto"/>
              <w:right w:val="single" w:sz="4" w:space="0" w:color="auto"/>
            </w:tcBorders>
          </w:tcPr>
          <w:p w14:paraId="4CA5573F" w14:textId="77777777" w:rsidR="002508D3" w:rsidRDefault="002508D3" w:rsidP="00473248">
            <w:pPr>
              <w:spacing w:after="0" w:line="240" w:lineRule="auto"/>
              <w:ind w:firstLine="0"/>
              <w:rPr>
                <w:rFonts w:eastAsia="Times New Roman" w:cs="Times New Roman"/>
                <w:sz w:val="20"/>
                <w:szCs w:val="20"/>
              </w:rPr>
            </w:pPr>
            <w:r w:rsidRPr="00DB179E">
              <w:rPr>
                <w:rFonts w:eastAsia="Times New Roman" w:cs="Times New Roman"/>
                <w:sz w:val="20"/>
                <w:szCs w:val="20"/>
              </w:rPr>
              <w:t>Os3.c Planificare și dezvoltare spațială integrată și durabilă a zonelor metropolitane, periurbane și rurale din zona costieră</w:t>
            </w: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7E10FC33"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A 8.2.1 Elaborarea și aprobarea unui regulament-cadru de urbanism pentru zona costieră</w:t>
            </w:r>
          </w:p>
        </w:tc>
        <w:tc>
          <w:tcPr>
            <w:tcW w:w="1277"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6CA83B71"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8"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0CFD5544"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2027</w:t>
            </w:r>
          </w:p>
        </w:tc>
        <w:tc>
          <w:tcPr>
            <w:tcW w:w="1419"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6DBCC4E0"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MDLPA</w:t>
            </w:r>
          </w:p>
        </w:tc>
        <w:tc>
          <w:tcPr>
            <w:tcW w:w="1702"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7DD9C7E6"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Buget propriu MDLPA</w:t>
            </w:r>
          </w:p>
        </w:tc>
      </w:tr>
      <w:tr w:rsidR="002508D3" w14:paraId="6AE54C85" w14:textId="77777777" w:rsidTr="002508D3">
        <w:trPr>
          <w:trHeight w:val="806"/>
        </w:trPr>
        <w:tc>
          <w:tcPr>
            <w:tcW w:w="1892" w:type="dxa"/>
            <w:vMerge/>
            <w:tcBorders>
              <w:top w:val="single" w:sz="4" w:space="0" w:color="auto"/>
              <w:left w:val="single" w:sz="4" w:space="0" w:color="000000"/>
              <w:right w:val="single" w:sz="4" w:space="0" w:color="auto"/>
            </w:tcBorders>
            <w:shd w:val="clear" w:color="auto" w:fill="auto"/>
            <w:tcMar>
              <w:top w:w="100" w:type="dxa"/>
              <w:left w:w="100" w:type="dxa"/>
              <w:bottom w:w="100" w:type="dxa"/>
              <w:right w:w="100" w:type="dxa"/>
            </w:tcMar>
          </w:tcPr>
          <w:p w14:paraId="14A78482" w14:textId="77777777" w:rsidR="002508D3" w:rsidRDefault="002508D3" w:rsidP="00473248">
            <w:pPr>
              <w:widowControl w:val="0"/>
              <w:pBdr>
                <w:top w:val="nil"/>
                <w:left w:val="nil"/>
                <w:bottom w:val="nil"/>
                <w:right w:val="nil"/>
                <w:between w:val="nil"/>
              </w:pBdr>
              <w:spacing w:after="0"/>
              <w:ind w:firstLine="0"/>
              <w:rPr>
                <w:rFonts w:eastAsia="Times New Roman" w:cs="Times New Roman"/>
                <w:sz w:val="20"/>
                <w:szCs w:val="20"/>
              </w:rPr>
            </w:pPr>
          </w:p>
        </w:tc>
        <w:tc>
          <w:tcPr>
            <w:tcW w:w="2133" w:type="dxa"/>
            <w:vMerge/>
            <w:tcBorders>
              <w:top w:val="single" w:sz="4" w:space="0" w:color="auto"/>
              <w:left w:val="single" w:sz="4" w:space="0" w:color="auto"/>
              <w:right w:val="single" w:sz="4" w:space="0" w:color="auto"/>
            </w:tcBorders>
          </w:tcPr>
          <w:p w14:paraId="7993216D" w14:textId="77777777" w:rsidR="002508D3" w:rsidRDefault="002508D3" w:rsidP="00473248">
            <w:pPr>
              <w:spacing w:after="0" w:line="240" w:lineRule="auto"/>
              <w:ind w:firstLine="0"/>
              <w:rPr>
                <w:rFonts w:eastAsia="Times New Roman" w:cs="Times New Roman"/>
                <w:sz w:val="20"/>
                <w:szCs w:val="20"/>
              </w:rPr>
            </w:pPr>
          </w:p>
        </w:tc>
        <w:tc>
          <w:tcPr>
            <w:tcW w:w="4254" w:type="dxa"/>
            <w:tcBorders>
              <w:top w:val="single" w:sz="4" w:space="0" w:color="auto"/>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1C764743"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A 8.2.2 Elaborarea / actualizarea metodologiei de elaborare a planurilor de amenajare a teritoriului zonal metropolitan / intercomunitar.</w:t>
            </w:r>
          </w:p>
        </w:tc>
        <w:tc>
          <w:tcPr>
            <w:tcW w:w="1277"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098A824"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8"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B771589"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2027</w:t>
            </w:r>
          </w:p>
        </w:tc>
        <w:tc>
          <w:tcPr>
            <w:tcW w:w="1419"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2822C46"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MDLPA</w:t>
            </w:r>
          </w:p>
        </w:tc>
        <w:tc>
          <w:tcPr>
            <w:tcW w:w="1702" w:type="dxa"/>
            <w:tcBorders>
              <w:top w:val="single" w:sz="4" w:space="0" w:color="auto"/>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6E9300D"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Buget propriu MDLPA</w:t>
            </w:r>
          </w:p>
        </w:tc>
      </w:tr>
      <w:tr w:rsidR="002508D3" w14:paraId="0F049B49" w14:textId="77777777" w:rsidTr="002508D3">
        <w:trPr>
          <w:trHeight w:val="1110"/>
        </w:trPr>
        <w:tc>
          <w:tcPr>
            <w:tcW w:w="1892" w:type="dxa"/>
            <w:vMerge/>
            <w:tcBorders>
              <w:top w:val="single" w:sz="4" w:space="0" w:color="000000"/>
              <w:left w:val="single" w:sz="4" w:space="0" w:color="000000"/>
              <w:right w:val="single" w:sz="4" w:space="0" w:color="auto"/>
            </w:tcBorders>
            <w:shd w:val="clear" w:color="auto" w:fill="auto"/>
            <w:tcMar>
              <w:top w:w="100" w:type="dxa"/>
              <w:left w:w="100" w:type="dxa"/>
              <w:bottom w:w="100" w:type="dxa"/>
              <w:right w:w="100" w:type="dxa"/>
            </w:tcMar>
          </w:tcPr>
          <w:p w14:paraId="79B5766F" w14:textId="77777777" w:rsidR="002508D3" w:rsidRDefault="002508D3" w:rsidP="00473248">
            <w:pPr>
              <w:widowControl w:val="0"/>
              <w:pBdr>
                <w:top w:val="nil"/>
                <w:left w:val="nil"/>
                <w:bottom w:val="nil"/>
                <w:right w:val="nil"/>
                <w:between w:val="nil"/>
              </w:pBdr>
              <w:spacing w:after="0"/>
              <w:ind w:firstLine="0"/>
              <w:rPr>
                <w:rFonts w:eastAsia="Times New Roman" w:cs="Times New Roman"/>
                <w:sz w:val="20"/>
                <w:szCs w:val="20"/>
              </w:rPr>
            </w:pPr>
          </w:p>
        </w:tc>
        <w:tc>
          <w:tcPr>
            <w:tcW w:w="2133" w:type="dxa"/>
            <w:vMerge/>
            <w:tcBorders>
              <w:left w:val="single" w:sz="4" w:space="0" w:color="auto"/>
              <w:right w:val="single" w:sz="4" w:space="0" w:color="auto"/>
            </w:tcBorders>
          </w:tcPr>
          <w:p w14:paraId="418D84B9" w14:textId="77777777" w:rsidR="002508D3" w:rsidRDefault="002508D3" w:rsidP="00473248">
            <w:pPr>
              <w:spacing w:after="0" w:line="240" w:lineRule="auto"/>
              <w:ind w:firstLine="0"/>
              <w:rPr>
                <w:rFonts w:eastAsia="Times New Roman" w:cs="Times New Roman"/>
                <w:sz w:val="20"/>
                <w:szCs w:val="20"/>
              </w:rPr>
            </w:pPr>
          </w:p>
        </w:tc>
        <w:tc>
          <w:tcPr>
            <w:tcW w:w="4254" w:type="dxa"/>
            <w:tcBorders>
              <w:top w:val="single" w:sz="4" w:space="0" w:color="000000"/>
              <w:left w:val="single" w:sz="4" w:space="0" w:color="auto"/>
              <w:bottom w:val="single" w:sz="4" w:space="0" w:color="000000"/>
              <w:right w:val="single" w:sz="4" w:space="0" w:color="000000"/>
            </w:tcBorders>
            <w:shd w:val="clear" w:color="auto" w:fill="auto"/>
            <w:tcMar>
              <w:top w:w="0" w:type="dxa"/>
              <w:left w:w="100" w:type="dxa"/>
              <w:bottom w:w="0" w:type="dxa"/>
              <w:right w:w="100" w:type="dxa"/>
            </w:tcMar>
          </w:tcPr>
          <w:p w14:paraId="6D29858C"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A 8.2.3 Inițierea și elaborarea de documentații de planificare spațială pentru zonele metropolitane, periurbane și rurale din zona costieră (planuri zonale metropolitane, periurbane, intercomunale, planuri urbanistice generale pentru municipii, orașe și comune)</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CF52B9E"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4972BA3"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671BA99"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MDLPA, autorități locale</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41043C4"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Buget propriu MDLPA, bugete locale</w:t>
            </w:r>
          </w:p>
        </w:tc>
      </w:tr>
      <w:tr w:rsidR="002508D3" w14:paraId="68B44904" w14:textId="77777777" w:rsidTr="002508D3">
        <w:trPr>
          <w:trHeight w:val="1110"/>
        </w:trPr>
        <w:tc>
          <w:tcPr>
            <w:tcW w:w="1892" w:type="dxa"/>
            <w:vMerge/>
            <w:tcBorders>
              <w:top w:val="single" w:sz="4" w:space="0" w:color="000000"/>
              <w:left w:val="single" w:sz="4" w:space="0" w:color="000000"/>
              <w:bottom w:val="single" w:sz="4" w:space="0" w:color="auto"/>
              <w:right w:val="single" w:sz="4" w:space="0" w:color="auto"/>
            </w:tcBorders>
            <w:shd w:val="clear" w:color="auto" w:fill="auto"/>
            <w:tcMar>
              <w:top w:w="100" w:type="dxa"/>
              <w:left w:w="100" w:type="dxa"/>
              <w:bottom w:w="100" w:type="dxa"/>
              <w:right w:w="100" w:type="dxa"/>
            </w:tcMar>
          </w:tcPr>
          <w:p w14:paraId="3EC5F445" w14:textId="77777777" w:rsidR="002508D3" w:rsidRDefault="002508D3" w:rsidP="00473248">
            <w:pPr>
              <w:widowControl w:val="0"/>
              <w:pBdr>
                <w:top w:val="nil"/>
                <w:left w:val="nil"/>
                <w:bottom w:val="nil"/>
                <w:right w:val="nil"/>
                <w:between w:val="nil"/>
              </w:pBdr>
              <w:spacing w:after="0"/>
              <w:ind w:firstLine="0"/>
              <w:rPr>
                <w:rFonts w:eastAsia="Times New Roman" w:cs="Times New Roman"/>
                <w:sz w:val="20"/>
                <w:szCs w:val="20"/>
              </w:rPr>
            </w:pPr>
          </w:p>
        </w:tc>
        <w:tc>
          <w:tcPr>
            <w:tcW w:w="2133" w:type="dxa"/>
            <w:vMerge/>
            <w:tcBorders>
              <w:left w:val="single" w:sz="4" w:space="0" w:color="auto"/>
              <w:bottom w:val="single" w:sz="4" w:space="0" w:color="auto"/>
              <w:right w:val="single" w:sz="4" w:space="0" w:color="auto"/>
            </w:tcBorders>
          </w:tcPr>
          <w:p w14:paraId="4B38D01C" w14:textId="77777777" w:rsidR="002508D3" w:rsidRDefault="002508D3" w:rsidP="00473248">
            <w:pPr>
              <w:spacing w:after="0" w:line="240" w:lineRule="auto"/>
              <w:ind w:firstLine="0"/>
              <w:rPr>
                <w:rFonts w:eastAsia="Times New Roman" w:cs="Times New Roman"/>
                <w:sz w:val="20"/>
                <w:szCs w:val="20"/>
              </w:rPr>
            </w:pPr>
          </w:p>
        </w:tc>
        <w:tc>
          <w:tcPr>
            <w:tcW w:w="4254" w:type="dxa"/>
            <w:tcBorders>
              <w:top w:val="single" w:sz="4" w:space="0" w:color="000000"/>
              <w:left w:val="single" w:sz="4" w:space="0" w:color="auto"/>
              <w:bottom w:val="single" w:sz="4" w:space="0" w:color="auto"/>
              <w:right w:val="single" w:sz="4" w:space="0" w:color="000000"/>
            </w:tcBorders>
            <w:shd w:val="clear" w:color="auto" w:fill="auto"/>
            <w:tcMar>
              <w:top w:w="0" w:type="dxa"/>
              <w:left w:w="100" w:type="dxa"/>
              <w:bottom w:w="0" w:type="dxa"/>
              <w:right w:w="100" w:type="dxa"/>
            </w:tcMar>
          </w:tcPr>
          <w:p w14:paraId="5D94A23A"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A 8.2.4 Inițierea și elaborarea de planuri urbanistice zonale în zone cu caracter prioritar / zone sensibile pentru unitățile teritoriale de reglementare (UTR) adiacente liniei țărmului</w:t>
            </w:r>
          </w:p>
        </w:tc>
        <w:tc>
          <w:tcPr>
            <w:tcW w:w="1277"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2A208607"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3CC29728"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2030</w:t>
            </w:r>
          </w:p>
        </w:tc>
        <w:tc>
          <w:tcPr>
            <w:tcW w:w="1419"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102DA07E"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MDLPA, autorități locale</w:t>
            </w:r>
          </w:p>
        </w:tc>
        <w:tc>
          <w:tcPr>
            <w:tcW w:w="1702" w:type="dxa"/>
            <w:tcBorders>
              <w:top w:val="single" w:sz="4" w:space="0" w:color="000000"/>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4172B5C6"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Buget propriu MDLPA, bugete locale</w:t>
            </w:r>
          </w:p>
        </w:tc>
      </w:tr>
      <w:tr w:rsidR="002508D3" w14:paraId="534E6457" w14:textId="77777777" w:rsidTr="002508D3">
        <w:trPr>
          <w:trHeight w:val="599"/>
        </w:trPr>
        <w:tc>
          <w:tcPr>
            <w:tcW w:w="1892" w:type="dxa"/>
            <w:vMerge w:val="restar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762015B"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M8.3 Crearea unui mecanism eficient de implementare, monitorizare și verificare a instrumentelor de planificare spațială în zona costieră</w:t>
            </w:r>
          </w:p>
        </w:tc>
        <w:tc>
          <w:tcPr>
            <w:tcW w:w="2133" w:type="dxa"/>
            <w:vMerge w:val="restart"/>
            <w:tcBorders>
              <w:top w:val="single" w:sz="4" w:space="0" w:color="auto"/>
              <w:left w:val="single" w:sz="4" w:space="0" w:color="auto"/>
              <w:bottom w:val="single" w:sz="4" w:space="0" w:color="auto"/>
              <w:right w:val="single" w:sz="4" w:space="0" w:color="auto"/>
            </w:tcBorders>
          </w:tcPr>
          <w:p w14:paraId="35DAF745" w14:textId="77777777" w:rsidR="002508D3" w:rsidRPr="00DB179E" w:rsidRDefault="002508D3" w:rsidP="00473248">
            <w:pPr>
              <w:spacing w:line="240" w:lineRule="auto"/>
              <w:ind w:firstLine="0"/>
              <w:rPr>
                <w:rFonts w:eastAsia="Times New Roman" w:cs="Times New Roman"/>
                <w:sz w:val="20"/>
                <w:szCs w:val="20"/>
              </w:rPr>
            </w:pPr>
            <w:r w:rsidRPr="00DB179E">
              <w:rPr>
                <w:rFonts w:eastAsia="Times New Roman" w:cs="Times New Roman"/>
                <w:sz w:val="20"/>
                <w:szCs w:val="20"/>
              </w:rPr>
              <w:t>Os3.b. Stabilirea unui sistem performant de supraveghere a eficienței implementării planificării spațiale prin realizarea Geamănului Digital (Digital Twin) a litoralului românesc;</w:t>
            </w:r>
          </w:p>
          <w:p w14:paraId="2C4CEB88" w14:textId="77777777" w:rsidR="002508D3" w:rsidRPr="00DB179E" w:rsidRDefault="002508D3" w:rsidP="00473248">
            <w:pPr>
              <w:spacing w:line="240" w:lineRule="auto"/>
              <w:ind w:firstLine="0"/>
              <w:rPr>
                <w:rFonts w:eastAsia="Times New Roman" w:cs="Times New Roman"/>
                <w:sz w:val="20"/>
                <w:szCs w:val="20"/>
              </w:rPr>
            </w:pPr>
            <w:r w:rsidRPr="00DB179E">
              <w:rPr>
                <w:rFonts w:eastAsia="Times New Roman" w:cs="Times New Roman"/>
                <w:sz w:val="20"/>
                <w:szCs w:val="20"/>
              </w:rPr>
              <w:t xml:space="preserve"> Os3.c Planificare și dezvoltare spațială integrată și durabilă a zonelor metropolitane, periurbane și rurale din zona costieră,;</w:t>
            </w:r>
          </w:p>
          <w:p w14:paraId="1DF4959A" w14:textId="77777777" w:rsidR="002508D3" w:rsidRPr="00DB179E" w:rsidRDefault="002508D3" w:rsidP="00473248">
            <w:pPr>
              <w:spacing w:line="240" w:lineRule="auto"/>
              <w:ind w:firstLine="0"/>
              <w:rPr>
                <w:rFonts w:eastAsia="Times New Roman" w:cs="Times New Roman"/>
                <w:sz w:val="20"/>
                <w:szCs w:val="20"/>
              </w:rPr>
            </w:pPr>
            <w:r w:rsidRPr="00DB179E">
              <w:rPr>
                <w:rFonts w:eastAsia="Times New Roman" w:cs="Times New Roman"/>
                <w:sz w:val="20"/>
                <w:szCs w:val="20"/>
              </w:rPr>
              <w:lastRenderedPageBreak/>
              <w:t>Os6.a Crearea unui proces real participativ în gestionarea integrată a zonei costiere;</w:t>
            </w:r>
          </w:p>
          <w:p w14:paraId="4B1BFC94" w14:textId="77777777" w:rsidR="002508D3" w:rsidRDefault="002508D3" w:rsidP="00473248">
            <w:pPr>
              <w:spacing w:line="240" w:lineRule="auto"/>
              <w:ind w:firstLine="0"/>
              <w:rPr>
                <w:rFonts w:eastAsia="Times New Roman" w:cs="Times New Roman"/>
                <w:sz w:val="20"/>
                <w:szCs w:val="20"/>
              </w:rPr>
            </w:pPr>
            <w:r w:rsidRPr="00DB179E">
              <w:rPr>
                <w:rFonts w:eastAsia="Times New Roman" w:cs="Times New Roman"/>
                <w:sz w:val="20"/>
                <w:szCs w:val="20"/>
              </w:rPr>
              <w:t>Os6.b Creșterea gradului de conștientizare cu privire la necesitatea de a păstra și îmbunătăți resursele zonei de coastă.</w:t>
            </w:r>
          </w:p>
        </w:tc>
        <w:tc>
          <w:tcPr>
            <w:tcW w:w="4254"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0BB5861F"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lastRenderedPageBreak/>
              <w:t>A 8.3.1 Revizuirea procedurilor de avizare / aprobare a documentațiilor de amenajarea teritoriului și urbanism)</w:t>
            </w:r>
          </w:p>
        </w:tc>
        <w:tc>
          <w:tcPr>
            <w:tcW w:w="1277"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4DE70A42"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Foarte ridicată</w:t>
            </w:r>
          </w:p>
        </w:tc>
        <w:tc>
          <w:tcPr>
            <w:tcW w:w="1418"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33816C41"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2027</w:t>
            </w:r>
          </w:p>
        </w:tc>
        <w:tc>
          <w:tcPr>
            <w:tcW w:w="1419"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0722D122"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 xml:space="preserve"> MDLPA, autorități locale </w:t>
            </w:r>
          </w:p>
        </w:tc>
        <w:tc>
          <w:tcPr>
            <w:tcW w:w="1702"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5DBDBED2"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Buget propriu MDLPA, bugete locale</w:t>
            </w:r>
          </w:p>
        </w:tc>
      </w:tr>
      <w:tr w:rsidR="002508D3" w14:paraId="4D62A577" w14:textId="77777777" w:rsidTr="002508D3">
        <w:trPr>
          <w:trHeight w:val="854"/>
        </w:trPr>
        <w:tc>
          <w:tcPr>
            <w:tcW w:w="1892"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6C4696" w14:textId="77777777" w:rsidR="002508D3" w:rsidRDefault="002508D3" w:rsidP="002508D3">
            <w:pPr>
              <w:widowControl w:val="0"/>
              <w:pBdr>
                <w:top w:val="nil"/>
                <w:left w:val="nil"/>
                <w:bottom w:val="nil"/>
                <w:right w:val="nil"/>
                <w:between w:val="nil"/>
              </w:pBdr>
              <w:spacing w:after="0"/>
              <w:rPr>
                <w:rFonts w:eastAsia="Times New Roman" w:cs="Times New Roman"/>
                <w:sz w:val="20"/>
                <w:szCs w:val="20"/>
              </w:rPr>
            </w:pPr>
          </w:p>
        </w:tc>
        <w:tc>
          <w:tcPr>
            <w:tcW w:w="2133" w:type="dxa"/>
            <w:vMerge/>
            <w:tcBorders>
              <w:top w:val="single" w:sz="4" w:space="0" w:color="auto"/>
              <w:left w:val="single" w:sz="4" w:space="0" w:color="auto"/>
              <w:bottom w:val="single" w:sz="4" w:space="0" w:color="auto"/>
              <w:right w:val="single" w:sz="4" w:space="0" w:color="auto"/>
            </w:tcBorders>
          </w:tcPr>
          <w:p w14:paraId="31DC87F7" w14:textId="77777777" w:rsidR="002508D3" w:rsidRDefault="002508D3" w:rsidP="002508D3">
            <w:pPr>
              <w:spacing w:after="0" w:line="240" w:lineRule="auto"/>
              <w:rPr>
                <w:rFonts w:eastAsia="Times New Roman" w:cs="Times New Roman"/>
                <w:sz w:val="20"/>
                <w:szCs w:val="20"/>
              </w:rPr>
            </w:pPr>
          </w:p>
        </w:tc>
        <w:tc>
          <w:tcPr>
            <w:tcW w:w="4254"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7458CD4B"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A 8.3.2 Crearea unui sistem de informare și comunicare eficient între administrațiile locale din zona costieră în domeniul planificării spațiale</w:t>
            </w:r>
          </w:p>
        </w:tc>
        <w:tc>
          <w:tcPr>
            <w:tcW w:w="1277"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0DC8B54A"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67DF9D7D"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2027</w:t>
            </w:r>
          </w:p>
        </w:tc>
        <w:tc>
          <w:tcPr>
            <w:tcW w:w="1419"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08A9BACD"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 xml:space="preserve">MDLPA, MMAP, autorități locale </w:t>
            </w:r>
          </w:p>
        </w:tc>
        <w:tc>
          <w:tcPr>
            <w:tcW w:w="1702"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726FFDA5"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Bugete proprii MDLPA, MMAP</w:t>
            </w:r>
          </w:p>
        </w:tc>
      </w:tr>
      <w:tr w:rsidR="002508D3" w14:paraId="0EF6C447" w14:textId="77777777" w:rsidTr="002508D3">
        <w:trPr>
          <w:trHeight w:val="688"/>
        </w:trPr>
        <w:tc>
          <w:tcPr>
            <w:tcW w:w="1892"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C72B041" w14:textId="77777777" w:rsidR="002508D3" w:rsidRDefault="002508D3" w:rsidP="002508D3">
            <w:pPr>
              <w:widowControl w:val="0"/>
              <w:pBdr>
                <w:top w:val="nil"/>
                <w:left w:val="nil"/>
                <w:bottom w:val="nil"/>
                <w:right w:val="nil"/>
                <w:between w:val="nil"/>
              </w:pBdr>
              <w:spacing w:after="0"/>
              <w:rPr>
                <w:rFonts w:eastAsia="Times New Roman" w:cs="Times New Roman"/>
                <w:sz w:val="20"/>
                <w:szCs w:val="20"/>
              </w:rPr>
            </w:pPr>
          </w:p>
        </w:tc>
        <w:tc>
          <w:tcPr>
            <w:tcW w:w="2133" w:type="dxa"/>
            <w:vMerge/>
            <w:tcBorders>
              <w:top w:val="single" w:sz="4" w:space="0" w:color="auto"/>
              <w:left w:val="single" w:sz="4" w:space="0" w:color="auto"/>
              <w:bottom w:val="single" w:sz="4" w:space="0" w:color="auto"/>
              <w:right w:val="single" w:sz="4" w:space="0" w:color="auto"/>
            </w:tcBorders>
          </w:tcPr>
          <w:p w14:paraId="36E08847" w14:textId="77777777" w:rsidR="002508D3" w:rsidRDefault="002508D3" w:rsidP="002508D3">
            <w:pPr>
              <w:spacing w:after="0" w:line="240" w:lineRule="auto"/>
              <w:rPr>
                <w:rFonts w:eastAsia="Times New Roman" w:cs="Times New Roman"/>
                <w:sz w:val="20"/>
                <w:szCs w:val="20"/>
              </w:rPr>
            </w:pPr>
          </w:p>
        </w:tc>
        <w:tc>
          <w:tcPr>
            <w:tcW w:w="4254"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5ED8DD63"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A 8.3.3 Crearea unei platforme cu acces public, de comunicare și dezbatere privind starea și evoluția zonei costiere</w:t>
            </w:r>
          </w:p>
        </w:tc>
        <w:tc>
          <w:tcPr>
            <w:tcW w:w="1277"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40B217C0"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Ridicată</w:t>
            </w:r>
          </w:p>
        </w:tc>
        <w:tc>
          <w:tcPr>
            <w:tcW w:w="1418"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0B45F31A"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2027</w:t>
            </w:r>
          </w:p>
        </w:tc>
        <w:tc>
          <w:tcPr>
            <w:tcW w:w="1419"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158BD176"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MMAP</w:t>
            </w:r>
          </w:p>
        </w:tc>
        <w:tc>
          <w:tcPr>
            <w:tcW w:w="1702"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2FEF6B5E" w14:textId="77777777" w:rsidR="002508D3" w:rsidRDefault="002508D3" w:rsidP="00473248">
            <w:pPr>
              <w:spacing w:after="0" w:line="240" w:lineRule="auto"/>
              <w:ind w:firstLine="0"/>
              <w:rPr>
                <w:rFonts w:eastAsia="Times New Roman" w:cs="Times New Roman"/>
                <w:sz w:val="20"/>
                <w:szCs w:val="20"/>
              </w:rPr>
            </w:pPr>
            <w:r>
              <w:rPr>
                <w:rFonts w:eastAsia="Times New Roman" w:cs="Times New Roman"/>
                <w:sz w:val="20"/>
                <w:szCs w:val="20"/>
              </w:rPr>
              <w:t>Buget propriu MMAP</w:t>
            </w:r>
          </w:p>
        </w:tc>
      </w:tr>
    </w:tbl>
    <w:p w14:paraId="70E285AC" w14:textId="77777777" w:rsidR="00473248" w:rsidRDefault="00473248" w:rsidP="002508D3">
      <w:pPr>
        <w:tabs>
          <w:tab w:val="left" w:pos="1620"/>
        </w:tabs>
        <w:rPr>
          <w:rFonts w:eastAsia="Times New Roman" w:cs="Times New Roman"/>
        </w:rPr>
        <w:sectPr w:rsidR="00473248">
          <w:headerReference w:type="default" r:id="rId75"/>
          <w:pgSz w:w="16838" w:h="11906" w:orient="landscape"/>
          <w:pgMar w:top="1440" w:right="1440" w:bottom="1440" w:left="1440" w:header="0" w:footer="0" w:gutter="0"/>
          <w:cols w:space="708"/>
        </w:sectPr>
      </w:pPr>
    </w:p>
    <w:p w14:paraId="6F61B5FD" w14:textId="37CBC587" w:rsidR="00473248" w:rsidRDefault="00473248" w:rsidP="00473248">
      <w:pPr>
        <w:pStyle w:val="Heading2"/>
      </w:pPr>
      <w:bookmarkStart w:id="150" w:name="_Toc150501477"/>
      <w:bookmarkStart w:id="151" w:name="_Toc169625155"/>
      <w:r>
        <w:lastRenderedPageBreak/>
        <w:t>2.9. Consolidarea/întărirea capacității instituționale</w:t>
      </w:r>
      <w:bookmarkEnd w:id="150"/>
      <w:bookmarkEnd w:id="151"/>
    </w:p>
    <w:p w14:paraId="128F8C3F" w14:textId="77777777" w:rsidR="00473248" w:rsidRDefault="00473248" w:rsidP="00473248">
      <w:pPr>
        <w:spacing w:before="0"/>
        <w:rPr>
          <w:rFonts w:eastAsia="Times New Roman" w:cs="Times New Roman"/>
        </w:rPr>
      </w:pPr>
      <w:r>
        <w:rPr>
          <w:rFonts w:eastAsia="Times New Roman" w:cs="Times New Roman"/>
        </w:rPr>
        <w:t xml:space="preserve">Armonizarea abordărilor cu privire la problemele zonei costiere la nivelurile superioare de guvernare și în sectoarele cheie este esențială. Planul de Management Integrat al zonei costiere trebuie să stabilească forma practică și domeniul de aplicare a structurilor instituționale necesare pentru a realiza armonizarea și coordonarea eficientă, în special pentru a ieși din percepția că MIZC este în primul rând o activitate de mediu și pentru a integra pe deplin schimbările climatice, dezvoltarea socială și economică, sectorul marin, interacțiunea uscat-mare și altele. </w:t>
      </w:r>
    </w:p>
    <w:p w14:paraId="2803FE91" w14:textId="77777777" w:rsidR="00473248" w:rsidRDefault="00473248" w:rsidP="00473248">
      <w:pPr>
        <w:spacing w:before="0"/>
        <w:rPr>
          <w:rFonts w:eastAsia="Times New Roman" w:cs="Times New Roman"/>
        </w:rPr>
      </w:pPr>
      <w:r>
        <w:rPr>
          <w:rFonts w:eastAsia="Times New Roman" w:cs="Times New Roman"/>
        </w:rPr>
        <w:t>În plus față de armonizarea problemelor din zona costieră la nivelurile superioare de guvernare, MICZ necesită un parteneriat mai larg și o asumare a societății civile, între toate nivelurile de guvernare. Prin urmare, Planul de Management Integrat al zonei costiere stabilește cadrul adecvat pentru acest angajament mai larg prin structuri participative, consolidarea capacităților și creșterea gradului de cunoaștere și conștientizare.</w:t>
      </w:r>
    </w:p>
    <w:p w14:paraId="3C49C490" w14:textId="77777777" w:rsidR="00473248" w:rsidRDefault="00473248" w:rsidP="00473248">
      <w:pPr>
        <w:spacing w:before="0"/>
        <w:ind w:firstLine="540"/>
        <w:rPr>
          <w:rFonts w:eastAsia="Times New Roman" w:cs="Times New Roman"/>
        </w:rPr>
      </w:pPr>
      <w:r>
        <w:rPr>
          <w:rFonts w:eastAsia="Times New Roman" w:cs="Times New Roman"/>
        </w:rPr>
        <w:t xml:space="preserve">Principalii actori în procesul MIZC sunt, bineînțeles, instituțiile guvernamentale. Cu toate acestea, diferitele instituții guvernamentale - la diferite niveluri de administrație - prestează servicii și derulează programe pe baza unor mandate și legi diferite, care conțin adesea scopuri, obiective și politici diferite. </w:t>
      </w:r>
    </w:p>
    <w:p w14:paraId="75069184" w14:textId="77777777" w:rsidR="00473248" w:rsidRDefault="00473248" w:rsidP="00473248">
      <w:pPr>
        <w:spacing w:before="0"/>
        <w:ind w:firstLine="540"/>
        <w:rPr>
          <w:rFonts w:eastAsia="Times New Roman" w:cs="Times New Roman"/>
        </w:rPr>
      </w:pPr>
      <w:r>
        <w:rPr>
          <w:rFonts w:eastAsia="Times New Roman" w:cs="Times New Roman"/>
        </w:rPr>
        <w:t>Cel puțin trei factori tind să complice cooperarea instituțională:</w:t>
      </w:r>
    </w:p>
    <w:p w14:paraId="1809608E" w14:textId="77777777" w:rsidR="00473248" w:rsidRDefault="00473248" w:rsidP="00473248">
      <w:pPr>
        <w:spacing w:before="0"/>
        <w:rPr>
          <w:rFonts w:eastAsia="Times New Roman" w:cs="Times New Roman"/>
        </w:rPr>
      </w:pPr>
      <w:r>
        <w:rPr>
          <w:rFonts w:eastAsia="Times New Roman" w:cs="Times New Roman"/>
        </w:rPr>
        <w:t>•</w:t>
      </w:r>
      <w:r>
        <w:rPr>
          <w:rFonts w:eastAsia="Times New Roman" w:cs="Times New Roman"/>
        </w:rPr>
        <w:tab/>
        <w:t>instituțiile guvernamentale din diferite sectoare vor avea probabil orientări și obiective diferite și, prin urmare, interese diferite;</w:t>
      </w:r>
    </w:p>
    <w:p w14:paraId="3AC9D4C5" w14:textId="77777777" w:rsidR="00473248" w:rsidRDefault="00473248" w:rsidP="00473248">
      <w:pPr>
        <w:spacing w:before="0"/>
        <w:rPr>
          <w:rFonts w:eastAsia="Times New Roman" w:cs="Times New Roman"/>
        </w:rPr>
      </w:pPr>
      <w:r>
        <w:rPr>
          <w:rFonts w:eastAsia="Times New Roman" w:cs="Times New Roman"/>
        </w:rPr>
        <w:t>•</w:t>
      </w:r>
      <w:r>
        <w:rPr>
          <w:rFonts w:eastAsia="Times New Roman" w:cs="Times New Roman"/>
        </w:rPr>
        <w:tab/>
        <w:t>diferitele niveluri de guvernare vor avea probabil priorități diferite;</w:t>
      </w:r>
    </w:p>
    <w:p w14:paraId="6BF45158" w14:textId="77777777" w:rsidR="00473248" w:rsidRDefault="00473248" w:rsidP="00473248">
      <w:pPr>
        <w:spacing w:before="0"/>
        <w:rPr>
          <w:rFonts w:eastAsia="Times New Roman" w:cs="Times New Roman"/>
        </w:rPr>
      </w:pPr>
      <w:r>
        <w:rPr>
          <w:rFonts w:eastAsia="Times New Roman" w:cs="Times New Roman"/>
        </w:rPr>
        <w:t>•</w:t>
      </w:r>
      <w:r>
        <w:rPr>
          <w:rFonts w:eastAsia="Times New Roman" w:cs="Times New Roman"/>
        </w:rPr>
        <w:tab/>
        <w:t>diferitele instituții guvernamentale de la diferite niveluri administrative sunt ghidate de mandate (sarcini, responsabilități și competențe) diferite.</w:t>
      </w:r>
    </w:p>
    <w:p w14:paraId="16E19DA0" w14:textId="77777777" w:rsidR="00473248" w:rsidRDefault="00473248" w:rsidP="00473248">
      <w:pPr>
        <w:spacing w:before="0"/>
        <w:rPr>
          <w:rFonts w:eastAsia="Times New Roman" w:cs="Times New Roman"/>
        </w:rPr>
      </w:pPr>
      <w:r>
        <w:rPr>
          <w:rFonts w:eastAsia="Times New Roman" w:cs="Times New Roman"/>
        </w:rPr>
        <w:t xml:space="preserve">Una dintre principalele provocări ale MIZC este de a crea modalități de a se asigura că acțiunile agențiilor guvernamentale decidente, care implică și alte părți interesate, sunt armonizate între ele și sunt în concordanță cu scopurile și obiectivele convenite. Prin urmare, provocarea este de a dezvolta un mecanism instituțional care să poată coordona numeroasele structuri și organizații implicate în problemele zonei costiere, să fie capabil să ghideze procesele costiere și să orienteze evoluțiile în direcțiile stabilite pentru a atinge obiectivele dorite, prevăzute în strategia națională MIZC. În plus, colaborarea poate fi impusă prin acte legislative, însă coordonarea și colaborarea intersectorială reală, eficientă, în procesul de gestionare a zonei costiere pot fi realizate doar pe baza: </w:t>
      </w:r>
    </w:p>
    <w:p w14:paraId="6868B1F4" w14:textId="77777777" w:rsidR="00473248" w:rsidRDefault="00473248" w:rsidP="00473248">
      <w:pPr>
        <w:spacing w:before="0"/>
        <w:rPr>
          <w:rFonts w:eastAsia="Times New Roman" w:cs="Times New Roman"/>
        </w:rPr>
      </w:pPr>
      <w:r>
        <w:rPr>
          <w:rFonts w:eastAsia="Times New Roman" w:cs="Times New Roman"/>
        </w:rPr>
        <w:t>-</w:t>
      </w:r>
      <w:r>
        <w:rPr>
          <w:rFonts w:eastAsia="Times New Roman" w:cs="Times New Roman"/>
        </w:rPr>
        <w:tab/>
        <w:t>disponibilității și consensualității părților interesate de a colabora eficient;</w:t>
      </w:r>
    </w:p>
    <w:p w14:paraId="137FCBA3" w14:textId="77777777" w:rsidR="00473248" w:rsidRDefault="00473248" w:rsidP="00473248">
      <w:pPr>
        <w:spacing w:before="0"/>
        <w:rPr>
          <w:rFonts w:eastAsia="Times New Roman" w:cs="Times New Roman"/>
        </w:rPr>
      </w:pPr>
      <w:r>
        <w:rPr>
          <w:rFonts w:eastAsia="Times New Roman" w:cs="Times New Roman"/>
        </w:rPr>
        <w:t>-</w:t>
      </w:r>
      <w:r>
        <w:rPr>
          <w:rFonts w:eastAsia="Times New Roman" w:cs="Times New Roman"/>
        </w:rPr>
        <w:tab/>
        <w:t>capacității organismelor de coordonare de a ghida și conduce procesul și a agențiilor sectoriale de a integra planificarea și acțiunile;</w:t>
      </w:r>
    </w:p>
    <w:p w14:paraId="28B3F892" w14:textId="77777777" w:rsidR="00473248" w:rsidRDefault="00473248" w:rsidP="00473248">
      <w:pPr>
        <w:spacing w:before="0"/>
        <w:rPr>
          <w:rFonts w:eastAsia="Times New Roman" w:cs="Times New Roman"/>
        </w:rPr>
      </w:pPr>
      <w:r>
        <w:rPr>
          <w:rFonts w:eastAsia="Times New Roman" w:cs="Times New Roman"/>
        </w:rPr>
        <w:t>-</w:t>
      </w:r>
      <w:r>
        <w:rPr>
          <w:rFonts w:eastAsia="Times New Roman" w:cs="Times New Roman"/>
        </w:rPr>
        <w:tab/>
        <w:t>fezabilității tehnice a opțiunilor alternative și capacității financiare de a lua măsuri corective.</w:t>
      </w:r>
    </w:p>
    <w:p w14:paraId="1B53B00A" w14:textId="77777777" w:rsidR="00473248" w:rsidRDefault="00473248" w:rsidP="00473248">
      <w:pPr>
        <w:spacing w:before="0"/>
        <w:ind w:firstLine="540"/>
        <w:rPr>
          <w:rFonts w:eastAsia="Times New Roman" w:cs="Times New Roman"/>
        </w:rPr>
      </w:pPr>
      <w:r>
        <w:rPr>
          <w:rFonts w:eastAsia="Times New Roman" w:cs="Times New Roman"/>
        </w:rPr>
        <w:lastRenderedPageBreak/>
        <w:t>Gestionarea integrată a zonei costiere trebuie să se bazeze pe principiile unei bune guvernanțe. Conform Agendei Teritoriale 2020, Cap. IV – Transpunerea coeziunii teritoriale a UE în realitate, „sunt necesare formule de guvernanță pe mai multe niveluri pentru a gestiona diferitele teritorii funcționale şi pentru a asigura contribuția echilibrată şi coordonată a actorilor locali, regionali, naționali şi europeni, cu respectarea principiului subsidiarității. Aceasta reclamă o coordonare verticală şi orizontală între organele de decizie de la diferite niveluri şi politici sectoriale menite să asigure coerența şi sinergia.”</w:t>
      </w:r>
    </w:p>
    <w:p w14:paraId="74952F8B" w14:textId="77777777" w:rsidR="00473248" w:rsidRDefault="00473248" w:rsidP="00473248">
      <w:pPr>
        <w:spacing w:before="0"/>
        <w:rPr>
          <w:rFonts w:eastAsia="Times New Roman" w:cs="Times New Roman"/>
        </w:rPr>
      </w:pPr>
      <w:r>
        <w:rPr>
          <w:rFonts w:eastAsia="Times New Roman" w:cs="Times New Roman"/>
        </w:rPr>
        <w:t>O bună guvernanță a zonei costiere poate asigura un echilibru între factorii / actorii interesați de starea și dezvoltarea zonei costiere și decidenți. Conform principiilor exprimate în documentul Commission of the European Communities (2001), guvernanța trebuie să fie exercitată într-un mod transparent, participativ, responsabil, eficient și coerent și să respecte principiile proporționalității și subsidiarității.</w:t>
      </w:r>
    </w:p>
    <w:p w14:paraId="1A4DE561" w14:textId="77777777" w:rsidR="00473248" w:rsidRDefault="00473248" w:rsidP="00473248">
      <w:pPr>
        <w:spacing w:before="0"/>
        <w:rPr>
          <w:rFonts w:eastAsia="Times New Roman" w:cs="Times New Roman"/>
        </w:rPr>
      </w:pPr>
      <w:r>
        <w:rPr>
          <w:rFonts w:eastAsia="Times New Roman" w:cs="Times New Roman"/>
        </w:rPr>
        <w:t>În cazul zonei costiere este foarte important a se urmări și asigura o guvernanță multi-nivel atât pe orizontală - între actorii teritoriali (Consilii județene, UAT-uri, agenți economici, ONG-uri, etc.), cât și pe verticală, între autoritățile administrației centrale (ministere, agenții) și cele ale administrației publice locale. Una dintre principalele provocări ale MIZC este de a crea modalități de a se asigura că acțiunile agențiilor guvernamentale decidente, care implică și alte părți interesate, sunt armonizate între ele și sunt în concordanță cu scopurile și obiectivele convenite. Prin urmare, provocarea este de a dezvolta un mecanism instituțional care să poată coordona numeroasele structuri și organizații implicate în problemele zonei costiere, să fie capabil să ghideze procesele costiere și să orienteze evoluțiile în direcțiile stabilite pentru a atinge obiectivele dorite, prevăzute în strategia națională MIZC. În plus, colaborarea poate fi impusă prin acte legislative, însă coordonarea și colaborarea intersectorială reală, eficientă, în procesul de gestionare a zonei costiere pot fi realizate doar pe baza:</w:t>
      </w:r>
    </w:p>
    <w:p w14:paraId="396573B6" w14:textId="77777777" w:rsidR="00473248" w:rsidRDefault="00473248" w:rsidP="00473248">
      <w:pPr>
        <w:spacing w:before="0"/>
        <w:rPr>
          <w:rFonts w:eastAsia="Times New Roman" w:cs="Times New Roman"/>
        </w:rPr>
      </w:pPr>
      <w:r>
        <w:rPr>
          <w:rFonts w:eastAsia="Times New Roman" w:cs="Times New Roman"/>
        </w:rPr>
        <w:t>- disponibilității și consensualității părților interesate de a colabora eficient;</w:t>
      </w:r>
    </w:p>
    <w:p w14:paraId="0414CCCF" w14:textId="77777777" w:rsidR="00473248" w:rsidRDefault="00473248" w:rsidP="00473248">
      <w:pPr>
        <w:spacing w:before="0"/>
        <w:rPr>
          <w:rFonts w:eastAsia="Times New Roman" w:cs="Times New Roman"/>
        </w:rPr>
      </w:pPr>
      <w:r>
        <w:rPr>
          <w:rFonts w:eastAsia="Times New Roman" w:cs="Times New Roman"/>
        </w:rPr>
        <w:t>- capacității organismelor de coordonare de a ghida și conduce procesul și a agențiilor sectoriale de a integra planificarea și acțiunile;</w:t>
      </w:r>
    </w:p>
    <w:p w14:paraId="2D01E3D0" w14:textId="77777777" w:rsidR="00473248" w:rsidRDefault="00473248" w:rsidP="00473248">
      <w:pPr>
        <w:spacing w:before="0"/>
        <w:rPr>
          <w:rFonts w:eastAsia="Times New Roman" w:cs="Times New Roman"/>
        </w:rPr>
      </w:pPr>
      <w:r>
        <w:rPr>
          <w:rFonts w:eastAsia="Times New Roman" w:cs="Times New Roman"/>
        </w:rPr>
        <w:t>- fezabilității tehnice a opțiunilor alternative și capacității financiare de a lua măsuri corective.</w:t>
      </w:r>
    </w:p>
    <w:p w14:paraId="3C8D6865" w14:textId="77777777" w:rsidR="00473248" w:rsidRDefault="00473248" w:rsidP="00473248">
      <w:pPr>
        <w:spacing w:before="0"/>
        <w:ind w:firstLine="540"/>
        <w:rPr>
          <w:rFonts w:eastAsia="Times New Roman" w:cs="Times New Roman"/>
          <w:color w:val="000000"/>
        </w:rPr>
      </w:pPr>
      <w:r>
        <w:rPr>
          <w:rFonts w:eastAsia="Times New Roman" w:cs="Times New Roman"/>
          <w:color w:val="000000"/>
        </w:rPr>
        <w:t xml:space="preserve">Structura instituțională propusă se bazează, în mare parte, pe cea existentă deja, care recunoaște Ministerul Mediului, Apelor și Pădurilor ca principala autoritate responsabilă de implementarea MIZC în România. Conform prevederilor art. 4 din HG nr. 43/2020 privind organizarea și funcționarea Ministerului Mediului, Apelor și Pădurilor, cu modificările și completările ulterioare, MMAP exercită în domeniul de competență și funcția de strategie și planificare, iar conform art. 6, alin. I (f) din </w:t>
      </w:r>
      <w:r>
        <w:rPr>
          <w:rFonts w:eastAsia="Times New Roman" w:cs="Times New Roman"/>
        </w:rPr>
        <w:t>aceeași</w:t>
      </w:r>
      <w:r>
        <w:rPr>
          <w:rFonts w:eastAsia="Times New Roman" w:cs="Times New Roman"/>
          <w:color w:val="000000"/>
        </w:rPr>
        <w:t xml:space="preserve"> HG, MMAP, î</w:t>
      </w:r>
      <w:r>
        <w:rPr>
          <w:rFonts w:eastAsia="Times New Roman" w:cs="Times New Roman"/>
          <w:color w:val="000000"/>
          <w:highlight w:val="white"/>
        </w:rPr>
        <w:t>n exercitarea funcției de strategie și planificare, elaborează, actualizează, coordonează și monitorizează aplicarea</w:t>
      </w:r>
      <w:r>
        <w:t xml:space="preserve"> </w:t>
      </w:r>
      <w:r>
        <w:rPr>
          <w:rFonts w:eastAsia="Times New Roman" w:cs="Times New Roman"/>
          <w:color w:val="000000"/>
          <w:highlight w:val="white"/>
        </w:rPr>
        <w:t>Strategiei privind gospodărirea integrată a zonei costiere</w:t>
      </w:r>
      <w:r>
        <w:rPr>
          <w:rFonts w:eastAsia="Times New Roman" w:cs="Times New Roman"/>
          <w:color w:val="000000"/>
        </w:rPr>
        <w:t xml:space="preserve">. Totuși, principala problemă este legată de insuficienta autoritate a acestui minister de resort, astfel încât acesta să aibă un control eficient asupra activităților celorlalte ministere implicate în procesul de luare a deciziilor privind zona costieră. Din acest motiv, prezentul document propune menținerea Comitetului Național al Zonei Costiere (CNZC), dar cu modificări semnificative în ceea ce privește </w:t>
      </w:r>
      <w:r>
        <w:rPr>
          <w:rFonts w:eastAsia="Times New Roman" w:cs="Times New Roman"/>
          <w:color w:val="000000"/>
        </w:rPr>
        <w:lastRenderedPageBreak/>
        <w:t>conducerea, în sensul sporirii autorității, componența și atribuțiile, în calitate de entitate principală de gestionare integrată a zonei costiere. Aceste modificări se vor realiza cu prioritate, prin implementarea măsurii M1.1 din prezentul Plan de Management Integrat al zonei costiere.</w:t>
      </w:r>
    </w:p>
    <w:p w14:paraId="17EACF9F" w14:textId="77777777" w:rsidR="00473248" w:rsidRDefault="00473248" w:rsidP="00473248">
      <w:pPr>
        <w:spacing w:before="0"/>
        <w:ind w:firstLine="540"/>
        <w:rPr>
          <w:rFonts w:eastAsia="Times New Roman" w:cs="Times New Roman"/>
          <w:color w:val="000000"/>
        </w:rPr>
      </w:pPr>
      <w:r>
        <w:rPr>
          <w:rFonts w:eastAsia="Times New Roman" w:cs="Times New Roman"/>
          <w:color w:val="000000"/>
        </w:rPr>
        <w:t xml:space="preserve">În urma implementării acestei măsuri, conducerea </w:t>
      </w:r>
      <w:sdt>
        <w:sdtPr>
          <w:tag w:val="goog_rdk_57"/>
          <w:id w:val="-378398904"/>
        </w:sdtPr>
        <w:sdtContent>
          <w:r>
            <w:rPr>
              <w:rFonts w:eastAsia="Times New Roman" w:cs="Times New Roman"/>
              <w:color w:val="000000"/>
            </w:rPr>
            <w:t>CNZC</w:t>
          </w:r>
        </w:sdtContent>
      </w:sdt>
      <w:r>
        <w:rPr>
          <w:rFonts w:eastAsia="Times New Roman" w:cs="Times New Roman"/>
          <w:color w:val="000000"/>
        </w:rPr>
        <w:t xml:space="preserve"> va fi asigurată de către cancelaria Primului Ministru, astfel încât Comitetului Național al Zonei Costiere i se conferă suficientă autoritate pentru a asigura o coordonare </w:t>
      </w:r>
      <w:sdt>
        <w:sdtPr>
          <w:tag w:val="goog_rdk_58"/>
          <w:id w:val="2033145561"/>
        </w:sdtPr>
        <w:sdtContent>
          <w:r>
            <w:rPr>
              <w:rFonts w:eastAsia="Times New Roman" w:cs="Times New Roman"/>
              <w:color w:val="000000"/>
            </w:rPr>
            <w:t>interministerială</w:t>
          </w:r>
        </w:sdtContent>
      </w:sdt>
      <w:r>
        <w:rPr>
          <w:rFonts w:eastAsia="Times New Roman" w:cs="Times New Roman"/>
          <w:color w:val="000000"/>
        </w:rPr>
        <w:t xml:space="preserve"> eficientă la nivel de implementare a politicii MIZC, precum și înființarea și implementarea unor mecanisme de coordonare instituțională, organizate pe verticală și orizontală, între autoritățile și instituțiile competente atât la nivel național, cât și local. În acest fel, deficiențele și problemele identificate în analiza situației zonei costiere în ceea ce privește necesitatea stabilirii/întăririi unui cadru instituțional pentru MIZC vor fi eliminate.</w:t>
      </w:r>
    </w:p>
    <w:p w14:paraId="262BD3F1" w14:textId="77777777" w:rsidR="00473248" w:rsidRDefault="00473248" w:rsidP="00473248">
      <w:pPr>
        <w:spacing w:before="0"/>
        <w:ind w:firstLine="540"/>
        <w:rPr>
          <w:rFonts w:eastAsia="Times New Roman" w:cs="Times New Roman"/>
        </w:rPr>
      </w:pPr>
      <w:r>
        <w:rPr>
          <w:rFonts w:eastAsia="Times New Roman" w:cs="Times New Roman"/>
        </w:rPr>
        <w:t>Pentru asigurarea implementării Planului de Management Integrat al zonei costiere și a Strategiei naționale privind gospodărirea integrată al zonei costiere, CNZC va fi structura de cooperare de importanță vitală deoarece:</w:t>
      </w:r>
    </w:p>
    <w:p w14:paraId="7A6E7B78" w14:textId="77777777" w:rsidR="00473248" w:rsidRDefault="00473248" w:rsidP="00473248">
      <w:pPr>
        <w:spacing w:before="0"/>
        <w:ind w:firstLine="540"/>
        <w:rPr>
          <w:rFonts w:eastAsia="Times New Roman" w:cs="Times New Roman"/>
        </w:rPr>
      </w:pPr>
      <w:r>
        <w:rPr>
          <w:rFonts w:eastAsia="Times New Roman" w:cs="Times New Roman"/>
        </w:rPr>
        <w:t>- va asigura cadrul pentru o bună guvernanță a zonei costiere;</w:t>
      </w:r>
    </w:p>
    <w:p w14:paraId="7B83B043" w14:textId="77777777" w:rsidR="00473248" w:rsidRDefault="00473248" w:rsidP="00473248">
      <w:pPr>
        <w:spacing w:before="0"/>
        <w:ind w:firstLine="540"/>
        <w:rPr>
          <w:rFonts w:eastAsia="Times New Roman" w:cs="Times New Roman"/>
        </w:rPr>
      </w:pPr>
      <w:r>
        <w:rPr>
          <w:rFonts w:eastAsia="Times New Roman" w:cs="Times New Roman"/>
        </w:rPr>
        <w:t>- va asigura cadrul de comunicare între toți actorii instituționali implicați în procesul MIZC;</w:t>
      </w:r>
    </w:p>
    <w:p w14:paraId="060DFC58" w14:textId="77777777" w:rsidR="00473248" w:rsidRDefault="00473248" w:rsidP="00473248">
      <w:pPr>
        <w:spacing w:before="0"/>
        <w:ind w:firstLine="540"/>
        <w:rPr>
          <w:rFonts w:eastAsia="Times New Roman" w:cs="Times New Roman"/>
        </w:rPr>
      </w:pPr>
      <w:r>
        <w:rPr>
          <w:rFonts w:eastAsia="Times New Roman" w:cs="Times New Roman"/>
        </w:rPr>
        <w:t>- va asigura capacitate de expertiză interdisciplinară pentru abordarea integrată a problemelor zona costieră;</w:t>
      </w:r>
    </w:p>
    <w:p w14:paraId="61967523" w14:textId="77777777" w:rsidR="00473248" w:rsidRDefault="00473248" w:rsidP="00473248">
      <w:pPr>
        <w:spacing w:before="0"/>
        <w:ind w:firstLine="540"/>
        <w:rPr>
          <w:rFonts w:eastAsia="Times New Roman" w:cs="Times New Roman"/>
        </w:rPr>
      </w:pPr>
      <w:r>
        <w:rPr>
          <w:rFonts w:eastAsia="Times New Roman" w:cs="Times New Roman"/>
        </w:rPr>
        <w:t>- va asigura coerența și transparența deciziilor referitoare la zona costieră.</w:t>
      </w:r>
    </w:p>
    <w:p w14:paraId="6418B041" w14:textId="77777777" w:rsidR="00473248" w:rsidRDefault="00473248" w:rsidP="00473248">
      <w:pPr>
        <w:spacing w:before="0"/>
        <w:ind w:firstLine="540"/>
        <w:rPr>
          <w:rFonts w:eastAsia="Times New Roman" w:cs="Times New Roman"/>
        </w:rPr>
      </w:pPr>
      <w:r>
        <w:rPr>
          <w:rFonts w:eastAsia="Times New Roman" w:cs="Times New Roman"/>
        </w:rPr>
        <w:t>CNZC va acorda suport de specialitate / profesional și consiliere în cadrul implementării Planului și Strategiei naţionale MIZC, precum și în cadrul funcționării sistemului instituțional MIZC prin adoptarea de recomandări, orientări referitoare la implementarea politicii de management integrat a zonei costiere, în special în ceea ce privește:</w:t>
      </w:r>
    </w:p>
    <w:p w14:paraId="222EA713" w14:textId="77777777" w:rsidR="00473248" w:rsidRDefault="00473248" w:rsidP="00473248">
      <w:pPr>
        <w:spacing w:before="0"/>
        <w:ind w:firstLine="540"/>
        <w:rPr>
          <w:rFonts w:eastAsia="Times New Roman" w:cs="Times New Roman"/>
        </w:rPr>
      </w:pPr>
      <w:r>
        <w:rPr>
          <w:rFonts w:eastAsia="Times New Roman" w:cs="Times New Roman"/>
        </w:rPr>
        <w:t>- modificări ale reglementărilor existente, adoptarea unor noi reglementări importante pentru MIZCși aplicarea eficientă a acestora;</w:t>
      </w:r>
    </w:p>
    <w:p w14:paraId="72CC483C" w14:textId="77777777" w:rsidR="00473248" w:rsidRDefault="00473248" w:rsidP="00473248">
      <w:pPr>
        <w:spacing w:before="0"/>
        <w:ind w:firstLine="540"/>
        <w:rPr>
          <w:rFonts w:eastAsia="Times New Roman" w:cs="Times New Roman"/>
        </w:rPr>
      </w:pPr>
      <w:r>
        <w:rPr>
          <w:rFonts w:eastAsia="Times New Roman" w:cs="Times New Roman"/>
        </w:rPr>
        <w:t>- conformarea politicilor sectoriale cu Strategia naţională MIZC şi eliminarea planificării sectoriale fragmentate a dezvoltării;</w:t>
      </w:r>
    </w:p>
    <w:p w14:paraId="21FC18D0" w14:textId="77777777" w:rsidR="00473248" w:rsidRDefault="00473248" w:rsidP="00473248">
      <w:pPr>
        <w:spacing w:before="0"/>
        <w:ind w:firstLine="540"/>
        <w:rPr>
          <w:rFonts w:eastAsia="Times New Roman" w:cs="Times New Roman"/>
        </w:rPr>
      </w:pPr>
      <w:r>
        <w:rPr>
          <w:rFonts w:eastAsia="Times New Roman" w:cs="Times New Roman"/>
        </w:rPr>
        <w:t>- îmbunătăţirea managementului zonei costiere;</w:t>
      </w:r>
    </w:p>
    <w:p w14:paraId="5F50B682" w14:textId="77777777" w:rsidR="00473248" w:rsidRDefault="00473248" w:rsidP="00473248">
      <w:pPr>
        <w:spacing w:before="0"/>
        <w:ind w:firstLine="540"/>
        <w:rPr>
          <w:rFonts w:eastAsia="Times New Roman" w:cs="Times New Roman"/>
        </w:rPr>
      </w:pPr>
      <w:r>
        <w:rPr>
          <w:rFonts w:eastAsia="Times New Roman" w:cs="Times New Roman"/>
        </w:rPr>
        <w:t>- încorporarea MIZC în procesul mai larg de planificare națională;</w:t>
      </w:r>
    </w:p>
    <w:p w14:paraId="367675FD" w14:textId="77777777" w:rsidR="00473248" w:rsidRDefault="00473248" w:rsidP="00473248">
      <w:pPr>
        <w:spacing w:before="0"/>
        <w:ind w:firstLine="540"/>
        <w:rPr>
          <w:rFonts w:eastAsia="Times New Roman" w:cs="Times New Roman"/>
        </w:rPr>
      </w:pPr>
      <w:r>
        <w:rPr>
          <w:rFonts w:eastAsia="Times New Roman" w:cs="Times New Roman"/>
        </w:rPr>
        <w:t>- definirea măsurilor/politicilor fiscale pentru buna funcționare a managementului zonei costiere;</w:t>
      </w:r>
    </w:p>
    <w:p w14:paraId="79993FCD" w14:textId="77777777" w:rsidR="00473248" w:rsidRDefault="00473248" w:rsidP="00473248">
      <w:pPr>
        <w:spacing w:before="0"/>
        <w:ind w:firstLine="540"/>
        <w:rPr>
          <w:rFonts w:eastAsia="Times New Roman" w:cs="Times New Roman"/>
        </w:rPr>
      </w:pPr>
      <w:r>
        <w:rPr>
          <w:rFonts w:eastAsia="Times New Roman" w:cs="Times New Roman"/>
        </w:rPr>
        <w:t>- reglementarea activităților din zona costieră în vederea conformării acestora cu obiectivele/cerințele de sustenabilitate;</w:t>
      </w:r>
    </w:p>
    <w:p w14:paraId="073193F6" w14:textId="77777777" w:rsidR="00473248" w:rsidRDefault="00473248" w:rsidP="00473248">
      <w:pPr>
        <w:spacing w:before="0"/>
        <w:ind w:firstLine="540"/>
        <w:rPr>
          <w:rFonts w:eastAsia="Times New Roman" w:cs="Times New Roman"/>
        </w:rPr>
      </w:pPr>
      <w:r>
        <w:rPr>
          <w:rFonts w:eastAsia="Times New Roman" w:cs="Times New Roman"/>
        </w:rPr>
        <w:t>- asigurarea funcționării continue a Observatorului Zonei Costiere, actualizarea sa permanentă (asigurarea furnizării datelor și informațiilor de către organizațiile competente / responsabile);</w:t>
      </w:r>
    </w:p>
    <w:p w14:paraId="1405FAD8" w14:textId="77777777" w:rsidR="00473248" w:rsidRDefault="00473248" w:rsidP="00473248">
      <w:pPr>
        <w:spacing w:before="0"/>
        <w:ind w:firstLine="540"/>
        <w:rPr>
          <w:rFonts w:eastAsia="Times New Roman" w:cs="Times New Roman"/>
        </w:rPr>
      </w:pPr>
      <w:r>
        <w:rPr>
          <w:rFonts w:eastAsia="Times New Roman" w:cs="Times New Roman"/>
        </w:rPr>
        <w:lastRenderedPageBreak/>
        <w:t>- asigurarea de sprijin și asistență în accesarea de fonduri pentru programele și activitățile ce contribuie la dezvoltarea sustenabilă, integrată, a zonei costiere;</w:t>
      </w:r>
    </w:p>
    <w:p w14:paraId="4474E5F8" w14:textId="77777777" w:rsidR="00473248" w:rsidRDefault="00473248" w:rsidP="00473248">
      <w:pPr>
        <w:spacing w:before="0"/>
        <w:ind w:firstLine="540"/>
        <w:rPr>
          <w:rFonts w:eastAsia="Times New Roman" w:cs="Times New Roman"/>
        </w:rPr>
      </w:pPr>
      <w:r>
        <w:rPr>
          <w:rFonts w:eastAsia="Times New Roman" w:cs="Times New Roman"/>
        </w:rPr>
        <w:t>- asigurarea consolidarea de sprijin și asistență în consolidarea capacităţilor instituţiilor existente vitale pentru implementarea planului și strategiei de management integrat al zonelor costiere.</w:t>
      </w:r>
    </w:p>
    <w:p w14:paraId="53A72918" w14:textId="77777777" w:rsidR="00473248" w:rsidRDefault="00473248" w:rsidP="00473248">
      <w:pPr>
        <w:spacing w:before="0"/>
        <w:ind w:firstLine="540"/>
        <w:rPr>
          <w:rFonts w:eastAsia="Times New Roman" w:cs="Times New Roman"/>
        </w:rPr>
      </w:pPr>
      <w:r>
        <w:rPr>
          <w:rFonts w:eastAsia="Times New Roman" w:cs="Times New Roman"/>
        </w:rPr>
        <w:t>Spre deosebire de situația prezentă, prin implementarea măsurii M1.1 se va asigura/sprijini funcționarea CNZC prin crearea în structura MMAP a unui compartiment, numit Secretariat Tehnic Administrativ al Zonei Costire (STA-ZC), care va avea următoarele funcții principale:</w:t>
      </w:r>
    </w:p>
    <w:p w14:paraId="4EE05AEE" w14:textId="77777777" w:rsidR="00473248" w:rsidRDefault="00473248" w:rsidP="00473248">
      <w:pPr>
        <w:spacing w:before="0"/>
        <w:ind w:firstLine="540"/>
        <w:rPr>
          <w:rFonts w:eastAsia="Times New Roman" w:cs="Times New Roman"/>
        </w:rPr>
      </w:pPr>
      <w:r>
        <w:rPr>
          <w:rFonts w:eastAsia="Times New Roman" w:cs="Times New Roman"/>
        </w:rPr>
        <w:t>- o funcție administrativă, cu un personal restrâns, permanent, care va desfășura strict activități de secretariat și logistice pentru buna funcționare a CNZC (organizează și asigură buna desfăşurare a ședințelor CNZC, propune preşedintelui Comitetului structura şi conţinutul agendei, pregăteşte şi transmite documentele şi materialele necesare convocării şi desfăşurării şedinţelor CNZC, redactează procesele-verbale ale ședințelor CNZC, comunică procesele-verbale către toţi cei interesaţi, cu respectarea prevederilor legale în vigoare, etc.);</w:t>
      </w:r>
    </w:p>
    <w:p w14:paraId="100D34CE" w14:textId="77777777" w:rsidR="00473248" w:rsidRDefault="00473248" w:rsidP="00473248">
      <w:pPr>
        <w:spacing w:before="0"/>
        <w:ind w:firstLine="540"/>
        <w:rPr>
          <w:rFonts w:eastAsia="Times New Roman" w:cs="Times New Roman"/>
        </w:rPr>
      </w:pPr>
      <w:r>
        <w:rPr>
          <w:rFonts w:eastAsia="Times New Roman" w:cs="Times New Roman"/>
        </w:rPr>
        <w:t>- o funcție tehnică, asigurată de un grup de lucru permanent format din experți în baze de date și GIS ai MMAP, ce vor dezvolta și administra un Observator al Zonei Costiere unde vor fi disponibile date și informații (o bază de date comună). Este foarte importantă cooperarea permanentă și coordonarea STA-ZC cu compartimentul similar în ceea ce privește responsabilitățile, din cadrul Ministerului Dezvoltării, Lucrărilor Publice și Administrației în scopul asigurării complementarității, dar și pentru evitarea suprapunerilor. Ministerul Cercetării, Inovării și Digitalizării și Academia Română vor susține buna funcționare a acestui grup prin delegarea de experți în managementul datelor care să aplice politica de date FAIR (Findable, Accessible, Interoperable and Re-usable);</w:t>
      </w:r>
    </w:p>
    <w:p w14:paraId="65AF7C3B" w14:textId="77777777" w:rsidR="00473248" w:rsidRDefault="00473248" w:rsidP="00473248">
      <w:pPr>
        <w:spacing w:before="0"/>
        <w:ind w:firstLine="540"/>
        <w:rPr>
          <w:rFonts w:eastAsia="Times New Roman" w:cs="Times New Roman"/>
        </w:rPr>
      </w:pPr>
      <w:r>
        <w:rPr>
          <w:rFonts w:eastAsia="Times New Roman" w:cs="Times New Roman"/>
        </w:rPr>
        <w:t>- o funcție de monitorizare a stadiului implementării strategiei naționale și planului de management integrat al zonei costiere și raportare (către Agenția Europeană de Mediu, Comisia Mării Negre, etc.);</w:t>
      </w:r>
    </w:p>
    <w:p w14:paraId="183DC285" w14:textId="77777777" w:rsidR="00473248" w:rsidRDefault="00473248" w:rsidP="00473248">
      <w:pPr>
        <w:spacing w:before="0"/>
        <w:ind w:firstLine="540"/>
        <w:rPr>
          <w:rFonts w:eastAsia="Times New Roman" w:cs="Times New Roman"/>
        </w:rPr>
      </w:pPr>
      <w:r>
        <w:rPr>
          <w:rFonts w:eastAsia="Times New Roman" w:cs="Times New Roman"/>
        </w:rPr>
        <w:t>- o funcție de comunicare și diseminare - asigurată de experții în comunicare ai MMAP, ce vor implementa Planul de Comunicare (măsura M 1.3).</w:t>
      </w:r>
    </w:p>
    <w:p w14:paraId="145C2F0D" w14:textId="77777777" w:rsidR="00473248" w:rsidRDefault="00473248" w:rsidP="00473248">
      <w:pPr>
        <w:spacing w:before="0"/>
        <w:ind w:firstLine="540"/>
        <w:rPr>
          <w:rFonts w:eastAsia="Times New Roman" w:cs="Times New Roman"/>
        </w:rPr>
      </w:pPr>
      <w:r>
        <w:rPr>
          <w:rFonts w:eastAsia="Times New Roman" w:cs="Times New Roman"/>
        </w:rPr>
        <w:t>Referitor la organizarea CNZC, așa cum a fost sugerat mai sus este necesară o restructurare a componenței acestuia, în sensul includerii și reprezentanților mediului de afaceri, precum și o restrângere a numărului reprezentanților autorităților locale, astfel încât să se evite situațiile din prezent legate de neconstituirea cvorumului. În CNZC, cele patru UAT-uri din județul Tulcea vor avea un singur reprezentant, iar cele nouă UAT-uri din județul Constanța vor avea doi reprezentanți. Prin componența sa CNZC trebuie să asigure o abordare multidisciplinară în definirea conţinutului şi participarea la elaborarea planurilor, programelor şi politicilor publice, precum și o reprezentare adecvată a tuturor actorilor importanți pentru zona costieră (reprezentanții ministerelor și agențiilor cheie), reprezentanți ai autorităților locale, reprezentanți ai sectorului civil și privat.</w:t>
      </w:r>
    </w:p>
    <w:p w14:paraId="2F85CB2F" w14:textId="77777777" w:rsidR="00473248" w:rsidRDefault="00473248" w:rsidP="00473248">
      <w:pPr>
        <w:spacing w:before="0"/>
        <w:ind w:firstLine="540"/>
        <w:rPr>
          <w:rFonts w:eastAsia="Times New Roman" w:cs="Times New Roman"/>
        </w:rPr>
      </w:pPr>
      <w:r>
        <w:rPr>
          <w:rFonts w:eastAsia="Times New Roman" w:cs="Times New Roman"/>
        </w:rPr>
        <w:t xml:space="preserve">CNZC se va reuni trimestrial, în ședințe ordinare, fiind convocat de către președinte prin intermediul STA-ZC. În cazul unor situații excepționale (ce urmează a fi definite în </w:t>
      </w:r>
      <w:r>
        <w:rPr>
          <w:rFonts w:eastAsia="Times New Roman" w:cs="Times New Roman"/>
        </w:rPr>
        <w:lastRenderedPageBreak/>
        <w:t>regulamentul de funcționare al Comitetului), CNZC se va reuni în ședințe extraordinare, la solicitarea președintelui CNZC sau a MMAP (prin intermediul STA-ZC).</w:t>
      </w:r>
    </w:p>
    <w:p w14:paraId="3AD08C29" w14:textId="77777777" w:rsidR="00473248" w:rsidRDefault="00473248" w:rsidP="00473248">
      <w:pPr>
        <w:spacing w:before="0"/>
        <w:ind w:firstLine="540"/>
        <w:rPr>
          <w:rFonts w:eastAsia="Times New Roman" w:cs="Times New Roman"/>
        </w:rPr>
      </w:pPr>
      <w:r>
        <w:rPr>
          <w:rFonts w:eastAsia="Times New Roman" w:cs="Times New Roman"/>
        </w:rPr>
        <w:t>CNZC va lua decizii în baza a cel puțin jumătate plus unul dintre membrii comitetului sunt prezenți la ședință, deciziile fiind adoptate, prin consens, iar dacă acesta nu este posibil, prin aplicarea procedurii de vot și aplicarea regulii majorității simple.</w:t>
      </w:r>
    </w:p>
    <w:p w14:paraId="6D9DE2AC" w14:textId="77777777" w:rsidR="00473248" w:rsidRDefault="00473248" w:rsidP="00473248">
      <w:pPr>
        <w:spacing w:before="0"/>
        <w:ind w:firstLine="540"/>
        <w:rPr>
          <w:rFonts w:eastAsia="Times New Roman" w:cs="Times New Roman"/>
        </w:rPr>
      </w:pPr>
      <w:r>
        <w:rPr>
          <w:rFonts w:eastAsia="Times New Roman" w:cs="Times New Roman"/>
        </w:rPr>
        <w:t>Comitetul Național pentru Zona Costieră (CNZC):</w:t>
      </w:r>
    </w:p>
    <w:p w14:paraId="5D0DE242" w14:textId="77777777" w:rsidR="00473248" w:rsidRDefault="00473248" w:rsidP="00473248">
      <w:pPr>
        <w:numPr>
          <w:ilvl w:val="0"/>
          <w:numId w:val="45"/>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va aviza planurile de gospodărire integrată a zonei costiere și planurile de urbanism locale și zonale; studiile de impact pentru activități cu impact semnificativ ce urmează a se desfăşura în zona costieră, precum și bilanţurile de mediu ale lucrărilor existente; proiectele de creare de parcuri și rezervaţii naturale marine/aferente zonei costiere. Avizele CNZC vor preceda emiterea avizelor, acordurilor și autorizațiilor de mediu și gospodărire a apelor și se emit de către CNZC la solicitarea beneficiarilor. Caracterul obligatoriu sau consultativ al avizelor CNZC va fi stabilit după actualizarea delimitării zonei costiere. CNZC va trebui să aibă o perspectivă mai largă asupra strategiilor, programelor și proiectelor care pot avea impact asupra zonei costiere, dar atribuțiile și competențele sale vor fi adaptate scării spațiale respective. Astfel, în unele cazuri (proiecte fără un impact major, realizate în zone ce nu necesită o protecție deosebită) avizele CNZC vor avea un caracter doar consultativ sau vor fi oferite doar puncte de vedere, în timp ce pentru proiecte cu impact major și realizate în zone sensibile, avizul CMZC va trebui să fie obligatoriu. Avizele și punctele de vedere vor fi fundamentate pe baza rapoartelor tehnice elaborate în cadrul Grupurilor de Lucru (a se vedea mai jos);</w:t>
      </w:r>
    </w:p>
    <w:p w14:paraId="78ADEEE4" w14:textId="77777777" w:rsidR="00473248" w:rsidRDefault="00473248" w:rsidP="00473248">
      <w:pPr>
        <w:numPr>
          <w:ilvl w:val="0"/>
          <w:numId w:val="45"/>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va fi consultat în procesul de elaborare a politicilor și planurilor sectoriale și a modului de aplicare a instrumentelor de punere în aplicare adecvate;</w:t>
      </w:r>
    </w:p>
    <w:p w14:paraId="43B296C4" w14:textId="77777777" w:rsidR="00473248" w:rsidRDefault="00473248" w:rsidP="00473248">
      <w:pPr>
        <w:numPr>
          <w:ilvl w:val="0"/>
          <w:numId w:val="45"/>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va sprijini obținerea unui consens între ministerele și agențiile de resort în ceea ce privește aspectele relevante pentru zona de coastă.</w:t>
      </w:r>
    </w:p>
    <w:p w14:paraId="354EB372" w14:textId="77777777" w:rsidR="00473248" w:rsidRDefault="00473248" w:rsidP="00473248">
      <w:pPr>
        <w:spacing w:before="0"/>
        <w:ind w:firstLine="540"/>
        <w:rPr>
          <w:rFonts w:eastAsia="Times New Roman" w:cs="Times New Roman"/>
        </w:rPr>
      </w:pPr>
      <w:r>
        <w:rPr>
          <w:rFonts w:eastAsia="Times New Roman" w:cs="Times New Roman"/>
        </w:rPr>
        <w:t xml:space="preserve">La nivel tehnico-profesional, în cadrul CNZC se vor constitui Grupuri de Lucru formate din experți aparținând principalelor părți interesate, dar și din experți independenți. Componența și dimensiunea acestor Grupuri de Lucru va fi decisă de către </w:t>
      </w:r>
      <w:sdt>
        <w:sdtPr>
          <w:tag w:val="goog_rdk_59"/>
          <w:id w:val="464315897"/>
        </w:sdtPr>
        <w:sdtContent>
          <w:r>
            <w:rPr>
              <w:rFonts w:eastAsia="Times New Roman" w:cs="Times New Roman"/>
            </w:rPr>
            <w:t>CNZC</w:t>
          </w:r>
        </w:sdtContent>
      </w:sdt>
      <w:r>
        <w:rPr>
          <w:rFonts w:eastAsia="Times New Roman" w:cs="Times New Roman"/>
        </w:rPr>
        <w:t xml:space="preserve"> în funcție de natura problemei în discuție, dintr-o listă largă de experți nominalizați (pe domenii de competență) de către organizațiile membre al CNZC. În principiu, vor fi șase grupuri de lucru (GL), după cum urmează:</w:t>
      </w:r>
    </w:p>
    <w:p w14:paraId="2746F8E1" w14:textId="77777777" w:rsidR="00473248" w:rsidRDefault="00473248" w:rsidP="00473248">
      <w:pPr>
        <w:spacing w:before="0"/>
        <w:ind w:left="1134" w:hanging="360"/>
        <w:rPr>
          <w:rFonts w:eastAsia="Times New Roman" w:cs="Times New Roman"/>
        </w:rPr>
      </w:pPr>
      <w:r>
        <w:rPr>
          <w:rFonts w:eastAsia="Times New Roman" w:cs="Times New Roman"/>
        </w:rPr>
        <w:t xml:space="preserve">a) </w:t>
      </w:r>
      <w:r>
        <w:rPr>
          <w:rFonts w:eastAsia="Times New Roman" w:cs="Times New Roman"/>
        </w:rPr>
        <w:tab/>
        <w:t>Grupul de lucru pentru politici și planuri de acţiune pentru gestionarea integrată a Zonei Costiere;</w:t>
      </w:r>
    </w:p>
    <w:p w14:paraId="68C688C2" w14:textId="77777777" w:rsidR="00473248" w:rsidRDefault="00473248" w:rsidP="00473248">
      <w:pPr>
        <w:spacing w:before="0"/>
        <w:ind w:left="1134" w:hanging="360"/>
        <w:rPr>
          <w:rFonts w:eastAsia="Times New Roman" w:cs="Times New Roman"/>
        </w:rPr>
      </w:pPr>
      <w:r>
        <w:rPr>
          <w:rFonts w:eastAsia="Times New Roman" w:cs="Times New Roman"/>
        </w:rPr>
        <w:t xml:space="preserve">b) </w:t>
      </w:r>
      <w:r>
        <w:rPr>
          <w:rFonts w:eastAsia="Times New Roman" w:cs="Times New Roman"/>
        </w:rPr>
        <w:tab/>
        <w:t>Grupul de lucru pentru planificare spațială a teritoriului, dezvoltare urbană și amenajarea spațiului maritim;</w:t>
      </w:r>
    </w:p>
    <w:p w14:paraId="23795D16" w14:textId="77777777" w:rsidR="00473248" w:rsidRDefault="00473248" w:rsidP="00473248">
      <w:pPr>
        <w:spacing w:before="0"/>
        <w:ind w:left="1134" w:hanging="360"/>
        <w:rPr>
          <w:rFonts w:eastAsia="Times New Roman" w:cs="Times New Roman"/>
        </w:rPr>
      </w:pPr>
      <w:r>
        <w:rPr>
          <w:rFonts w:eastAsia="Times New Roman" w:cs="Times New Roman"/>
        </w:rPr>
        <w:t xml:space="preserve">c) </w:t>
      </w:r>
      <w:r>
        <w:rPr>
          <w:rFonts w:eastAsia="Times New Roman" w:cs="Times New Roman"/>
        </w:rPr>
        <w:tab/>
        <w:t>Grupul de lucru pentru schimbări climatice, hazarde naturale și antropice;</w:t>
      </w:r>
    </w:p>
    <w:p w14:paraId="01F4C9F8" w14:textId="77777777" w:rsidR="00473248" w:rsidRDefault="00473248" w:rsidP="00473248">
      <w:pPr>
        <w:spacing w:before="0"/>
        <w:ind w:left="1134" w:hanging="360"/>
        <w:rPr>
          <w:rFonts w:eastAsia="Times New Roman" w:cs="Times New Roman"/>
        </w:rPr>
      </w:pPr>
      <w:r>
        <w:rPr>
          <w:rFonts w:eastAsia="Times New Roman" w:cs="Times New Roman"/>
        </w:rPr>
        <w:t xml:space="preserve">d) </w:t>
      </w:r>
      <w:r>
        <w:rPr>
          <w:rFonts w:eastAsia="Times New Roman" w:cs="Times New Roman"/>
        </w:rPr>
        <w:tab/>
        <w:t>Grupul de lucru pentru reglementări și proiecte de reglementări referitoare la gestionarea integrată a Zonei Costiere;</w:t>
      </w:r>
    </w:p>
    <w:p w14:paraId="26F4F2AE" w14:textId="77777777" w:rsidR="00473248" w:rsidRDefault="00473248" w:rsidP="00473248">
      <w:pPr>
        <w:spacing w:before="0"/>
        <w:ind w:left="1134" w:hanging="360"/>
        <w:rPr>
          <w:rFonts w:eastAsia="Times New Roman" w:cs="Times New Roman"/>
        </w:rPr>
      </w:pPr>
      <w:r>
        <w:rPr>
          <w:rFonts w:eastAsia="Times New Roman" w:cs="Times New Roman"/>
        </w:rPr>
        <w:lastRenderedPageBreak/>
        <w:t xml:space="preserve">e) </w:t>
      </w:r>
      <w:r>
        <w:rPr>
          <w:rFonts w:eastAsia="Times New Roman" w:cs="Times New Roman"/>
        </w:rPr>
        <w:tab/>
        <w:t>Grupul de pentru patrimoniul natural și cultural, calitatea mediului, conservarea biodiversității;</w:t>
      </w:r>
    </w:p>
    <w:p w14:paraId="1E0ED0E9" w14:textId="77777777" w:rsidR="00473248" w:rsidRDefault="00473248" w:rsidP="00473248">
      <w:pPr>
        <w:spacing w:before="0"/>
        <w:ind w:left="1134" w:hanging="360"/>
        <w:rPr>
          <w:rFonts w:eastAsia="Times New Roman" w:cs="Times New Roman"/>
        </w:rPr>
      </w:pPr>
      <w:r>
        <w:rPr>
          <w:rFonts w:eastAsia="Times New Roman" w:cs="Times New Roman"/>
        </w:rPr>
        <w:t xml:space="preserve">f) </w:t>
      </w:r>
      <w:r>
        <w:rPr>
          <w:rFonts w:eastAsia="Times New Roman" w:cs="Times New Roman"/>
        </w:rPr>
        <w:tab/>
        <w:t>Grupul de Lucru pentru monitorizare, evaluare și raportare.</w:t>
      </w:r>
    </w:p>
    <w:p w14:paraId="39714101" w14:textId="77777777" w:rsidR="00473248" w:rsidRDefault="00473248" w:rsidP="00473248">
      <w:pPr>
        <w:spacing w:before="0"/>
        <w:ind w:firstLine="540"/>
        <w:rPr>
          <w:rFonts w:eastAsia="Times New Roman" w:cs="Times New Roman"/>
        </w:rPr>
      </w:pPr>
      <w:r>
        <w:rPr>
          <w:rFonts w:eastAsia="Times New Roman" w:cs="Times New Roman"/>
        </w:rPr>
        <w:t>Grupurile de Lucru se vor întruni ori de câte ori este nevoie, ședințele fiind conduse de către un președinte ales din rândul membrilor grupului, asistat de către un reprezentant al STS-ZC ce va avea responsabilitățile menționate mai jos. Un aspect important de menționat este asigurarea motivației și interesului experților de a lucra eficient în aceste Grupuri de Lucru. Este necesară astfel identificarea unor resurse financiare, din bugetul MMAP, care să fie alocate funcționării optime a acestor Grupuri de Lucru, în principal prin remunerarea experților.</w:t>
      </w:r>
    </w:p>
    <w:p w14:paraId="48D78C58" w14:textId="77777777" w:rsidR="00473248" w:rsidRDefault="00473248" w:rsidP="00473248">
      <w:pPr>
        <w:spacing w:before="0"/>
        <w:ind w:firstLine="540"/>
        <w:rPr>
          <w:rFonts w:eastAsia="Times New Roman" w:cs="Times New Roman"/>
        </w:rPr>
      </w:pPr>
      <w:r>
        <w:rPr>
          <w:rFonts w:eastAsia="Times New Roman" w:cs="Times New Roman"/>
        </w:rPr>
        <w:t xml:space="preserve">În organizarea și desfășurarea ședințelor CNZC, precum și ale Grupurilor de Lucru, suportul administrativ (secretariat, logistică) va fi acordat de către Secretariatul Tehnic Administrativ al Zonei Costiere, din cadrul MMAP. În cadrul grupurilor de Lucru vor face parte obligatoriu și reprezentanți ai STA-ZC cu competențe tehnice (baze de date, GIS, monitorizare, raportare, comunicare). Aceștia vor asigura un sprijin permanent desfășurării lucrărilor Grupurilor de Lucru ale </w:t>
      </w:r>
      <w:sdt>
        <w:sdtPr>
          <w:tag w:val="goog_rdk_60"/>
          <w:id w:val="-403141536"/>
        </w:sdtPr>
        <w:sdtContent>
          <w:r>
            <w:rPr>
              <w:rFonts w:eastAsia="Times New Roman" w:cs="Times New Roman"/>
            </w:rPr>
            <w:t>CNZC</w:t>
          </w:r>
        </w:sdtContent>
      </w:sdt>
      <w:r>
        <w:rPr>
          <w:rFonts w:eastAsia="Times New Roman" w:cs="Times New Roman"/>
        </w:rPr>
        <w:t xml:space="preserve">, punând la dispoziția membrilor date/informații necesare, rezultate ale monitorizării implementării strategiei, instrumente de comunicare către publicul larg, etc. Obiectivul activității desfășurate de Grupurile de lucru/grupurile de experți este de a fundamenta procesele decizionale din cadrul </w:t>
      </w:r>
      <w:sdt>
        <w:sdtPr>
          <w:tag w:val="goog_rdk_61"/>
          <w:id w:val="-1667155065"/>
        </w:sdtPr>
        <w:sdtContent>
          <w:r>
            <w:rPr>
              <w:rFonts w:eastAsia="Times New Roman" w:cs="Times New Roman"/>
            </w:rPr>
            <w:t>CNZC</w:t>
          </w:r>
        </w:sdtContent>
      </w:sdt>
      <w:r>
        <w:rPr>
          <w:rFonts w:eastAsia="Times New Roman" w:cs="Times New Roman"/>
        </w:rPr>
        <w:t>, de a pregăti și oferi consultanță de specialitate pe teme relevante pentru punerea în aplicare corespunzătoare a Strategiei privind gospodărirea integrată a zonei costiere.</w:t>
      </w:r>
    </w:p>
    <w:p w14:paraId="102FE2AA" w14:textId="77777777" w:rsidR="00473248" w:rsidRDefault="00473248" w:rsidP="00473248">
      <w:pPr>
        <w:spacing w:before="0"/>
        <w:ind w:firstLine="540"/>
        <w:rPr>
          <w:rFonts w:eastAsia="Times New Roman" w:cs="Times New Roman"/>
        </w:rPr>
      </w:pPr>
      <w:r>
        <w:rPr>
          <w:rFonts w:eastAsia="Times New Roman" w:cs="Times New Roman"/>
        </w:rPr>
        <w:t>În ceea ce privește partea executivă, responsabilitatea pentru punerea în aplicare reală a planului de management integrat al zonei costiere și a Strategiei naționale privind gospodărirea integrată a zonei costiere revine MMAP, împreună cu instituțiile centrale și locale menționate Planul de activități.</w:t>
      </w:r>
    </w:p>
    <w:p w14:paraId="18174D4E" w14:textId="77777777" w:rsidR="00473248" w:rsidRDefault="00473248" w:rsidP="00473248">
      <w:pPr>
        <w:spacing w:before="0"/>
        <w:ind w:firstLine="540"/>
        <w:rPr>
          <w:rFonts w:eastAsia="Times New Roman" w:cs="Times New Roman"/>
        </w:rPr>
      </w:pPr>
      <w:r>
        <w:rPr>
          <w:rFonts w:eastAsia="Times New Roman" w:cs="Times New Roman"/>
        </w:rPr>
        <w:t>Reorganizarea în noua formă a CNZC, precum și atribuțiile și funcționarea acestuia trebuie stabilite/reglementate printr-o Hotărâre de Guvern, urmată de adoptarea unui regulament de organizare și funcționare.</w:t>
      </w:r>
    </w:p>
    <w:p w14:paraId="50FD6FFE" w14:textId="77777777" w:rsidR="00473248" w:rsidRPr="005E6631" w:rsidRDefault="00473248" w:rsidP="00473248">
      <w:pPr>
        <w:rPr>
          <w:rFonts w:eastAsia="Times New Roman" w:cs="Times New Roman"/>
          <w:sz w:val="28"/>
        </w:rPr>
      </w:pPr>
    </w:p>
    <w:p w14:paraId="25BE4821" w14:textId="77777777" w:rsidR="00473248" w:rsidRPr="005E6631" w:rsidRDefault="00473248" w:rsidP="00473248">
      <w:pPr>
        <w:rPr>
          <w:rFonts w:eastAsia="Times New Roman" w:cs="Times New Roman"/>
          <w:sz w:val="28"/>
        </w:rPr>
      </w:pPr>
    </w:p>
    <w:p w14:paraId="0FE1E033" w14:textId="0459EDF3" w:rsidR="00473248" w:rsidRDefault="00473248" w:rsidP="00473248">
      <w:pPr>
        <w:pStyle w:val="Heading2"/>
        <w:spacing w:before="0" w:after="120"/>
      </w:pPr>
      <w:bookmarkStart w:id="152" w:name="_heading=h.1x0gk37" w:colFirst="0" w:colLast="0"/>
      <w:bookmarkStart w:id="153" w:name="_Toc150501478"/>
      <w:bookmarkStart w:id="154" w:name="_Toc169625156"/>
      <w:bookmarkEnd w:id="152"/>
      <w:r>
        <w:t>2.10. Consultarea și participarea publicului în contextul Planului de Management Integrat al zonei costiere</w:t>
      </w:r>
      <w:bookmarkEnd w:id="153"/>
      <w:bookmarkEnd w:id="154"/>
    </w:p>
    <w:p w14:paraId="6762BF92" w14:textId="77777777" w:rsidR="00473248" w:rsidRDefault="00473248" w:rsidP="00473248">
      <w:pPr>
        <w:spacing w:before="0"/>
        <w:rPr>
          <w:rFonts w:eastAsia="Times New Roman" w:cs="Times New Roman"/>
        </w:rPr>
      </w:pPr>
      <w:r>
        <w:rPr>
          <w:rFonts w:eastAsia="Times New Roman" w:cs="Times New Roman"/>
        </w:rPr>
        <w:t xml:space="preserve">Având în vedere importanța participării și consultării publicului în implementarea cu succes a MIZC, precum și informarea permanentă și corectă a publicului cu privire la acțiunile, proiectele, programele propuse spre derulare în zona costieră, una dintre măsurile / acțiunile prioritare ale Planului de Management Integrat al zonei costiere o constituie elaborarea și implementarea unui Plan de Comunicare (măsura M1.4). </w:t>
      </w:r>
    </w:p>
    <w:p w14:paraId="525C22F9" w14:textId="77777777" w:rsidR="00473248" w:rsidRDefault="00473248" w:rsidP="00473248">
      <w:pPr>
        <w:spacing w:before="0"/>
        <w:ind w:firstLine="540"/>
        <w:rPr>
          <w:rFonts w:eastAsia="Times New Roman" w:cs="Times New Roman"/>
        </w:rPr>
      </w:pPr>
      <w:r>
        <w:rPr>
          <w:rFonts w:eastAsia="Times New Roman" w:cs="Times New Roman"/>
          <w:b/>
          <w:color w:val="000000"/>
        </w:rPr>
        <w:t>Planul de comunicare</w:t>
      </w:r>
      <w:r>
        <w:rPr>
          <w:rFonts w:eastAsia="Times New Roman" w:cs="Times New Roman"/>
          <w:color w:val="000000"/>
        </w:rPr>
        <w:t xml:space="preserve"> este structurat după cum urmează:</w:t>
      </w:r>
    </w:p>
    <w:p w14:paraId="33B6899E" w14:textId="77777777" w:rsidR="00473248" w:rsidRDefault="00473248" w:rsidP="00473248">
      <w:pPr>
        <w:spacing w:before="0"/>
        <w:rPr>
          <w:rFonts w:eastAsia="Times New Roman" w:cs="Times New Roman"/>
          <w:b/>
          <w:i/>
        </w:rPr>
      </w:pPr>
      <w:r>
        <w:rPr>
          <w:rFonts w:eastAsia="Times New Roman" w:cs="Times New Roman"/>
          <w:b/>
          <w:i/>
        </w:rPr>
        <w:t>Scop și obiective</w:t>
      </w:r>
    </w:p>
    <w:p w14:paraId="7CCA4018" w14:textId="77777777" w:rsidR="00473248" w:rsidRDefault="00473248" w:rsidP="00473248">
      <w:pPr>
        <w:spacing w:before="0"/>
        <w:rPr>
          <w:rFonts w:eastAsia="Times New Roman" w:cs="Times New Roman"/>
        </w:rPr>
      </w:pPr>
      <w:r>
        <w:rPr>
          <w:rFonts w:eastAsia="Times New Roman" w:cs="Times New Roman"/>
        </w:rPr>
        <w:lastRenderedPageBreak/>
        <w:t>Scopul Planului de comunicare este, pe de o parte, creșterea gradului de implicare și participare a factorilor interesați, inclusiv societatea civilă, în procesul de luare a deciziilor cu privire la dezvoltarea sustenabilă a zonei costiere, precum și o informare permanentă, corectă și coerentă a publicului larg. În general, în societatea românească participarea activă în procesul consultativ, cu precădere a publicului larg, dar și a factorilor interesați, nu este o practică foarte comună, din diferite motive (lipsă motivație, slaba informare și comunicare, etc.). Prin elaborarea prezentului plan și prin includerea implementării lui între măsurile prioritare se urmărește atragerea tuturor părților interesate și, mai ales, participarea lor activă în implementarea MIZC.</w:t>
      </w:r>
    </w:p>
    <w:p w14:paraId="7609E6C8" w14:textId="77777777" w:rsidR="00473248" w:rsidRDefault="00473248" w:rsidP="00473248">
      <w:pPr>
        <w:spacing w:before="0"/>
        <w:ind w:firstLine="540"/>
        <w:rPr>
          <w:rFonts w:eastAsia="Times New Roman" w:cs="Times New Roman"/>
        </w:rPr>
      </w:pPr>
      <w:r>
        <w:rPr>
          <w:rFonts w:eastAsia="Times New Roman" w:cs="Times New Roman"/>
        </w:rPr>
        <w:t>Obiectivele planului de comunicare sunt:</w:t>
      </w:r>
    </w:p>
    <w:p w14:paraId="74E76F7A" w14:textId="77777777" w:rsidR="00473248" w:rsidRDefault="00473248" w:rsidP="00473248">
      <w:pPr>
        <w:spacing w:before="0"/>
        <w:ind w:firstLine="540"/>
        <w:rPr>
          <w:rFonts w:eastAsia="Times New Roman" w:cs="Times New Roman"/>
        </w:rPr>
      </w:pPr>
      <w:r>
        <w:rPr>
          <w:rFonts w:eastAsia="Times New Roman" w:cs="Times New Roman"/>
        </w:rPr>
        <w:t>1) Creșterea nivelului de informare a tuturor părților interesate asupra:</w:t>
      </w:r>
    </w:p>
    <w:p w14:paraId="6DACA004" w14:textId="77777777" w:rsidR="00473248" w:rsidRDefault="00473248" w:rsidP="00473248">
      <w:pPr>
        <w:spacing w:before="0"/>
        <w:ind w:left="1800" w:hanging="360"/>
        <w:rPr>
          <w:rFonts w:eastAsia="Times New Roman" w:cs="Times New Roman"/>
        </w:rPr>
      </w:pPr>
      <w:r>
        <w:rPr>
          <w:rFonts w:eastAsia="Times New Roman" w:cs="Times New Roman"/>
        </w:rPr>
        <w:t>-  conținutului Planului de Management Integrat al zonei costiere;</w:t>
      </w:r>
    </w:p>
    <w:p w14:paraId="1283ADAC" w14:textId="77777777" w:rsidR="00473248" w:rsidRDefault="00473248" w:rsidP="00473248">
      <w:pPr>
        <w:spacing w:before="0"/>
        <w:ind w:left="1800" w:hanging="360"/>
        <w:rPr>
          <w:rFonts w:eastAsia="Times New Roman" w:cs="Times New Roman"/>
        </w:rPr>
      </w:pPr>
      <w:r>
        <w:rPr>
          <w:rFonts w:eastAsia="Times New Roman" w:cs="Times New Roman"/>
        </w:rPr>
        <w:t>-  importanței și beneficiilor managementului integrat al zonei costiere;</w:t>
      </w:r>
    </w:p>
    <w:p w14:paraId="60AA4878" w14:textId="77777777" w:rsidR="00473248" w:rsidRDefault="00473248" w:rsidP="00473248">
      <w:pPr>
        <w:spacing w:before="0"/>
        <w:ind w:left="1800" w:hanging="360"/>
        <w:rPr>
          <w:rFonts w:eastAsia="Times New Roman" w:cs="Times New Roman"/>
        </w:rPr>
      </w:pPr>
      <w:r>
        <w:rPr>
          <w:rFonts w:eastAsia="Times New Roman" w:cs="Times New Roman"/>
        </w:rPr>
        <w:t>-  programelor / proiectelor propuse a se derula la nivelul zonei costiere;</w:t>
      </w:r>
    </w:p>
    <w:p w14:paraId="7FAB0B24" w14:textId="77777777" w:rsidR="00473248" w:rsidRDefault="00473248" w:rsidP="00473248">
      <w:pPr>
        <w:spacing w:before="0"/>
        <w:ind w:left="1800" w:hanging="360"/>
        <w:rPr>
          <w:rFonts w:eastAsia="Times New Roman" w:cs="Times New Roman"/>
        </w:rPr>
      </w:pPr>
      <w:r>
        <w:rPr>
          <w:rFonts w:eastAsia="Times New Roman" w:cs="Times New Roman"/>
        </w:rPr>
        <w:t>-  modificărilor legislative propuse în vederea îmbunătățirii MIZC.</w:t>
      </w:r>
    </w:p>
    <w:p w14:paraId="5FD76554" w14:textId="77777777" w:rsidR="00473248" w:rsidRDefault="00473248" w:rsidP="00473248">
      <w:pPr>
        <w:spacing w:before="0"/>
        <w:ind w:firstLine="540"/>
        <w:rPr>
          <w:rFonts w:eastAsia="Times New Roman" w:cs="Times New Roman"/>
        </w:rPr>
      </w:pPr>
      <w:r>
        <w:rPr>
          <w:rFonts w:eastAsia="Times New Roman" w:cs="Times New Roman"/>
        </w:rPr>
        <w:t>2) Creșterea eficienței comunicării interne (de exemplu: în cadrul CNZC, între CNZC și MMAP, între autoritățile locale și cele centrale, etc.);</w:t>
      </w:r>
    </w:p>
    <w:p w14:paraId="65572E17" w14:textId="77777777" w:rsidR="00473248" w:rsidRDefault="00473248" w:rsidP="00473248">
      <w:pPr>
        <w:spacing w:before="0"/>
        <w:ind w:firstLine="540"/>
        <w:rPr>
          <w:rFonts w:eastAsia="Times New Roman" w:cs="Times New Roman"/>
        </w:rPr>
      </w:pPr>
      <w:r>
        <w:rPr>
          <w:rFonts w:eastAsia="Times New Roman" w:cs="Times New Roman"/>
        </w:rPr>
        <w:t>3) Stimularea participării publicului la implementarea MIZC. Participarea publicului este un proces continuu de interacțiune între factorii decizionali și publicul ale cărui interese sunt afectate de consecințele deciziilor luate);</w:t>
      </w:r>
    </w:p>
    <w:p w14:paraId="5C901BBE" w14:textId="77777777" w:rsidR="00473248" w:rsidRDefault="00473248" w:rsidP="00473248">
      <w:pPr>
        <w:spacing w:before="0"/>
        <w:ind w:firstLine="540"/>
        <w:rPr>
          <w:rFonts w:eastAsia="Times New Roman" w:cs="Times New Roman"/>
        </w:rPr>
      </w:pPr>
      <w:r>
        <w:rPr>
          <w:rFonts w:eastAsia="Times New Roman" w:cs="Times New Roman"/>
        </w:rPr>
        <w:t>4) Creșterea gradului de transparență în procesul de informare a publicului cu privire la programele / proiectele / acțiunile implementate în zona costieră;</w:t>
      </w:r>
    </w:p>
    <w:p w14:paraId="1F853DBD" w14:textId="77777777" w:rsidR="00473248" w:rsidRDefault="00473248" w:rsidP="00473248">
      <w:pPr>
        <w:spacing w:before="0"/>
        <w:ind w:firstLine="540"/>
        <w:rPr>
          <w:rFonts w:eastAsia="Times New Roman" w:cs="Times New Roman"/>
        </w:rPr>
      </w:pPr>
      <w:r>
        <w:rPr>
          <w:rFonts w:eastAsia="Times New Roman" w:cs="Times New Roman"/>
        </w:rPr>
        <w:t>5) Crearea de legături cu furnizorii importanți de știri și mass-media specializate, pentru a crea o rețea de comunicare specifică;</w:t>
      </w:r>
    </w:p>
    <w:p w14:paraId="559E3CD9" w14:textId="77777777" w:rsidR="00473248" w:rsidRDefault="00473248" w:rsidP="00473248">
      <w:pPr>
        <w:spacing w:before="0"/>
        <w:ind w:firstLine="540"/>
        <w:rPr>
          <w:rFonts w:eastAsia="Times New Roman" w:cs="Times New Roman"/>
        </w:rPr>
      </w:pPr>
      <w:r>
        <w:rPr>
          <w:rFonts w:eastAsia="Times New Roman" w:cs="Times New Roman"/>
        </w:rPr>
        <w:t>6) Adaptarea și utilizarea instrumentelor specifice de informare și comunicare la configurațiile organizaționale, mecanismele decizionale și caracteristicile grupurilor țintă în vederea maximizării impactului programelor / proiectelor implementate în zona costieră;</w:t>
      </w:r>
    </w:p>
    <w:p w14:paraId="32912BB9" w14:textId="77777777" w:rsidR="00473248" w:rsidRDefault="00473248" w:rsidP="00473248">
      <w:pPr>
        <w:spacing w:before="0"/>
        <w:ind w:firstLine="540"/>
        <w:rPr>
          <w:rFonts w:eastAsia="Times New Roman" w:cs="Times New Roman"/>
        </w:rPr>
      </w:pPr>
      <w:r>
        <w:rPr>
          <w:rFonts w:eastAsia="Times New Roman" w:cs="Times New Roman"/>
        </w:rPr>
        <w:t>7) Crearea unei atitudini favorabile, în cadrul publicului/grupului țintă vizat de planul de comunicare, referitor la procesul de management integrat al zonei costiere;.</w:t>
      </w:r>
    </w:p>
    <w:p w14:paraId="06471859" w14:textId="77777777" w:rsidR="00473248" w:rsidRDefault="00473248" w:rsidP="00473248">
      <w:pPr>
        <w:spacing w:before="0"/>
        <w:ind w:firstLine="540"/>
        <w:rPr>
          <w:rFonts w:eastAsia="Times New Roman" w:cs="Times New Roman"/>
        </w:rPr>
      </w:pPr>
      <w:r>
        <w:rPr>
          <w:rFonts w:eastAsia="Times New Roman" w:cs="Times New Roman"/>
        </w:rPr>
        <w:t>8) Dezvoltarea unui comportament al publicului/grupului țintă care să suscite interesul pentru documentare și acțiune referitor la activitățile și rezultatele managementului integrat al zonei costiere.</w:t>
      </w:r>
    </w:p>
    <w:p w14:paraId="707DD463" w14:textId="77777777" w:rsidR="00473248" w:rsidRDefault="00473248" w:rsidP="00473248">
      <w:pPr>
        <w:spacing w:before="0"/>
        <w:rPr>
          <w:rFonts w:eastAsia="Times New Roman" w:cs="Times New Roman"/>
          <w:b/>
          <w:i/>
        </w:rPr>
      </w:pPr>
      <w:r>
        <w:rPr>
          <w:rFonts w:eastAsia="Times New Roman" w:cs="Times New Roman"/>
          <w:b/>
          <w:i/>
        </w:rPr>
        <w:t>Publicul țintă</w:t>
      </w:r>
    </w:p>
    <w:p w14:paraId="2649D3CD" w14:textId="77777777" w:rsidR="00473248" w:rsidRDefault="00473248" w:rsidP="00473248">
      <w:pPr>
        <w:spacing w:before="0"/>
        <w:ind w:firstLine="540"/>
        <w:rPr>
          <w:rFonts w:eastAsia="Times New Roman" w:cs="Times New Roman"/>
        </w:rPr>
      </w:pPr>
      <w:r>
        <w:rPr>
          <w:rFonts w:eastAsia="Times New Roman" w:cs="Times New Roman"/>
        </w:rPr>
        <w:t>Publicul țintă vizat de Planul de comunicare este reprezentat atât de publicul specializat, cât și de publicul general. Publicul țintă specializat este format din următoarele categorii:</w:t>
      </w:r>
    </w:p>
    <w:p w14:paraId="794F206F" w14:textId="77777777" w:rsidR="00473248" w:rsidRDefault="00473248" w:rsidP="00473248">
      <w:pPr>
        <w:numPr>
          <w:ilvl w:val="0"/>
          <w:numId w:val="41"/>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 xml:space="preserve">instituții care sunt implicate direct în procesul MIZC și experți externi care pot fundamenta deciziile, facilita obținerea de finanțări, monitoriza implementarea MIZC </w:t>
      </w:r>
      <w:r>
        <w:rPr>
          <w:rFonts w:eastAsia="Times New Roman" w:cs="Times New Roman"/>
          <w:color w:val="000000"/>
        </w:rPr>
        <w:lastRenderedPageBreak/>
        <w:t>și pot informa cu privire la acesta (public intern). Pentru această categorie mesajul va fi mult mai complex;</w:t>
      </w:r>
    </w:p>
    <w:p w14:paraId="6B9C2EAB" w14:textId="77777777" w:rsidR="00473248" w:rsidRDefault="00473248" w:rsidP="00473248">
      <w:pPr>
        <w:numPr>
          <w:ilvl w:val="0"/>
          <w:numId w:val="41"/>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beneficiari sau potențial beneficiari ai rezultatelor implementării strategiei naționale și planului de management integrat al zonei costiere;</w:t>
      </w:r>
    </w:p>
    <w:p w14:paraId="61B74922" w14:textId="77777777" w:rsidR="00473248" w:rsidRDefault="00473248" w:rsidP="00473248">
      <w:pPr>
        <w:numPr>
          <w:ilvl w:val="0"/>
          <w:numId w:val="41"/>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stakeholderi - această categorie reprezintă vectori secundari de informație, putând influența alte grupuri țintă prin activitatea pe care o desfășoară sau prin preluarea informației și transmiterea mai departe către grupurile cu care sunt în strânsă legătură în mod firesc. Din această categorie fac parte:</w:t>
      </w:r>
    </w:p>
    <w:p w14:paraId="4F7D96A9" w14:textId="77777777" w:rsidR="00473248" w:rsidRDefault="00473248" w:rsidP="00473248">
      <w:pPr>
        <w:spacing w:before="0"/>
        <w:ind w:left="1718"/>
        <w:rPr>
          <w:rFonts w:eastAsia="Times New Roman" w:cs="Times New Roman"/>
        </w:rPr>
      </w:pPr>
      <w:r>
        <w:rPr>
          <w:rFonts w:eastAsia="Times New Roman" w:cs="Times New Roman"/>
        </w:rPr>
        <w:t>i) mediul academic / de cercetare (în principal universități și institute de cercetare-dezvoltare ce desfășoară activități în zona costieră sau în strânsă legătură cu aceasta);</w:t>
      </w:r>
    </w:p>
    <w:p w14:paraId="2009AE28" w14:textId="77777777" w:rsidR="00473248" w:rsidRDefault="00473248" w:rsidP="00473248">
      <w:pPr>
        <w:spacing w:before="0"/>
        <w:ind w:left="1718"/>
        <w:rPr>
          <w:rFonts w:eastAsia="Times New Roman" w:cs="Times New Roman"/>
        </w:rPr>
      </w:pPr>
      <w:r>
        <w:rPr>
          <w:rFonts w:eastAsia="Times New Roman" w:cs="Times New Roman"/>
        </w:rPr>
        <w:t>ii) mass-media - reprezintă un partener special de comunicare, având caracteristicile unui grup țință de sine stătător, cât și pe cele ale unui “releu de informație”. Din acest motiv, mass media trebuie tratată în mod special, și anume: i) trebuie investit într-o relație corectă cu media, răspunsurile pe care jurnaliștii le solicită trebuie să fie complete și obținute în timp util; ii) trebuie realizate parteneriate informale, pe termen mediu, din care ambele părți să aibă de câștigat (emițătorul de informație să aibă acoperire în presă, iar jurnaliștii să aibă acces la informația nouă, completă, cu valoare de știre);</w:t>
      </w:r>
    </w:p>
    <w:p w14:paraId="2E6B096D" w14:textId="77777777" w:rsidR="00473248" w:rsidRDefault="00473248" w:rsidP="00473248">
      <w:pPr>
        <w:spacing w:before="0"/>
        <w:ind w:left="1718"/>
        <w:rPr>
          <w:rFonts w:eastAsia="Times New Roman" w:cs="Times New Roman"/>
        </w:rPr>
      </w:pPr>
      <w:r>
        <w:rPr>
          <w:rFonts w:eastAsia="Times New Roman" w:cs="Times New Roman"/>
        </w:rPr>
        <w:t>iii) ONG-urile, organizațiile profesionale în domeniu, parteneri sociali - aceștia au în general, prin natura background-ului lor un nivel de înțelegere a temei superior jurnaliștilor și mai au în plus un anume public țintă foarte specializat, care, de obicei, este un public captiv. Informațiile pe care acești stakeholderi le preiau și le repun în sistem au următoarele caracteristici: sunt prelucrate deja, corecte (de obicei), adaptate pe profilul grupului țintă secundar și au un grad ridicat de credibilitate (publicul secundar o preia dintr-o sursă de încredere pentru el).</w:t>
      </w:r>
    </w:p>
    <w:p w14:paraId="5B556CB8" w14:textId="77777777" w:rsidR="00473248" w:rsidRDefault="00473248" w:rsidP="00473248">
      <w:pPr>
        <w:spacing w:before="0"/>
        <w:rPr>
          <w:rFonts w:eastAsia="Times New Roman" w:cs="Times New Roman"/>
          <w:b/>
          <w:i/>
        </w:rPr>
      </w:pPr>
      <w:r>
        <w:rPr>
          <w:rFonts w:eastAsia="Times New Roman" w:cs="Times New Roman"/>
          <w:b/>
          <w:i/>
        </w:rPr>
        <w:t>Mesaje</w:t>
      </w:r>
    </w:p>
    <w:p w14:paraId="7738ABAD" w14:textId="77777777" w:rsidR="00473248" w:rsidRDefault="00473248" w:rsidP="00473248">
      <w:pPr>
        <w:spacing w:before="0"/>
        <w:ind w:firstLine="540"/>
        <w:rPr>
          <w:rFonts w:eastAsia="Times New Roman" w:cs="Times New Roman"/>
        </w:rPr>
      </w:pPr>
      <w:r>
        <w:rPr>
          <w:rFonts w:eastAsia="Times New Roman" w:cs="Times New Roman"/>
        </w:rPr>
        <w:t>Mesajele transmise trebuie să fie personalizate, în funcție de publicul țintă. Astfel, pentru publicul larg, mesajul are un caracter generalist, fiind transmis prin intermediul mass-media și rețelelor de socializare. În general, mesajul transmis acestui public este relativ simplu urmărind atingerea nivelului de conștientizare / familiarizare cu subiectul (awareness).</w:t>
      </w:r>
    </w:p>
    <w:p w14:paraId="541F0E12" w14:textId="77777777" w:rsidR="00473248" w:rsidRDefault="00473248" w:rsidP="00473248">
      <w:pPr>
        <w:spacing w:before="0"/>
        <w:ind w:firstLine="540"/>
        <w:rPr>
          <w:rFonts w:eastAsia="Times New Roman" w:cs="Times New Roman"/>
        </w:rPr>
      </w:pPr>
      <w:r>
        <w:rPr>
          <w:rFonts w:eastAsia="Times New Roman" w:cs="Times New Roman"/>
        </w:rPr>
        <w:t>În cazul publicului specializat mesajul devine mai elaborat, mai complex, dar, de asemenea, diferă în funcție de categoria de public specializat căruia i se adresează. Mesajul cel mai complex este comunicat profesioniștilor și instituțiilor care sunt implicate direct în procesul MIZC.</w:t>
      </w:r>
    </w:p>
    <w:p w14:paraId="466BBD0D" w14:textId="77777777" w:rsidR="00473248" w:rsidRDefault="00473248" w:rsidP="00473248">
      <w:pPr>
        <w:spacing w:before="0"/>
        <w:ind w:firstLine="540"/>
        <w:rPr>
          <w:rFonts w:eastAsia="Times New Roman" w:cs="Times New Roman"/>
        </w:rPr>
      </w:pPr>
      <w:r>
        <w:rPr>
          <w:rFonts w:eastAsia="Times New Roman" w:cs="Times New Roman"/>
        </w:rPr>
        <w:t>Printre mesajele principale ce vizează publicul specializat se numără:</w:t>
      </w:r>
    </w:p>
    <w:p w14:paraId="2E4086DF" w14:textId="77777777" w:rsidR="00473248" w:rsidRDefault="00473248" w:rsidP="00473248">
      <w:pPr>
        <w:numPr>
          <w:ilvl w:val="0"/>
          <w:numId w:val="42"/>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informații privind surse de finanțare pentru programele / proiectele propuse;</w:t>
      </w:r>
    </w:p>
    <w:p w14:paraId="7C82E91B" w14:textId="77777777" w:rsidR="00473248" w:rsidRDefault="00473248" w:rsidP="00473248">
      <w:pPr>
        <w:numPr>
          <w:ilvl w:val="0"/>
          <w:numId w:val="42"/>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lastRenderedPageBreak/>
        <w:t>informații cu privire la oportunități de business în domeniul economiei albastre / verzi;</w:t>
      </w:r>
    </w:p>
    <w:p w14:paraId="4535B7AE" w14:textId="77777777" w:rsidR="00473248" w:rsidRDefault="00473248" w:rsidP="00473248">
      <w:pPr>
        <w:numPr>
          <w:ilvl w:val="0"/>
          <w:numId w:val="42"/>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informații cu privire la apeluri de deschise pentru finanțare (națională sau europeană);</w:t>
      </w:r>
    </w:p>
    <w:p w14:paraId="38D46641" w14:textId="77777777" w:rsidR="00473248" w:rsidRDefault="00473248" w:rsidP="00473248">
      <w:pPr>
        <w:numPr>
          <w:ilvl w:val="0"/>
          <w:numId w:val="42"/>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informații cu privire la gradul de atingere a obiectivelor Strategiei naționale MIZC;</w:t>
      </w:r>
    </w:p>
    <w:p w14:paraId="47638F80" w14:textId="77777777" w:rsidR="00473248" w:rsidRDefault="00473248" w:rsidP="00473248">
      <w:pPr>
        <w:numPr>
          <w:ilvl w:val="0"/>
          <w:numId w:val="42"/>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informații despre impactul programelor / proiectelor propuse;</w:t>
      </w:r>
    </w:p>
    <w:p w14:paraId="5184EAB4" w14:textId="77777777" w:rsidR="00473248" w:rsidRDefault="00473248" w:rsidP="00473248">
      <w:pPr>
        <w:numPr>
          <w:ilvl w:val="0"/>
          <w:numId w:val="42"/>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exemple de bune practici;</w:t>
      </w:r>
    </w:p>
    <w:p w14:paraId="732CE6FC" w14:textId="77777777" w:rsidR="00473248" w:rsidRDefault="00473248" w:rsidP="00473248">
      <w:pPr>
        <w:numPr>
          <w:ilvl w:val="0"/>
          <w:numId w:val="42"/>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informații privind modificările legislative;</w:t>
      </w:r>
    </w:p>
    <w:p w14:paraId="1CA64B75" w14:textId="77777777" w:rsidR="00473248" w:rsidRDefault="00473248" w:rsidP="00473248">
      <w:pPr>
        <w:numPr>
          <w:ilvl w:val="0"/>
          <w:numId w:val="42"/>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informații cu privire la discuțiile/dezbaterile din ședințele CNZC;</w:t>
      </w:r>
    </w:p>
    <w:p w14:paraId="32A98F5C" w14:textId="77777777" w:rsidR="00473248" w:rsidRDefault="00473248" w:rsidP="00473248">
      <w:pPr>
        <w:numPr>
          <w:ilvl w:val="0"/>
          <w:numId w:val="42"/>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informații privind calendarul dezbaterilor publice privind proiectele din zona costieră;</w:t>
      </w:r>
    </w:p>
    <w:p w14:paraId="2DED9DAE" w14:textId="77777777" w:rsidR="00473248" w:rsidRDefault="00473248" w:rsidP="00473248">
      <w:pPr>
        <w:numPr>
          <w:ilvl w:val="0"/>
          <w:numId w:val="42"/>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informații cu privire la organizarea de cursuri de instruire și perfecționare în managementul integrat al zonei costiere.</w:t>
      </w:r>
    </w:p>
    <w:p w14:paraId="0FC6ED36" w14:textId="77777777" w:rsidR="00473248" w:rsidRDefault="00473248" w:rsidP="00473248">
      <w:pPr>
        <w:spacing w:before="0"/>
        <w:ind w:firstLine="540"/>
        <w:rPr>
          <w:rFonts w:eastAsia="Times New Roman" w:cs="Times New Roman"/>
        </w:rPr>
      </w:pPr>
      <w:r>
        <w:rPr>
          <w:rFonts w:eastAsia="Times New Roman" w:cs="Times New Roman"/>
        </w:rPr>
        <w:t>Toate aceste mesaje vor fi transmise (atât publicului specializat, cât și publicului larg) de către specialiști în comunicare din cadrul Secretariatului Tehnic Administrativ al Zonei Costiere (STA-ZC), ce funcționează în cadrul MMAP folosind mijloacele / instrumentele descrise mai jos.</w:t>
      </w:r>
    </w:p>
    <w:p w14:paraId="5D86F1A7" w14:textId="77777777" w:rsidR="00473248" w:rsidRDefault="00473248" w:rsidP="00473248">
      <w:pPr>
        <w:spacing w:before="0"/>
        <w:rPr>
          <w:rFonts w:eastAsia="Times New Roman" w:cs="Times New Roman"/>
          <w:b/>
          <w:i/>
          <w:color w:val="000000"/>
        </w:rPr>
      </w:pPr>
      <w:r>
        <w:rPr>
          <w:rFonts w:eastAsia="Times New Roman" w:cs="Times New Roman"/>
          <w:b/>
          <w:i/>
          <w:color w:val="000000"/>
        </w:rPr>
        <w:t>Instrumente / mijloace de comunicare</w:t>
      </w:r>
    </w:p>
    <w:p w14:paraId="1CF186FC" w14:textId="77777777" w:rsidR="00473248" w:rsidRDefault="00473248" w:rsidP="00473248">
      <w:pPr>
        <w:spacing w:before="0"/>
        <w:ind w:firstLine="567"/>
        <w:rPr>
          <w:rFonts w:eastAsia="Times New Roman" w:cs="Times New Roman"/>
        </w:rPr>
      </w:pPr>
      <w:r>
        <w:rPr>
          <w:rFonts w:eastAsia="Times New Roman" w:cs="Times New Roman"/>
          <w:color w:val="000000"/>
        </w:rPr>
        <w:t>Instrumentele de comunicare utilizate vor asigura transmiterea și difuzarea mesajelor către publicul țintă în vederea atingerii atât a obiectivelor Strategiei naționale MIZC, cât și a scopului și obiectivelor specifice ale Planului de Comunicare. Instrumentele de comunicare vor difuza mesaje adaptate la specificul publicului/grupului țintă astfel încât impactul generat să asigure îndeplinirea obiectivelor de comunicare și totodată să asigure sustenabilitatea implementării Strategiei pe termen mediu și lung.</w:t>
      </w:r>
    </w:p>
    <w:p w14:paraId="78D439ED" w14:textId="77777777" w:rsidR="00473248" w:rsidRDefault="00473248" w:rsidP="00473248">
      <w:pPr>
        <w:numPr>
          <w:ilvl w:val="0"/>
          <w:numId w:val="39"/>
        </w:numPr>
        <w:pBdr>
          <w:top w:val="nil"/>
          <w:left w:val="nil"/>
          <w:bottom w:val="nil"/>
          <w:right w:val="nil"/>
          <w:between w:val="nil"/>
        </w:pBdr>
        <w:spacing w:before="0"/>
        <w:ind w:left="0" w:firstLine="567"/>
        <w:rPr>
          <w:rFonts w:eastAsia="Times New Roman" w:cs="Times New Roman"/>
          <w:color w:val="000000"/>
        </w:rPr>
      </w:pPr>
      <w:r>
        <w:rPr>
          <w:rFonts w:eastAsia="Times New Roman" w:cs="Times New Roman"/>
          <w:i/>
          <w:color w:val="000000"/>
        </w:rPr>
        <w:t>Comunicarea online</w:t>
      </w:r>
      <w:r>
        <w:rPr>
          <w:rFonts w:eastAsia="Times New Roman" w:cs="Times New Roman"/>
          <w:color w:val="000000"/>
        </w:rPr>
        <w:t xml:space="preserve"> - va fi abordată cu prioritate deoarece este cea mai utilizată de grupurile specializate și de multiplicatorii de informație. În cadrul comunicării online, accentul va fi mutat către o comunicare bidirecțională online (nu doar o emitere de informații, ci și preluare de feedback și oferire de răspunsuri). </w:t>
      </w:r>
    </w:p>
    <w:p w14:paraId="00BF24C6" w14:textId="77777777" w:rsidR="00473248" w:rsidRDefault="00473248" w:rsidP="00473248">
      <w:pPr>
        <w:spacing w:before="0"/>
        <w:ind w:firstLine="567"/>
        <w:rPr>
          <w:rFonts w:eastAsia="Times New Roman" w:cs="Times New Roman"/>
        </w:rPr>
      </w:pPr>
      <w:r>
        <w:rPr>
          <w:rFonts w:eastAsia="Times New Roman" w:cs="Times New Roman"/>
        </w:rPr>
        <w:t>O pagină web, dedicată managementului zonei costiere, va fi creată pe site-ul MMAP și va fi utilizată ca portal unic de informații privind toate programele / proiectele din zona costieră. Această pagină va avea incluse:</w:t>
      </w:r>
    </w:p>
    <w:p w14:paraId="3FF27428" w14:textId="77777777" w:rsidR="00473248" w:rsidRDefault="00473248" w:rsidP="00473248">
      <w:pPr>
        <w:spacing w:before="0"/>
        <w:ind w:left="709" w:hanging="142"/>
        <w:rPr>
          <w:rFonts w:eastAsia="Times New Roman" w:cs="Times New Roman"/>
        </w:rPr>
      </w:pPr>
      <w:r>
        <w:rPr>
          <w:rFonts w:eastAsia="Times New Roman" w:cs="Times New Roman"/>
        </w:rPr>
        <w:t>- o secțiune de linkuri utile ce va fi actualizată periodic;</w:t>
      </w:r>
    </w:p>
    <w:p w14:paraId="535EED29" w14:textId="77777777" w:rsidR="00473248" w:rsidRDefault="00473248" w:rsidP="00473248">
      <w:pPr>
        <w:spacing w:before="0"/>
        <w:ind w:left="709" w:hanging="142"/>
        <w:rPr>
          <w:rFonts w:eastAsia="Times New Roman" w:cs="Times New Roman"/>
        </w:rPr>
      </w:pPr>
      <w:r>
        <w:rPr>
          <w:rFonts w:eastAsia="Times New Roman" w:cs="Times New Roman"/>
        </w:rPr>
        <w:t>- o secțiune cu noi informații în domeniu, la nivel național, european și internațional;</w:t>
      </w:r>
    </w:p>
    <w:p w14:paraId="7BBD1FE6" w14:textId="77777777" w:rsidR="00473248" w:rsidRDefault="00473248" w:rsidP="00473248">
      <w:pPr>
        <w:spacing w:before="0"/>
        <w:ind w:left="709" w:hanging="142"/>
        <w:rPr>
          <w:rFonts w:eastAsia="Times New Roman" w:cs="Times New Roman"/>
        </w:rPr>
      </w:pPr>
      <w:r>
        <w:rPr>
          <w:rFonts w:eastAsia="Times New Roman" w:cs="Times New Roman"/>
        </w:rPr>
        <w:t xml:space="preserve">- un forum de discuții, dezbateri; </w:t>
      </w:r>
    </w:p>
    <w:p w14:paraId="217DAAE0" w14:textId="77777777" w:rsidR="00473248" w:rsidRDefault="00473248" w:rsidP="00473248">
      <w:pPr>
        <w:spacing w:before="0"/>
        <w:ind w:left="709" w:hanging="142"/>
        <w:rPr>
          <w:rFonts w:eastAsia="Times New Roman" w:cs="Times New Roman"/>
        </w:rPr>
      </w:pPr>
      <w:r>
        <w:rPr>
          <w:rFonts w:eastAsia="Times New Roman" w:cs="Times New Roman"/>
        </w:rPr>
        <w:t>- o secțiune Q&amp;A care să fie folosită ca resursă pentru oferirea de răspunsuri, inclusiv la întrebări primite pe email la adresele oficiale de corespondență;</w:t>
      </w:r>
    </w:p>
    <w:p w14:paraId="6D1111A3" w14:textId="77777777" w:rsidR="00473248" w:rsidRDefault="00473248" w:rsidP="00473248">
      <w:pPr>
        <w:spacing w:before="0"/>
        <w:ind w:left="709" w:hanging="142"/>
        <w:rPr>
          <w:rFonts w:eastAsia="Times New Roman" w:cs="Times New Roman"/>
        </w:rPr>
      </w:pPr>
      <w:r>
        <w:rPr>
          <w:rFonts w:eastAsia="Times New Roman" w:cs="Times New Roman"/>
        </w:rPr>
        <w:lastRenderedPageBreak/>
        <w:t>- o secțiune dedicată furnizării de informații privind calendarele de implementare a programelor și procesele conexe de consultare a publicului;</w:t>
      </w:r>
    </w:p>
    <w:p w14:paraId="42DE983F" w14:textId="77777777" w:rsidR="00473248" w:rsidRDefault="00473248" w:rsidP="00473248">
      <w:pPr>
        <w:spacing w:before="0"/>
        <w:ind w:left="709" w:hanging="142"/>
        <w:rPr>
          <w:rFonts w:eastAsia="Times New Roman" w:cs="Times New Roman"/>
        </w:rPr>
      </w:pPr>
      <w:r>
        <w:rPr>
          <w:rFonts w:eastAsia="Times New Roman" w:cs="Times New Roman"/>
        </w:rPr>
        <w:t>- o secțiune pentru informarea cu privire la oportunități de joburi în domeniul MIZC, oportunități de business (verde / albastru), oportunități de finanțare.</w:t>
      </w:r>
    </w:p>
    <w:p w14:paraId="70837071" w14:textId="77777777" w:rsidR="00473248" w:rsidRDefault="00473248" w:rsidP="00473248">
      <w:pPr>
        <w:spacing w:before="0"/>
        <w:ind w:firstLine="567"/>
        <w:rPr>
          <w:rFonts w:eastAsia="Times New Roman" w:cs="Times New Roman"/>
        </w:rPr>
      </w:pPr>
      <w:r>
        <w:rPr>
          <w:rFonts w:eastAsia="Times New Roman" w:cs="Times New Roman"/>
        </w:rPr>
        <w:t>Toate secțiunile website-ului vor fi actualizate în mod curent, cel mult la 6 luni.</w:t>
      </w:r>
    </w:p>
    <w:p w14:paraId="7D7D8ACB" w14:textId="77777777" w:rsidR="00473248" w:rsidRDefault="00473248" w:rsidP="00473248">
      <w:pPr>
        <w:spacing w:before="0"/>
        <w:ind w:firstLine="567"/>
        <w:rPr>
          <w:rFonts w:eastAsia="Times New Roman" w:cs="Times New Roman"/>
        </w:rPr>
      </w:pPr>
      <w:r>
        <w:rPr>
          <w:rFonts w:eastAsia="Times New Roman" w:cs="Times New Roman"/>
        </w:rPr>
        <w:t>Comunicarea online se va realiza și prin mijloacele social media (în special vizând publicul larg) prin crearea de pagini dedicate și grupuri de discuții pe rețelele de socializare.</w:t>
      </w:r>
    </w:p>
    <w:p w14:paraId="544295BD" w14:textId="77777777" w:rsidR="00473248" w:rsidRDefault="00473248" w:rsidP="00473248">
      <w:pPr>
        <w:numPr>
          <w:ilvl w:val="0"/>
          <w:numId w:val="39"/>
        </w:numPr>
        <w:pBdr>
          <w:top w:val="nil"/>
          <w:left w:val="nil"/>
          <w:bottom w:val="nil"/>
          <w:right w:val="nil"/>
          <w:between w:val="nil"/>
        </w:pBdr>
        <w:spacing w:before="0"/>
        <w:rPr>
          <w:rFonts w:eastAsia="Times New Roman" w:cs="Times New Roman"/>
          <w:color w:val="000000"/>
        </w:rPr>
      </w:pPr>
      <w:r>
        <w:rPr>
          <w:rFonts w:eastAsia="Times New Roman" w:cs="Times New Roman"/>
          <w:i/>
          <w:color w:val="000000"/>
        </w:rPr>
        <w:t>Media relations</w:t>
      </w:r>
      <w:r>
        <w:rPr>
          <w:rFonts w:eastAsia="Times New Roman" w:cs="Times New Roman"/>
          <w:color w:val="000000"/>
        </w:rPr>
        <w:t xml:space="preserve"> (relații cu mass media) - include:</w:t>
      </w:r>
    </w:p>
    <w:p w14:paraId="19776794" w14:textId="77777777" w:rsidR="00473248" w:rsidRDefault="00473248" w:rsidP="00473248">
      <w:pPr>
        <w:numPr>
          <w:ilvl w:val="0"/>
          <w:numId w:val="38"/>
        </w:numPr>
        <w:pBdr>
          <w:top w:val="nil"/>
          <w:left w:val="nil"/>
          <w:bottom w:val="nil"/>
          <w:right w:val="nil"/>
          <w:between w:val="nil"/>
        </w:pBdr>
        <w:spacing w:before="0"/>
        <w:ind w:left="992" w:hanging="357"/>
        <w:rPr>
          <w:rFonts w:eastAsia="Times New Roman" w:cs="Times New Roman"/>
          <w:color w:val="000000"/>
        </w:rPr>
      </w:pPr>
      <w:r>
        <w:rPr>
          <w:rFonts w:eastAsia="Times New Roman" w:cs="Times New Roman"/>
          <w:color w:val="000000"/>
        </w:rPr>
        <w:t xml:space="preserve">încurajarea publicațiilor de a realiza secțiuni dedicate urmăririi progresului implementării planului de management integrat al </w:t>
      </w:r>
      <w:r>
        <w:rPr>
          <w:rFonts w:eastAsia="Times New Roman" w:cs="Times New Roman"/>
        </w:rPr>
        <w:t>zonei</w:t>
      </w:r>
      <w:r>
        <w:rPr>
          <w:rFonts w:eastAsia="Times New Roman" w:cs="Times New Roman"/>
          <w:color w:val="000000"/>
        </w:rPr>
        <w:t xml:space="preserve"> costiere, MIZC și, în particular, a programelor / proiectelor finanțate;</w:t>
      </w:r>
    </w:p>
    <w:p w14:paraId="14CD4C2B" w14:textId="77777777" w:rsidR="00473248" w:rsidRDefault="00473248" w:rsidP="00473248">
      <w:pPr>
        <w:numPr>
          <w:ilvl w:val="0"/>
          <w:numId w:val="38"/>
        </w:numPr>
        <w:pBdr>
          <w:top w:val="nil"/>
          <w:left w:val="nil"/>
          <w:bottom w:val="nil"/>
          <w:right w:val="nil"/>
          <w:between w:val="nil"/>
        </w:pBdr>
        <w:spacing w:before="0"/>
        <w:ind w:left="992" w:hanging="357"/>
        <w:rPr>
          <w:rFonts w:eastAsia="Times New Roman" w:cs="Times New Roman"/>
          <w:color w:val="000000"/>
        </w:rPr>
      </w:pPr>
      <w:r>
        <w:rPr>
          <w:rFonts w:eastAsia="Times New Roman" w:cs="Times New Roman"/>
          <w:color w:val="000000"/>
        </w:rPr>
        <w:t>oferirea cu prioritate de informații rezultate din activitățile de monitorizare a stadiului implementării strategiei naționale MIZC către aceste publicații care au secțiuni dedicate;</w:t>
      </w:r>
    </w:p>
    <w:p w14:paraId="22EFD854" w14:textId="77777777" w:rsidR="00473248" w:rsidRDefault="00473248" w:rsidP="00473248">
      <w:pPr>
        <w:numPr>
          <w:ilvl w:val="0"/>
          <w:numId w:val="38"/>
        </w:numPr>
        <w:pBdr>
          <w:top w:val="nil"/>
          <w:left w:val="nil"/>
          <w:bottom w:val="nil"/>
          <w:right w:val="nil"/>
          <w:between w:val="nil"/>
        </w:pBdr>
        <w:spacing w:before="0"/>
        <w:ind w:left="992" w:hanging="357"/>
        <w:rPr>
          <w:rFonts w:eastAsia="Times New Roman" w:cs="Times New Roman"/>
          <w:color w:val="000000"/>
        </w:rPr>
      </w:pPr>
      <w:r>
        <w:rPr>
          <w:rFonts w:eastAsia="Times New Roman" w:cs="Times New Roman"/>
          <w:color w:val="000000"/>
        </w:rPr>
        <w:t>identificarea și oferirea de proiecte care pot preluate („adoptate”) și monitorizate de aceste publicații, pentru a fi prezentate ca bune practici;</w:t>
      </w:r>
    </w:p>
    <w:p w14:paraId="664AC5A9" w14:textId="77777777" w:rsidR="00473248" w:rsidRDefault="00473248" w:rsidP="00473248">
      <w:pPr>
        <w:numPr>
          <w:ilvl w:val="0"/>
          <w:numId w:val="38"/>
        </w:numPr>
        <w:pBdr>
          <w:top w:val="nil"/>
          <w:left w:val="nil"/>
          <w:bottom w:val="nil"/>
          <w:right w:val="nil"/>
          <w:between w:val="nil"/>
        </w:pBdr>
        <w:spacing w:before="0"/>
        <w:ind w:left="992" w:hanging="357"/>
        <w:rPr>
          <w:rFonts w:eastAsia="Times New Roman" w:cs="Times New Roman"/>
          <w:color w:val="000000"/>
        </w:rPr>
      </w:pPr>
      <w:r>
        <w:rPr>
          <w:rFonts w:eastAsia="Times New Roman" w:cs="Times New Roman"/>
          <w:color w:val="000000"/>
        </w:rPr>
        <w:t>încurajarea publicațiilor de a acoperi impactul proiectelor la nivelul comunității (contextualizare), nu doar de a monitoriza rezultatele imediate ale proiectelor;</w:t>
      </w:r>
    </w:p>
    <w:p w14:paraId="5D8DD89B" w14:textId="77777777" w:rsidR="00473248" w:rsidRDefault="00473248" w:rsidP="00473248">
      <w:pPr>
        <w:numPr>
          <w:ilvl w:val="0"/>
          <w:numId w:val="38"/>
        </w:numPr>
        <w:pBdr>
          <w:top w:val="nil"/>
          <w:left w:val="nil"/>
          <w:bottom w:val="nil"/>
          <w:right w:val="nil"/>
          <w:between w:val="nil"/>
        </w:pBdr>
        <w:spacing w:before="0"/>
        <w:ind w:left="992" w:hanging="357"/>
        <w:rPr>
          <w:rFonts w:eastAsia="Times New Roman" w:cs="Times New Roman"/>
          <w:color w:val="000000"/>
        </w:rPr>
      </w:pPr>
      <w:r>
        <w:rPr>
          <w:rFonts w:eastAsia="Times New Roman" w:cs="Times New Roman"/>
          <w:color w:val="000000"/>
        </w:rPr>
        <w:t>interviuri cu reprezentanți ai CNZC / experți din echipa de implementare a Strategiei Naționale MIZC la posturile locale și naționale de radio și TV;</w:t>
      </w:r>
    </w:p>
    <w:p w14:paraId="25BBA7F3" w14:textId="77777777" w:rsidR="00473248" w:rsidRDefault="00473248" w:rsidP="00473248">
      <w:pPr>
        <w:numPr>
          <w:ilvl w:val="0"/>
          <w:numId w:val="38"/>
        </w:numPr>
        <w:pBdr>
          <w:top w:val="nil"/>
          <w:left w:val="nil"/>
          <w:bottom w:val="nil"/>
          <w:right w:val="nil"/>
          <w:between w:val="nil"/>
        </w:pBdr>
        <w:spacing w:before="0"/>
        <w:ind w:left="992" w:hanging="357"/>
        <w:rPr>
          <w:rFonts w:eastAsia="Times New Roman" w:cs="Times New Roman"/>
          <w:color w:val="000000"/>
        </w:rPr>
      </w:pPr>
      <w:r>
        <w:rPr>
          <w:rFonts w:eastAsia="Times New Roman" w:cs="Times New Roman"/>
          <w:color w:val="000000"/>
        </w:rPr>
        <w:t>conferințe de presă;</w:t>
      </w:r>
    </w:p>
    <w:p w14:paraId="2B26CF80" w14:textId="77777777" w:rsidR="00473248" w:rsidRDefault="00473248" w:rsidP="00473248">
      <w:pPr>
        <w:numPr>
          <w:ilvl w:val="0"/>
          <w:numId w:val="38"/>
        </w:numPr>
        <w:pBdr>
          <w:top w:val="nil"/>
          <w:left w:val="nil"/>
          <w:bottom w:val="nil"/>
          <w:right w:val="nil"/>
          <w:between w:val="nil"/>
        </w:pBdr>
        <w:spacing w:before="0"/>
        <w:ind w:left="992" w:hanging="357"/>
        <w:rPr>
          <w:rFonts w:eastAsia="Times New Roman" w:cs="Times New Roman"/>
          <w:color w:val="000000"/>
        </w:rPr>
      </w:pPr>
      <w:r>
        <w:rPr>
          <w:rFonts w:eastAsia="Times New Roman" w:cs="Times New Roman"/>
          <w:color w:val="000000"/>
        </w:rPr>
        <w:t>informări/ comunicate de presă cu prilejul unor evenimente importante (ex. lansarea Strategiei naționale MIZC, lansarea unui proiect de importanță majoră în zona costieră, etc.);</w:t>
      </w:r>
    </w:p>
    <w:p w14:paraId="0AF31A26" w14:textId="77777777" w:rsidR="00473248" w:rsidRDefault="00473248" w:rsidP="00473248">
      <w:pPr>
        <w:numPr>
          <w:ilvl w:val="0"/>
          <w:numId w:val="38"/>
        </w:numPr>
        <w:pBdr>
          <w:top w:val="nil"/>
          <w:left w:val="nil"/>
          <w:bottom w:val="nil"/>
          <w:right w:val="nil"/>
          <w:between w:val="nil"/>
        </w:pBdr>
        <w:spacing w:before="0"/>
        <w:ind w:left="992" w:hanging="357"/>
        <w:rPr>
          <w:rFonts w:eastAsia="Times New Roman" w:cs="Times New Roman"/>
          <w:color w:val="000000"/>
        </w:rPr>
      </w:pPr>
      <w:r>
        <w:rPr>
          <w:rFonts w:eastAsia="Times New Roman" w:cs="Times New Roman"/>
          <w:color w:val="000000"/>
        </w:rPr>
        <w:t>difuzarea spoturilor radio și tv (advertising), dedicate, în special publicului larg.</w:t>
      </w:r>
    </w:p>
    <w:p w14:paraId="2B3EE392" w14:textId="77777777" w:rsidR="00473248" w:rsidRDefault="00473248" w:rsidP="00473248">
      <w:pPr>
        <w:numPr>
          <w:ilvl w:val="0"/>
          <w:numId w:val="39"/>
        </w:numPr>
        <w:pBdr>
          <w:top w:val="nil"/>
          <w:left w:val="nil"/>
          <w:bottom w:val="nil"/>
          <w:right w:val="nil"/>
          <w:between w:val="nil"/>
        </w:pBdr>
        <w:spacing w:before="0"/>
        <w:ind w:left="0" w:firstLine="567"/>
        <w:rPr>
          <w:rFonts w:eastAsia="Times New Roman" w:cs="Times New Roman"/>
          <w:i/>
          <w:color w:val="000000"/>
        </w:rPr>
      </w:pPr>
      <w:r>
        <w:rPr>
          <w:rFonts w:eastAsia="Times New Roman" w:cs="Times New Roman"/>
          <w:i/>
          <w:color w:val="000000"/>
        </w:rPr>
        <w:t>Evenimente</w:t>
      </w:r>
    </w:p>
    <w:p w14:paraId="26AD219F" w14:textId="77777777" w:rsidR="00473248" w:rsidRDefault="00473248" w:rsidP="00473248">
      <w:pPr>
        <w:numPr>
          <w:ilvl w:val="0"/>
          <w:numId w:val="40"/>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organizarea de evenimente proiectate pe baza solicitărilor grupurilor țintă, a feedback-ului colectat online;</w:t>
      </w:r>
    </w:p>
    <w:p w14:paraId="5AEF9279" w14:textId="77777777" w:rsidR="00473248" w:rsidRDefault="00473248" w:rsidP="00473248">
      <w:pPr>
        <w:numPr>
          <w:ilvl w:val="0"/>
          <w:numId w:val="40"/>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sesiuni de informare specializate, „info workshops”, scurte (2-3 ore), în grupuri relativ mici (20-30 persoane), la nivel județean/local, inclusiv cu răspunsuri la probleme punctuale; sunt vizați potențialii beneficiari și beneficiarii, în sesiuni distincte;</w:t>
      </w:r>
    </w:p>
    <w:p w14:paraId="33D31143" w14:textId="77777777" w:rsidR="00473248" w:rsidRDefault="00473248" w:rsidP="00473248">
      <w:pPr>
        <w:numPr>
          <w:ilvl w:val="0"/>
          <w:numId w:val="40"/>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organizarea de evenimente pentru publicul larg (ex. Ziua Internațională a Mării Negre, Ziua Dunării, etc). Aceste evenimente vizează informarea publicului larg cu privire la rezultatele și impactul implementării managementului integrat al zonei costiere, oferirea de exemple de „povești de succes”, etc.</w:t>
      </w:r>
    </w:p>
    <w:p w14:paraId="434A00FF" w14:textId="77777777" w:rsidR="00473248" w:rsidRDefault="00473248" w:rsidP="00473248">
      <w:pPr>
        <w:numPr>
          <w:ilvl w:val="0"/>
          <w:numId w:val="39"/>
        </w:numPr>
        <w:pBdr>
          <w:top w:val="nil"/>
          <w:left w:val="nil"/>
          <w:bottom w:val="nil"/>
          <w:right w:val="nil"/>
          <w:between w:val="nil"/>
        </w:pBdr>
        <w:spacing w:before="0"/>
        <w:ind w:left="0" w:firstLine="567"/>
        <w:rPr>
          <w:rFonts w:eastAsia="Times New Roman" w:cs="Times New Roman"/>
          <w:color w:val="000000"/>
        </w:rPr>
      </w:pPr>
      <w:r>
        <w:rPr>
          <w:rFonts w:eastAsia="Times New Roman" w:cs="Times New Roman"/>
          <w:i/>
          <w:color w:val="000000"/>
        </w:rPr>
        <w:t>Materiale de prezentare</w:t>
      </w:r>
      <w:r>
        <w:rPr>
          <w:rFonts w:eastAsia="Times New Roman" w:cs="Times New Roman"/>
          <w:color w:val="000000"/>
        </w:rPr>
        <w:t xml:space="preserve"> (broșuri, ghiduri, flyere, afișe/ bannere online și/sau format fizic).</w:t>
      </w:r>
    </w:p>
    <w:p w14:paraId="0914FF52" w14:textId="77777777" w:rsidR="00473248" w:rsidRDefault="00473248" w:rsidP="00473248">
      <w:pPr>
        <w:spacing w:before="0"/>
        <w:rPr>
          <w:rFonts w:eastAsia="Times New Roman" w:cs="Times New Roman"/>
          <w:b/>
          <w:i/>
        </w:rPr>
      </w:pPr>
      <w:r>
        <w:rPr>
          <w:rFonts w:eastAsia="Times New Roman" w:cs="Times New Roman"/>
          <w:b/>
          <w:i/>
        </w:rPr>
        <w:lastRenderedPageBreak/>
        <w:t xml:space="preserve">Planul de acțiune - </w:t>
      </w:r>
      <w:r>
        <w:rPr>
          <w:rFonts w:eastAsia="Times New Roman" w:cs="Times New Roman"/>
        </w:rPr>
        <w:t>cuprinde acțiuni prioritare și acțiuni cu caracter permanent</w:t>
      </w:r>
      <w:r>
        <w:rPr>
          <w:rFonts w:eastAsia="Times New Roman" w:cs="Times New Roman"/>
          <w:b/>
          <w:i/>
        </w:rPr>
        <w:t>.</w:t>
      </w:r>
    </w:p>
    <w:p w14:paraId="0593A79D" w14:textId="77777777" w:rsidR="00473248" w:rsidRDefault="00473248" w:rsidP="00473248">
      <w:pPr>
        <w:spacing w:before="0"/>
        <w:ind w:firstLine="567"/>
        <w:rPr>
          <w:rFonts w:eastAsia="Times New Roman" w:cs="Times New Roman"/>
        </w:rPr>
      </w:pPr>
      <w:r>
        <w:rPr>
          <w:rFonts w:eastAsia="Times New Roman" w:cs="Times New Roman"/>
          <w:color w:val="000000"/>
        </w:rPr>
        <w:t>Acțiunile prioritare vizează, în special, comunicarea și informarea publicului (atât a celui specializat, cât și a publicului larg) cu privire la demararea implementării Planului de Management Integrat al zonei costiere și a Strategiei naționale privind gospodărirea integrată a zonei costiere și importanța acestui proces. Acțiunile prioritare propuse sunt:</w:t>
      </w:r>
    </w:p>
    <w:p w14:paraId="0C91D5B4" w14:textId="77777777" w:rsidR="00473248" w:rsidRDefault="00473248" w:rsidP="00473248">
      <w:pPr>
        <w:numPr>
          <w:ilvl w:val="0"/>
          <w:numId w:val="30"/>
        </w:numPr>
        <w:spacing w:before="0"/>
        <w:rPr>
          <w:rFonts w:eastAsia="Times New Roman" w:cs="Times New Roman"/>
          <w:color w:val="000000"/>
        </w:rPr>
      </w:pPr>
      <w:r>
        <w:rPr>
          <w:rFonts w:eastAsia="Times New Roman" w:cs="Times New Roman"/>
          <w:color w:val="000000"/>
        </w:rPr>
        <w:t>dezvoltarea paginii web pe site-ul MMAP;</w:t>
      </w:r>
    </w:p>
    <w:p w14:paraId="51C01F8C" w14:textId="77777777" w:rsidR="00473248" w:rsidRDefault="00473248" w:rsidP="00473248">
      <w:pPr>
        <w:numPr>
          <w:ilvl w:val="0"/>
          <w:numId w:val="30"/>
        </w:numPr>
        <w:spacing w:before="0"/>
        <w:rPr>
          <w:rFonts w:eastAsia="Times New Roman" w:cs="Times New Roman"/>
          <w:color w:val="000000"/>
        </w:rPr>
      </w:pPr>
      <w:r>
        <w:rPr>
          <w:rFonts w:eastAsia="Times New Roman" w:cs="Times New Roman"/>
          <w:color w:val="000000"/>
        </w:rPr>
        <w:t xml:space="preserve">realizarea identității vizuale a Strategiei Naționale privind gospodărirea integrată a zonei costiere și a </w:t>
      </w:r>
      <w:r w:rsidRPr="00735C1E">
        <w:rPr>
          <w:rFonts w:eastAsia="Times New Roman" w:cs="Times New Roman"/>
          <w:color w:val="000000"/>
        </w:rPr>
        <w:t xml:space="preserve">Planului de Management Integrat al zonei </w:t>
      </w:r>
      <w:r>
        <w:rPr>
          <w:rFonts w:eastAsia="Times New Roman" w:cs="Times New Roman"/>
          <w:color w:val="000000"/>
        </w:rPr>
        <w:t>costiere (sigla, slogan etc.);</w:t>
      </w:r>
    </w:p>
    <w:p w14:paraId="528730CC" w14:textId="77777777" w:rsidR="00473248" w:rsidRDefault="00473248" w:rsidP="00473248">
      <w:pPr>
        <w:numPr>
          <w:ilvl w:val="0"/>
          <w:numId w:val="30"/>
        </w:numPr>
        <w:spacing w:before="0"/>
        <w:rPr>
          <w:rFonts w:eastAsia="Times New Roman" w:cs="Times New Roman"/>
          <w:color w:val="000000"/>
        </w:rPr>
      </w:pPr>
      <w:r>
        <w:rPr>
          <w:rFonts w:eastAsia="Times New Roman" w:cs="Times New Roman"/>
          <w:color w:val="000000"/>
        </w:rPr>
        <w:t>organizare unui eveniment de amploare care să marcheze lansarea implementării Strategiei Naționale privind gospodărirea integrată a zonei costiere și a Planului de Management Integrat al zonei costiere;</w:t>
      </w:r>
    </w:p>
    <w:p w14:paraId="2767F460" w14:textId="77777777" w:rsidR="00473248" w:rsidRDefault="00473248" w:rsidP="00473248">
      <w:pPr>
        <w:numPr>
          <w:ilvl w:val="0"/>
          <w:numId w:val="30"/>
        </w:numPr>
        <w:spacing w:before="0"/>
        <w:rPr>
          <w:rFonts w:eastAsia="Times New Roman" w:cs="Times New Roman"/>
          <w:color w:val="000000"/>
        </w:rPr>
      </w:pPr>
      <w:r>
        <w:rPr>
          <w:rFonts w:eastAsia="Times New Roman" w:cs="Times New Roman"/>
          <w:color w:val="000000"/>
        </w:rPr>
        <w:t xml:space="preserve">realizarea și publicarea comunicatelor de presa și articolelor de presă care să promoveze evenimentul de lansare a implementării </w:t>
      </w:r>
      <w:r w:rsidRPr="00735C1E">
        <w:rPr>
          <w:rFonts w:eastAsia="Times New Roman" w:cs="Times New Roman"/>
          <w:color w:val="000000"/>
        </w:rPr>
        <w:t xml:space="preserve">Strategiei Naționale privind gospodărirea integrată a zonei costiere </w:t>
      </w:r>
      <w:r>
        <w:rPr>
          <w:rFonts w:eastAsia="Times New Roman" w:cs="Times New Roman"/>
          <w:color w:val="000000"/>
        </w:rPr>
        <w:t xml:space="preserve">și a </w:t>
      </w:r>
      <w:r w:rsidRPr="00735C1E">
        <w:rPr>
          <w:rFonts w:eastAsia="Times New Roman" w:cs="Times New Roman"/>
          <w:color w:val="000000"/>
        </w:rPr>
        <w:t>Planului de Management Integrat al zonei costiere</w:t>
      </w:r>
      <w:r>
        <w:rPr>
          <w:rFonts w:eastAsia="Times New Roman" w:cs="Times New Roman"/>
          <w:color w:val="000000"/>
        </w:rPr>
        <w:t>;</w:t>
      </w:r>
    </w:p>
    <w:p w14:paraId="5A16E0CA" w14:textId="77777777" w:rsidR="00473248" w:rsidRDefault="00473248" w:rsidP="00473248">
      <w:pPr>
        <w:numPr>
          <w:ilvl w:val="0"/>
          <w:numId w:val="30"/>
        </w:numPr>
        <w:spacing w:before="0"/>
        <w:rPr>
          <w:rFonts w:eastAsia="Times New Roman" w:cs="Times New Roman"/>
          <w:color w:val="000000"/>
        </w:rPr>
      </w:pPr>
      <w:r>
        <w:rPr>
          <w:rFonts w:eastAsia="Times New Roman" w:cs="Times New Roman"/>
          <w:color w:val="000000"/>
        </w:rPr>
        <w:t xml:space="preserve">organizarea unei conferințe de presă care să marcheze startul implementării </w:t>
      </w:r>
      <w:r w:rsidRPr="00735C1E">
        <w:rPr>
          <w:rFonts w:eastAsia="Times New Roman" w:cs="Times New Roman"/>
          <w:color w:val="000000"/>
        </w:rPr>
        <w:t xml:space="preserve">Strategiei Naționale privind gospodărirea integrată a zonei costiere </w:t>
      </w:r>
      <w:r>
        <w:rPr>
          <w:rFonts w:eastAsia="Times New Roman" w:cs="Times New Roman"/>
          <w:color w:val="000000"/>
        </w:rPr>
        <w:t xml:space="preserve">și a </w:t>
      </w:r>
      <w:r w:rsidRPr="00735C1E">
        <w:rPr>
          <w:rFonts w:eastAsia="Times New Roman" w:cs="Times New Roman"/>
          <w:color w:val="000000"/>
        </w:rPr>
        <w:t>Planului de Management Integrat al zonei costiere</w:t>
      </w:r>
      <w:r>
        <w:rPr>
          <w:rFonts w:eastAsia="Times New Roman" w:cs="Times New Roman"/>
          <w:color w:val="000000"/>
        </w:rPr>
        <w:t>.</w:t>
      </w:r>
    </w:p>
    <w:p w14:paraId="3ABA7E06" w14:textId="77777777" w:rsidR="00473248" w:rsidRDefault="00473248" w:rsidP="00473248">
      <w:pPr>
        <w:spacing w:before="0"/>
        <w:ind w:firstLine="540"/>
        <w:rPr>
          <w:rFonts w:eastAsia="Times New Roman" w:cs="Times New Roman"/>
        </w:rPr>
      </w:pPr>
      <w:r>
        <w:rPr>
          <w:rFonts w:eastAsia="Times New Roman" w:cs="Times New Roman"/>
          <w:color w:val="000000"/>
        </w:rPr>
        <w:t>Acțiunile cu caracter permanent sunt:</w:t>
      </w:r>
    </w:p>
    <w:p w14:paraId="1F818173" w14:textId="77777777" w:rsidR="00473248" w:rsidRDefault="00473248" w:rsidP="00473248">
      <w:pPr>
        <w:numPr>
          <w:ilvl w:val="0"/>
          <w:numId w:val="29"/>
        </w:numPr>
        <w:spacing w:before="0"/>
        <w:rPr>
          <w:rFonts w:eastAsia="Times New Roman" w:cs="Times New Roman"/>
          <w:color w:val="000000"/>
        </w:rPr>
      </w:pPr>
      <w:r>
        <w:rPr>
          <w:rFonts w:eastAsia="Times New Roman" w:cs="Times New Roman"/>
          <w:color w:val="000000"/>
        </w:rPr>
        <w:t>întreținerea și permanenta actualizare a paginii web dedicată procesului de management integrat al zonei costiere - acțiune cu caracter permanent:</w:t>
      </w:r>
    </w:p>
    <w:p w14:paraId="464FE761" w14:textId="77777777" w:rsidR="00473248" w:rsidRDefault="00473248" w:rsidP="00473248">
      <w:pPr>
        <w:numPr>
          <w:ilvl w:val="0"/>
          <w:numId w:val="29"/>
        </w:numPr>
        <w:spacing w:before="0"/>
        <w:rPr>
          <w:rFonts w:eastAsia="Times New Roman" w:cs="Times New Roman"/>
          <w:color w:val="000000"/>
        </w:rPr>
      </w:pPr>
      <w:r>
        <w:rPr>
          <w:rFonts w:eastAsia="Times New Roman" w:cs="Times New Roman"/>
          <w:color w:val="000000"/>
        </w:rPr>
        <w:t>conceperea, tipărirea și diseminarea materialelor publicitare (broșuri, ghiduri, flyere, afișe/ bannere online și/ sau în formă fizic)</w:t>
      </w:r>
    </w:p>
    <w:p w14:paraId="026C3C79" w14:textId="77777777" w:rsidR="00473248" w:rsidRDefault="00473248" w:rsidP="00473248">
      <w:pPr>
        <w:numPr>
          <w:ilvl w:val="0"/>
          <w:numId w:val="29"/>
        </w:numPr>
        <w:spacing w:before="0"/>
        <w:rPr>
          <w:rFonts w:eastAsia="Times New Roman" w:cs="Times New Roman"/>
          <w:color w:val="000000"/>
        </w:rPr>
      </w:pPr>
      <w:r>
        <w:rPr>
          <w:rFonts w:eastAsia="Times New Roman" w:cs="Times New Roman"/>
          <w:color w:val="000000"/>
        </w:rPr>
        <w:t>realizarea și difuzarea de buletine informative / comunicate de presă cu privire la rezultatele ședințelor CNZC;</w:t>
      </w:r>
    </w:p>
    <w:p w14:paraId="0D58A555" w14:textId="77777777" w:rsidR="00473248" w:rsidRDefault="00473248" w:rsidP="00473248">
      <w:pPr>
        <w:numPr>
          <w:ilvl w:val="0"/>
          <w:numId w:val="29"/>
        </w:numPr>
        <w:spacing w:before="0"/>
        <w:rPr>
          <w:rFonts w:eastAsia="Times New Roman" w:cs="Times New Roman"/>
          <w:color w:val="000000"/>
        </w:rPr>
      </w:pPr>
      <w:r>
        <w:rPr>
          <w:rFonts w:eastAsia="Times New Roman" w:cs="Times New Roman"/>
          <w:color w:val="000000"/>
        </w:rPr>
        <w:t>informarea prin mijloace online (website, social media) asupra rezultatelor ședințelor CNZC;</w:t>
      </w:r>
    </w:p>
    <w:p w14:paraId="1CCB6A47" w14:textId="77777777" w:rsidR="00473248" w:rsidRDefault="00473248" w:rsidP="00473248">
      <w:pPr>
        <w:numPr>
          <w:ilvl w:val="0"/>
          <w:numId w:val="29"/>
        </w:numPr>
        <w:spacing w:before="0"/>
        <w:rPr>
          <w:rFonts w:eastAsia="Times New Roman" w:cs="Times New Roman"/>
          <w:color w:val="000000"/>
        </w:rPr>
      </w:pPr>
      <w:r>
        <w:rPr>
          <w:rFonts w:eastAsia="Times New Roman" w:cs="Times New Roman"/>
          <w:color w:val="000000"/>
        </w:rPr>
        <w:t>campanii de promovare, atât online (prin publicare pe pagina web dedicată și prin mijloace social media), cât și în mass-media locală a dezbaterilor publice, proceselor consultative cu privire la programele / proiectele din zona costieră în vederea creșterii gradului de participare activă a factorilor interesați;</w:t>
      </w:r>
    </w:p>
    <w:p w14:paraId="42B8D958" w14:textId="77777777" w:rsidR="00473248" w:rsidRDefault="00473248" w:rsidP="00473248">
      <w:pPr>
        <w:numPr>
          <w:ilvl w:val="0"/>
          <w:numId w:val="29"/>
        </w:numPr>
        <w:spacing w:before="0"/>
        <w:rPr>
          <w:rFonts w:eastAsia="Times New Roman" w:cs="Times New Roman"/>
          <w:color w:val="000000"/>
        </w:rPr>
      </w:pPr>
      <w:r>
        <w:rPr>
          <w:rFonts w:eastAsia="Times New Roman" w:cs="Times New Roman"/>
          <w:color w:val="000000"/>
        </w:rPr>
        <w:t>informarea publicului larg prin mijloace social media cu privire la proiectele propuse a se implementa în zona costieră;</w:t>
      </w:r>
    </w:p>
    <w:p w14:paraId="4876DD9C" w14:textId="77777777" w:rsidR="00473248" w:rsidRDefault="00473248" w:rsidP="00473248">
      <w:pPr>
        <w:numPr>
          <w:ilvl w:val="0"/>
          <w:numId w:val="29"/>
        </w:numPr>
        <w:spacing w:before="0"/>
        <w:rPr>
          <w:rFonts w:eastAsia="Times New Roman" w:cs="Times New Roman"/>
          <w:color w:val="000000"/>
        </w:rPr>
      </w:pPr>
      <w:r>
        <w:rPr>
          <w:rFonts w:eastAsia="Times New Roman" w:cs="Times New Roman"/>
          <w:color w:val="000000"/>
        </w:rPr>
        <w:t>diseminarea în mass-media și în social media a “poveștilor de succes” din zona costieră:</w:t>
      </w:r>
    </w:p>
    <w:p w14:paraId="13207EF1" w14:textId="77777777" w:rsidR="00473248" w:rsidRDefault="00473248" w:rsidP="00473248">
      <w:pPr>
        <w:numPr>
          <w:ilvl w:val="0"/>
          <w:numId w:val="29"/>
        </w:numPr>
        <w:spacing w:before="0"/>
        <w:rPr>
          <w:rFonts w:eastAsia="Times New Roman" w:cs="Times New Roman"/>
          <w:color w:val="000000"/>
        </w:rPr>
      </w:pPr>
      <w:r>
        <w:rPr>
          <w:rFonts w:eastAsia="Times New Roman" w:cs="Times New Roman"/>
          <w:color w:val="000000"/>
        </w:rPr>
        <w:t>organizarea de conferințe de presă cu prilejul lansării unor proiecte importante în zona costieră;</w:t>
      </w:r>
    </w:p>
    <w:p w14:paraId="60B2B226" w14:textId="77777777" w:rsidR="00473248" w:rsidRDefault="00473248" w:rsidP="00473248">
      <w:pPr>
        <w:numPr>
          <w:ilvl w:val="0"/>
          <w:numId w:val="29"/>
        </w:numPr>
        <w:spacing w:before="0"/>
        <w:rPr>
          <w:rFonts w:eastAsia="Times New Roman" w:cs="Times New Roman"/>
          <w:color w:val="000000"/>
        </w:rPr>
      </w:pPr>
      <w:r>
        <w:rPr>
          <w:rFonts w:eastAsia="Times New Roman" w:cs="Times New Roman"/>
          <w:color w:val="000000"/>
        </w:rPr>
        <w:t>interviuri în mass-media sau online cu principalii actori ai procesului MIZC;</w:t>
      </w:r>
    </w:p>
    <w:p w14:paraId="42694A66" w14:textId="77777777" w:rsidR="00473248" w:rsidRDefault="00473248" w:rsidP="00473248">
      <w:pPr>
        <w:numPr>
          <w:ilvl w:val="0"/>
          <w:numId w:val="29"/>
        </w:numPr>
        <w:spacing w:before="0"/>
        <w:rPr>
          <w:rFonts w:eastAsia="Times New Roman" w:cs="Times New Roman"/>
          <w:color w:val="000000"/>
        </w:rPr>
      </w:pPr>
      <w:r>
        <w:rPr>
          <w:rFonts w:eastAsia="Times New Roman" w:cs="Times New Roman"/>
          <w:color w:val="000000"/>
        </w:rPr>
        <w:lastRenderedPageBreak/>
        <w:t>organizarea de evenimente de informare specializate, „info workshops”, scurte (2-3 ore), în grupuri relativ mici (20-40 persoane), la nivel județean (două pe an, câte unul în cele două județe din zona costieră);</w:t>
      </w:r>
    </w:p>
    <w:p w14:paraId="5C5808CA" w14:textId="77777777" w:rsidR="00473248" w:rsidRDefault="00473248" w:rsidP="00473248">
      <w:pPr>
        <w:numPr>
          <w:ilvl w:val="0"/>
          <w:numId w:val="29"/>
        </w:numPr>
        <w:spacing w:before="0"/>
        <w:rPr>
          <w:rFonts w:eastAsia="Times New Roman" w:cs="Times New Roman"/>
          <w:color w:val="000000"/>
        </w:rPr>
      </w:pPr>
      <w:r>
        <w:rPr>
          <w:rFonts w:eastAsia="Times New Roman" w:cs="Times New Roman"/>
          <w:color w:val="000000"/>
        </w:rPr>
        <w:t>-organizarea de evenimente anuale de promovare a rezultatelor și beneficiilor managementului integrat al zonei costiere cu prilejul Zilei Internaționale a Mării Negre; </w:t>
      </w:r>
    </w:p>
    <w:p w14:paraId="38561024" w14:textId="77777777" w:rsidR="00473248" w:rsidRDefault="00473248" w:rsidP="00473248">
      <w:pPr>
        <w:numPr>
          <w:ilvl w:val="0"/>
          <w:numId w:val="29"/>
        </w:numPr>
        <w:spacing w:before="0"/>
        <w:rPr>
          <w:rFonts w:eastAsia="Times New Roman" w:cs="Times New Roman"/>
          <w:color w:val="000000"/>
        </w:rPr>
      </w:pPr>
      <w:r>
        <w:rPr>
          <w:rFonts w:eastAsia="Times New Roman" w:cs="Times New Roman"/>
          <w:color w:val="000000"/>
        </w:rPr>
        <w:t>promovarea rezultatelor implementării Planului și Strategiei naționale MIZC în cadrul unor evenimente naționale sau internaționale (altele decât cele organizate de MMAP).</w:t>
      </w:r>
    </w:p>
    <w:p w14:paraId="58B5F7FD" w14:textId="77777777" w:rsidR="00473248" w:rsidRDefault="00473248" w:rsidP="00473248">
      <w:pPr>
        <w:spacing w:before="0"/>
        <w:rPr>
          <w:rFonts w:eastAsia="Times New Roman" w:cs="Times New Roman"/>
          <w:b/>
          <w:i/>
        </w:rPr>
      </w:pPr>
      <w:r>
        <w:rPr>
          <w:rFonts w:eastAsia="Times New Roman" w:cs="Times New Roman"/>
          <w:b/>
          <w:i/>
        </w:rPr>
        <w:t>Surse de finanțare</w:t>
      </w:r>
    </w:p>
    <w:p w14:paraId="57F7869E" w14:textId="77777777" w:rsidR="00473248" w:rsidRDefault="00473248" w:rsidP="00473248">
      <w:pPr>
        <w:spacing w:before="0"/>
        <w:ind w:firstLine="567"/>
        <w:rPr>
          <w:rFonts w:eastAsia="Times New Roman" w:cs="Times New Roman"/>
        </w:rPr>
      </w:pPr>
      <w:r>
        <w:rPr>
          <w:rFonts w:eastAsia="Times New Roman" w:cs="Times New Roman"/>
        </w:rPr>
        <w:t>Principala sursă de finanțare este bugetul propriu al Ministerului Mediului, Apelor și Pădurilor, dar alte posibile surse de finanțare, în special pentru organizarea și participarea la diverse evenimente, pot fi proiectele naționale și cele europene.</w:t>
      </w:r>
    </w:p>
    <w:p w14:paraId="4DF42FD8" w14:textId="77777777" w:rsidR="00473248" w:rsidRDefault="00473248" w:rsidP="00473248">
      <w:pPr>
        <w:spacing w:before="0"/>
        <w:rPr>
          <w:rFonts w:eastAsia="Times New Roman" w:cs="Times New Roman"/>
          <w:b/>
          <w:i/>
        </w:rPr>
      </w:pPr>
      <w:r>
        <w:rPr>
          <w:rFonts w:eastAsia="Times New Roman" w:cs="Times New Roman"/>
          <w:b/>
          <w:i/>
        </w:rPr>
        <w:t>Monitorizare și Evaluare</w:t>
      </w:r>
    </w:p>
    <w:p w14:paraId="2BDC4025" w14:textId="77777777" w:rsidR="00473248" w:rsidRDefault="00473248" w:rsidP="00473248">
      <w:pPr>
        <w:spacing w:before="0"/>
        <w:rPr>
          <w:rFonts w:eastAsia="Times New Roman" w:cs="Times New Roman"/>
        </w:rPr>
      </w:pPr>
      <w:r>
        <w:rPr>
          <w:rFonts w:eastAsia="Times New Roman" w:cs="Times New Roman"/>
        </w:rPr>
        <w:t>Indicatorii de rezultat folosiți pentru monitorizarea și evaluarea atingerii obiectivelor de Planului de comunicare sunt:</w:t>
      </w:r>
    </w:p>
    <w:p w14:paraId="3B959AA4" w14:textId="77777777" w:rsidR="00473248" w:rsidRDefault="00473248" w:rsidP="00473248">
      <w:pPr>
        <w:numPr>
          <w:ilvl w:val="0"/>
          <w:numId w:val="29"/>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numărul de vizitatori ai website-ului dedicat;</w:t>
      </w:r>
    </w:p>
    <w:p w14:paraId="755A5F30" w14:textId="77777777" w:rsidR="00473248" w:rsidRDefault="00473248" w:rsidP="00473248">
      <w:pPr>
        <w:numPr>
          <w:ilvl w:val="0"/>
          <w:numId w:val="29"/>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numărul articolelor de presă care promovează evenimentul de lansare a implementării Strategiei naționale MIZC și a Planului de Management Integrat al zonei costiere;</w:t>
      </w:r>
    </w:p>
    <w:p w14:paraId="2702BDEF" w14:textId="77777777" w:rsidR="00473248" w:rsidRDefault="00473248" w:rsidP="00473248">
      <w:pPr>
        <w:numPr>
          <w:ilvl w:val="0"/>
          <w:numId w:val="29"/>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numărul de participanți la conferințele de presă;</w:t>
      </w:r>
    </w:p>
    <w:p w14:paraId="2F3D394A" w14:textId="77777777" w:rsidR="00473248" w:rsidRDefault="00473248" w:rsidP="00473248">
      <w:pPr>
        <w:numPr>
          <w:ilvl w:val="0"/>
          <w:numId w:val="29"/>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numărul de materiale promoționale realizat;</w:t>
      </w:r>
    </w:p>
    <w:p w14:paraId="5ACB9FF3" w14:textId="77777777" w:rsidR="00473248" w:rsidRDefault="00473248" w:rsidP="00473248">
      <w:pPr>
        <w:numPr>
          <w:ilvl w:val="0"/>
          <w:numId w:val="29"/>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numărul de buletine informative și comunicate de presă;</w:t>
      </w:r>
    </w:p>
    <w:p w14:paraId="50C425D6" w14:textId="77777777" w:rsidR="00473248" w:rsidRDefault="00473248" w:rsidP="00473248">
      <w:pPr>
        <w:numPr>
          <w:ilvl w:val="0"/>
          <w:numId w:val="29"/>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număr de conferințe de presă;</w:t>
      </w:r>
    </w:p>
    <w:p w14:paraId="0FEC668D" w14:textId="77777777" w:rsidR="00473248" w:rsidRDefault="00473248" w:rsidP="00473248">
      <w:pPr>
        <w:numPr>
          <w:ilvl w:val="0"/>
          <w:numId w:val="29"/>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număr de interviuri;</w:t>
      </w:r>
    </w:p>
    <w:p w14:paraId="7B26E099" w14:textId="77777777" w:rsidR="00473248" w:rsidRDefault="00473248" w:rsidP="00473248">
      <w:pPr>
        <w:numPr>
          <w:ilvl w:val="0"/>
          <w:numId w:val="29"/>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numărul de participanți la dezbateri publice / procese consultative;</w:t>
      </w:r>
    </w:p>
    <w:p w14:paraId="1D834253" w14:textId="77777777" w:rsidR="00473248" w:rsidRDefault="00473248" w:rsidP="00473248">
      <w:pPr>
        <w:numPr>
          <w:ilvl w:val="0"/>
          <w:numId w:val="29"/>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numărul de postări în social media;</w:t>
      </w:r>
    </w:p>
    <w:p w14:paraId="4F941DA1" w14:textId="77777777" w:rsidR="00473248" w:rsidRDefault="00473248" w:rsidP="00473248">
      <w:pPr>
        <w:numPr>
          <w:ilvl w:val="0"/>
          <w:numId w:val="29"/>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numărul de spoturi publicitare (radio, tv) dedicate MIZC;</w:t>
      </w:r>
    </w:p>
    <w:p w14:paraId="00417B2A" w14:textId="77777777" w:rsidR="00473248" w:rsidRDefault="00473248" w:rsidP="00473248">
      <w:pPr>
        <w:numPr>
          <w:ilvl w:val="0"/>
          <w:numId w:val="29"/>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numărul de evenimente dedicate publicului larg;</w:t>
      </w:r>
    </w:p>
    <w:p w14:paraId="6B1EAD48" w14:textId="77777777" w:rsidR="00473248" w:rsidRDefault="00473248" w:rsidP="00473248">
      <w:pPr>
        <w:numPr>
          <w:ilvl w:val="0"/>
          <w:numId w:val="29"/>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numărul de eveniment dedicate publicului specializat;</w:t>
      </w:r>
    </w:p>
    <w:p w14:paraId="12EA97C0" w14:textId="77777777" w:rsidR="00473248" w:rsidRDefault="00473248" w:rsidP="00473248">
      <w:pPr>
        <w:numPr>
          <w:ilvl w:val="0"/>
          <w:numId w:val="29"/>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numărul de evenimente organizate de alte instituții în care a fost promovat procesul MIZC;</w:t>
      </w:r>
    </w:p>
    <w:p w14:paraId="4CCC5486" w14:textId="77777777" w:rsidR="00473248" w:rsidRDefault="00473248" w:rsidP="00473248">
      <w:pPr>
        <w:numPr>
          <w:ilvl w:val="0"/>
          <w:numId w:val="29"/>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numărul de cetățeni informați cu privire la activitățile derulate în zona costieră;</w:t>
      </w:r>
    </w:p>
    <w:p w14:paraId="55D38639" w14:textId="77777777" w:rsidR="00473248" w:rsidRDefault="00473248" w:rsidP="00473248">
      <w:pPr>
        <w:numPr>
          <w:ilvl w:val="0"/>
          <w:numId w:val="29"/>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numărul de articole generate în mass-media în urma campaniilor de promovare;</w:t>
      </w:r>
    </w:p>
    <w:p w14:paraId="2ED127FA" w14:textId="77777777" w:rsidR="00473248" w:rsidRDefault="00473248" w:rsidP="00473248">
      <w:pPr>
        <w:numPr>
          <w:ilvl w:val="0"/>
          <w:numId w:val="29"/>
        </w:numPr>
        <w:pBdr>
          <w:top w:val="nil"/>
          <w:left w:val="nil"/>
          <w:bottom w:val="nil"/>
          <w:right w:val="nil"/>
          <w:between w:val="nil"/>
        </w:pBdr>
        <w:spacing w:before="0"/>
        <w:rPr>
          <w:rFonts w:eastAsia="Times New Roman" w:cs="Times New Roman"/>
          <w:color w:val="000000"/>
        </w:rPr>
      </w:pPr>
      <w:r>
        <w:rPr>
          <w:rFonts w:eastAsia="Times New Roman" w:cs="Times New Roman"/>
          <w:color w:val="000000"/>
        </w:rPr>
        <w:t>tipul de reacții generate în urma campaniilor de promovare.</w:t>
      </w:r>
    </w:p>
    <w:p w14:paraId="28F7718C" w14:textId="77777777" w:rsidR="00473248" w:rsidRPr="005E6631" w:rsidRDefault="00473248" w:rsidP="00473248">
      <w:pPr>
        <w:rPr>
          <w:rFonts w:eastAsia="Times New Roman" w:cs="Times New Roman"/>
          <w:sz w:val="28"/>
        </w:rPr>
      </w:pPr>
    </w:p>
    <w:p w14:paraId="2BD48414" w14:textId="66735075" w:rsidR="002508D3" w:rsidRDefault="002508D3" w:rsidP="002508D3">
      <w:pPr>
        <w:tabs>
          <w:tab w:val="left" w:pos="1620"/>
        </w:tabs>
        <w:rPr>
          <w:rFonts w:eastAsia="Times New Roman" w:cs="Times New Roman"/>
        </w:rPr>
      </w:pPr>
    </w:p>
    <w:p w14:paraId="255B49CB" w14:textId="57AF8E54" w:rsidR="00473248" w:rsidRDefault="00473248" w:rsidP="00473248">
      <w:pPr>
        <w:pStyle w:val="Heading2"/>
      </w:pPr>
      <w:bookmarkStart w:id="155" w:name="_Toc150501479"/>
      <w:bookmarkStart w:id="156" w:name="_Toc169625157"/>
      <w:r>
        <w:t>2.11. Plan de monitorizare al activităților</w:t>
      </w:r>
      <w:bookmarkEnd w:id="155"/>
      <w:bookmarkEnd w:id="156"/>
      <w:r>
        <w:t xml:space="preserve"> </w:t>
      </w:r>
    </w:p>
    <w:p w14:paraId="3A2AA57F" w14:textId="77777777" w:rsidR="00473248" w:rsidRDefault="00473248" w:rsidP="00473248">
      <w:pPr>
        <w:pBdr>
          <w:top w:val="nil"/>
          <w:left w:val="nil"/>
          <w:bottom w:val="nil"/>
          <w:right w:val="nil"/>
          <w:between w:val="nil"/>
        </w:pBdr>
        <w:spacing w:before="0"/>
        <w:ind w:firstLine="567"/>
        <w:rPr>
          <w:rFonts w:eastAsia="Times New Roman" w:cs="Times New Roman"/>
        </w:rPr>
      </w:pPr>
      <w:r>
        <w:rPr>
          <w:rFonts w:eastAsia="Times New Roman" w:cs="Times New Roman"/>
        </w:rPr>
        <w:t>În procesul de implementare a activităților propuse a se realiza în cadrul Planului de Management Integrat al zonei costiere pot avea loc schimbări, fie planificate / așteptate, fie neprevăzute, care sunt înregistrate printr-o monitorizare eficientă. Gradul de realizare al fiecărei activități va fi monitorizat cu o frecvență anuală (excepție făcând activitățile referitoare la cadrul instituțional și cel legislativ, când frecvența este semestrială) de către principala instituție responsabilă pentru implementarea ei. Informațiile referitoare la monitorizarea activităților sunt furnizate de către instituțiile responsabile Grupului de lucru pentru monitorizare și evaluare din cadrul CNZC, care va elabora un Raport anual de progres al implementării Planului.</w:t>
      </w:r>
    </w:p>
    <w:p w14:paraId="111BCE2F" w14:textId="77777777" w:rsidR="00473248" w:rsidRDefault="00473248" w:rsidP="00473248">
      <w:pPr>
        <w:pBdr>
          <w:top w:val="nil"/>
          <w:left w:val="nil"/>
          <w:bottom w:val="nil"/>
          <w:right w:val="nil"/>
          <w:between w:val="nil"/>
        </w:pBdr>
        <w:spacing w:before="0"/>
        <w:ind w:firstLine="567"/>
        <w:rPr>
          <w:rFonts w:eastAsia="Times New Roman" w:cs="Times New Roman"/>
        </w:rPr>
      </w:pPr>
      <w:r>
        <w:rPr>
          <w:rFonts w:eastAsia="Times New Roman" w:cs="Times New Roman"/>
        </w:rPr>
        <w:t>În cazul activităților cu prioritate foarte ridicată referitoare la cadrul legislativ și instituțional și cu termen de implementare 2025, va fi elaborat un raport semestrial de progres. Scopul elaborării raportului semestrial de monitorizare este de identifica eventualele probleme ce apar la implementarea activităților respective și de a se lua măsurile corective necesare.</w:t>
      </w:r>
    </w:p>
    <w:p w14:paraId="72C19AC4" w14:textId="77777777" w:rsidR="00473248" w:rsidRDefault="00473248" w:rsidP="00473248">
      <w:pPr>
        <w:pBdr>
          <w:top w:val="nil"/>
          <w:left w:val="nil"/>
          <w:bottom w:val="nil"/>
          <w:right w:val="nil"/>
          <w:between w:val="nil"/>
        </w:pBdr>
        <w:spacing w:before="0"/>
        <w:ind w:firstLine="567"/>
        <w:rPr>
          <w:rFonts w:eastAsia="Times New Roman" w:cs="Times New Roman"/>
        </w:rPr>
      </w:pPr>
      <w:r>
        <w:rPr>
          <w:rFonts w:eastAsia="Times New Roman" w:cs="Times New Roman"/>
        </w:rPr>
        <w:t>În cazul activităților cu termen de implementare 2030, în 2027, ultimul an în care instituțiile responsabile pot aplica pentru proiecte europene și / sau naționale pentru a accesa fonduri din programele de finanțare 2021 – 2027, se va elabora un raport intermediar ce va include și informațiile din rapoartele anuale. Acest raport intermediar permite CNZC evaluarea progresului realizat în implementarea activității și identificarea problemelor sau potențialelor obstacole ce pot împiedica realizare cu succes a activității respective. Pe baza evaluării progresului realizat este posibil să se efectueze ajustări periodice ale măsurilor și acțiunilor, în concordanță cu caracterul adaptiv al procesului de management a zonei costiere</w:t>
      </w:r>
    </w:p>
    <w:p w14:paraId="085B4C2A" w14:textId="77777777" w:rsidR="00473248" w:rsidRDefault="00473248" w:rsidP="00473248">
      <w:pPr>
        <w:pBdr>
          <w:top w:val="nil"/>
          <w:left w:val="nil"/>
          <w:bottom w:val="nil"/>
          <w:right w:val="nil"/>
          <w:between w:val="nil"/>
        </w:pBdr>
        <w:spacing w:before="0"/>
        <w:ind w:firstLine="567"/>
        <w:rPr>
          <w:rFonts w:eastAsia="Times New Roman" w:cs="Times New Roman"/>
        </w:rPr>
      </w:pPr>
      <w:r>
        <w:rPr>
          <w:rFonts w:eastAsia="Times New Roman" w:cs="Times New Roman"/>
        </w:rPr>
        <w:t>La finalul fiecărei activități, instituțiile responsabile vor întocmi un scurt Raport final ce va sintetiza modul de implementare al activității, rezultatele atinse și în ce măsură a contribuit la realizarea obiectivelor. Astfel, având în vedere termenele de implementare al activităților, respectiv 2025, 2027 și 2030, în toți acești ani, va fi elaborat de către Grupul de Lucru pentru monitorizare și evaluare un Raport Final (va include doar informații referitoare la activitățile ce s-au finalizat în acel an).</w:t>
      </w:r>
    </w:p>
    <w:p w14:paraId="31859D95" w14:textId="499A6546" w:rsidR="00473248" w:rsidRDefault="00473248" w:rsidP="00473248">
      <w:pPr>
        <w:pBdr>
          <w:top w:val="nil"/>
          <w:left w:val="nil"/>
          <w:bottom w:val="nil"/>
          <w:right w:val="nil"/>
          <w:between w:val="nil"/>
        </w:pBdr>
        <w:spacing w:before="0"/>
        <w:ind w:firstLine="567"/>
        <w:rPr>
          <w:rFonts w:eastAsia="Times New Roman" w:cs="Times New Roman"/>
        </w:rPr>
      </w:pPr>
      <w:r>
        <w:rPr>
          <w:rFonts w:eastAsia="Times New Roman" w:cs="Times New Roman"/>
        </w:rPr>
        <w:t>În Tabelul 2.11.1 este reprezentat Planul de monitorizare al activităților, indicându-se pentru fiecare activitate Raportul de monitorizare unde este analizat progresul realizat de respectiva activitate.</w:t>
      </w:r>
    </w:p>
    <w:p w14:paraId="6DFB2B0D" w14:textId="77777777" w:rsidR="00473248" w:rsidRDefault="00473248" w:rsidP="00473248">
      <w:pPr>
        <w:pBdr>
          <w:top w:val="nil"/>
          <w:left w:val="nil"/>
          <w:bottom w:val="nil"/>
          <w:right w:val="nil"/>
          <w:between w:val="nil"/>
        </w:pBdr>
        <w:spacing w:before="0"/>
        <w:ind w:firstLine="567"/>
        <w:rPr>
          <w:rFonts w:eastAsia="Times New Roman" w:cs="Times New Roman"/>
        </w:rPr>
      </w:pPr>
      <w:r>
        <w:rPr>
          <w:rFonts w:eastAsia="Times New Roman" w:cs="Times New Roman"/>
        </w:rPr>
        <w:t>Toate rapoartele elaborate de către grupul de lucru pentru monitorizare și evaluare, fie că sunt anuale, intermediare sau finale, vor fi comunicate tuturor părților interesate prin intermediul Planului de Comunicare.</w:t>
      </w:r>
    </w:p>
    <w:p w14:paraId="5FE0C68B" w14:textId="77777777" w:rsidR="00B30FA0" w:rsidRDefault="00B30FA0" w:rsidP="00473248">
      <w:pPr>
        <w:pBdr>
          <w:top w:val="nil"/>
          <w:left w:val="nil"/>
          <w:bottom w:val="nil"/>
          <w:right w:val="nil"/>
          <w:between w:val="nil"/>
        </w:pBdr>
        <w:spacing w:before="0"/>
        <w:ind w:firstLine="567"/>
        <w:rPr>
          <w:rFonts w:eastAsia="Times New Roman" w:cs="Times New Roman"/>
          <w:b/>
        </w:rPr>
        <w:sectPr w:rsidR="00B30FA0" w:rsidSect="00473248">
          <w:pgSz w:w="11906" w:h="16838"/>
          <w:pgMar w:top="1440" w:right="1440" w:bottom="1440" w:left="1440" w:header="0" w:footer="0" w:gutter="0"/>
          <w:cols w:space="708"/>
          <w:docGrid w:linePitch="326"/>
        </w:sectPr>
      </w:pPr>
    </w:p>
    <w:p w14:paraId="4D2DAF37" w14:textId="73935CC3" w:rsidR="00B30FA0" w:rsidRDefault="00B30FA0" w:rsidP="00B30FA0">
      <w:pPr>
        <w:pBdr>
          <w:top w:val="nil"/>
          <w:left w:val="nil"/>
          <w:bottom w:val="nil"/>
          <w:right w:val="nil"/>
          <w:between w:val="nil"/>
        </w:pBdr>
        <w:spacing w:after="200"/>
        <w:jc w:val="center"/>
        <w:rPr>
          <w:rFonts w:eastAsia="Times New Roman" w:cs="Times New Roman"/>
          <w:b/>
        </w:rPr>
      </w:pPr>
      <w:r>
        <w:rPr>
          <w:rFonts w:eastAsia="Times New Roman" w:cs="Times New Roman"/>
          <w:b/>
        </w:rPr>
        <w:lastRenderedPageBreak/>
        <w:t>Tabel 2.11.1 Plan de monitorizare al activităților</w:t>
      </w:r>
    </w:p>
    <w:p w14:paraId="6CA7C052" w14:textId="77777777" w:rsidR="00B30FA0" w:rsidRDefault="00B30FA0" w:rsidP="00B30FA0">
      <w:pPr>
        <w:pBdr>
          <w:top w:val="nil"/>
          <w:left w:val="nil"/>
          <w:bottom w:val="nil"/>
          <w:right w:val="nil"/>
          <w:between w:val="nil"/>
        </w:pBdr>
        <w:spacing w:before="0" w:after="0"/>
        <w:jc w:val="center"/>
        <w:rPr>
          <w:rFonts w:eastAsia="Times New Roman" w:cs="Times New Roman"/>
          <w:b/>
          <w:i/>
        </w:rPr>
      </w:pPr>
      <w:r>
        <w:rPr>
          <w:rFonts w:eastAsia="Times New Roman" w:cs="Times New Roman"/>
          <w:b/>
          <w:i/>
        </w:rPr>
        <w:t>Legendă: RS - Raport de progres semestrial, RA - Raport de progres anual, RI - Raport Intermediar (2025, 2027), RF - Raport final (2025, 2027, 2030</w:t>
      </w:r>
    </w:p>
    <w:tbl>
      <w:tblPr>
        <w:tblW w:w="13881" w:type="dxa"/>
        <w:tblInd w:w="-155" w:type="dxa"/>
        <w:tblLayout w:type="fixed"/>
        <w:tblLook w:val="0400" w:firstRow="0" w:lastRow="0" w:firstColumn="0" w:lastColumn="0" w:noHBand="0" w:noVBand="1"/>
      </w:tblPr>
      <w:tblGrid>
        <w:gridCol w:w="2541"/>
        <w:gridCol w:w="6095"/>
        <w:gridCol w:w="992"/>
        <w:gridCol w:w="851"/>
        <w:gridCol w:w="850"/>
        <w:gridCol w:w="851"/>
        <w:gridCol w:w="850"/>
        <w:gridCol w:w="851"/>
      </w:tblGrid>
      <w:tr w:rsidR="00B30FA0" w14:paraId="797E16BC" w14:textId="77777777" w:rsidTr="00B27196">
        <w:trPr>
          <w:trHeight w:val="440"/>
        </w:trPr>
        <w:tc>
          <w:tcPr>
            <w:tcW w:w="25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8A06D7"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Măsura</w:t>
            </w: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356C7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Activitatea</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8E6BD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b/>
                <w:color w:val="000000"/>
                <w:sz w:val="20"/>
                <w:szCs w:val="20"/>
              </w:rPr>
              <w:t>2025</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CBFEC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b/>
                <w:color w:val="000000"/>
                <w:sz w:val="20"/>
                <w:szCs w:val="20"/>
              </w:rPr>
              <w:t>2026</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FB0DA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b/>
                <w:sz w:val="20"/>
                <w:szCs w:val="20"/>
              </w:rPr>
              <w:t>2027</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47EAA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b/>
                <w:sz w:val="20"/>
                <w:szCs w:val="20"/>
              </w:rPr>
              <w:t>2028</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01F5D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b/>
                <w:color w:val="000000"/>
                <w:sz w:val="20"/>
                <w:szCs w:val="20"/>
              </w:rPr>
              <w:t>2029</w:t>
            </w:r>
          </w:p>
        </w:tc>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41058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b/>
                <w:color w:val="000000"/>
                <w:sz w:val="20"/>
                <w:szCs w:val="20"/>
              </w:rPr>
              <w:t>2030</w:t>
            </w:r>
          </w:p>
        </w:tc>
      </w:tr>
      <w:tr w:rsidR="00B30FA0" w14:paraId="178FA480" w14:textId="77777777" w:rsidTr="00B27196">
        <w:trPr>
          <w:trHeight w:val="456"/>
        </w:trPr>
        <w:tc>
          <w:tcPr>
            <w:tcW w:w="2541"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3B2374" w14:textId="77777777" w:rsidR="00B30FA0" w:rsidRPr="00B30FA0" w:rsidRDefault="00B30FA0" w:rsidP="00B30FA0">
            <w:pPr>
              <w:spacing w:after="0" w:line="240" w:lineRule="auto"/>
              <w:ind w:firstLine="42"/>
              <w:rPr>
                <w:rFonts w:eastAsia="Times New Roman" w:cs="Times New Roman"/>
                <w:color w:val="000000"/>
                <w:sz w:val="20"/>
                <w:szCs w:val="20"/>
              </w:rPr>
            </w:pPr>
          </w:p>
          <w:p w14:paraId="78CC0E66" w14:textId="77777777" w:rsidR="00B30FA0" w:rsidRPr="00B30FA0" w:rsidRDefault="00B30FA0" w:rsidP="00B30FA0">
            <w:pPr>
              <w:spacing w:after="0" w:line="240" w:lineRule="auto"/>
              <w:ind w:firstLine="42"/>
              <w:rPr>
                <w:rFonts w:eastAsia="Times New Roman" w:cs="Times New Roman"/>
                <w:color w:val="000000"/>
                <w:sz w:val="20"/>
                <w:szCs w:val="20"/>
              </w:rPr>
            </w:pPr>
          </w:p>
          <w:p w14:paraId="47516999" w14:textId="77777777" w:rsidR="00B30FA0" w:rsidRPr="00B30FA0" w:rsidRDefault="00B30FA0" w:rsidP="00B30FA0">
            <w:pPr>
              <w:spacing w:after="0" w:line="240" w:lineRule="auto"/>
              <w:ind w:firstLine="42"/>
              <w:rPr>
                <w:rFonts w:eastAsia="Times New Roman" w:cs="Times New Roman"/>
                <w:color w:val="000000"/>
                <w:sz w:val="20"/>
                <w:szCs w:val="20"/>
              </w:rPr>
            </w:pPr>
          </w:p>
          <w:p w14:paraId="194CE6E1" w14:textId="77777777" w:rsidR="00B30FA0" w:rsidRPr="00B30FA0" w:rsidRDefault="00B30FA0" w:rsidP="00B30FA0">
            <w:pPr>
              <w:spacing w:after="0" w:line="240" w:lineRule="auto"/>
              <w:ind w:firstLine="42"/>
              <w:rPr>
                <w:rFonts w:eastAsia="Times New Roman" w:cs="Times New Roman"/>
                <w:color w:val="000000"/>
                <w:sz w:val="20"/>
                <w:szCs w:val="20"/>
              </w:rPr>
            </w:pPr>
          </w:p>
          <w:p w14:paraId="3642067A" w14:textId="77777777" w:rsidR="00B30FA0" w:rsidRPr="00B30FA0" w:rsidRDefault="00B30FA0" w:rsidP="00B30FA0">
            <w:pPr>
              <w:spacing w:after="0" w:line="240" w:lineRule="auto"/>
              <w:ind w:firstLine="42"/>
              <w:rPr>
                <w:rFonts w:eastAsia="Times New Roman" w:cs="Times New Roman"/>
                <w:color w:val="000000"/>
                <w:sz w:val="20"/>
                <w:szCs w:val="20"/>
              </w:rPr>
            </w:pPr>
          </w:p>
          <w:p w14:paraId="1DFF4DC4" w14:textId="77777777" w:rsidR="00B30FA0" w:rsidRPr="00B30FA0" w:rsidRDefault="00B30FA0" w:rsidP="00B30FA0">
            <w:pPr>
              <w:spacing w:after="0" w:line="240" w:lineRule="auto"/>
              <w:ind w:firstLine="42"/>
              <w:rPr>
                <w:rFonts w:eastAsia="Times New Roman" w:cs="Times New Roman"/>
                <w:color w:val="000000"/>
                <w:sz w:val="20"/>
                <w:szCs w:val="20"/>
              </w:rPr>
            </w:pPr>
          </w:p>
          <w:p w14:paraId="66570AB4" w14:textId="77777777" w:rsidR="00B30FA0" w:rsidRPr="00B30FA0" w:rsidRDefault="00B30FA0" w:rsidP="00B30FA0">
            <w:pPr>
              <w:spacing w:after="0" w:line="240" w:lineRule="auto"/>
              <w:ind w:firstLine="42"/>
              <w:rPr>
                <w:rFonts w:eastAsia="Times New Roman" w:cs="Times New Roman"/>
                <w:color w:val="000000"/>
                <w:sz w:val="20"/>
                <w:szCs w:val="20"/>
              </w:rPr>
            </w:pPr>
          </w:p>
          <w:p w14:paraId="34428591" w14:textId="77777777" w:rsidR="00B30FA0" w:rsidRPr="00B30FA0" w:rsidRDefault="00B30FA0" w:rsidP="00B30FA0">
            <w:pPr>
              <w:spacing w:after="0" w:line="240" w:lineRule="auto"/>
              <w:ind w:firstLine="42"/>
              <w:rPr>
                <w:rFonts w:eastAsia="Times New Roman" w:cs="Times New Roman"/>
                <w:color w:val="000000"/>
                <w:sz w:val="20"/>
                <w:szCs w:val="20"/>
              </w:rPr>
            </w:pPr>
          </w:p>
          <w:p w14:paraId="770ACDE9"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color w:val="000000"/>
                <w:sz w:val="20"/>
                <w:szCs w:val="20"/>
              </w:rPr>
              <w:t>M1.1 Consolidarea mecanismului instituțional</w:t>
            </w: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8A535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color w:val="000000"/>
                <w:sz w:val="20"/>
                <w:szCs w:val="20"/>
                <w:highlight w:val="white"/>
              </w:rPr>
              <w:t>Revizuirea / completarea OUG 202/2002 cu privire la organizarea și componența CNZC</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ACEA0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RS /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99B0740"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B721411"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278A6B7"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9A0B2D1"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4F8CAFA"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5519F358"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A68781"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A96B3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Revizuirea actelor normative subsecvente pentru funcționarea CNZC, precum și completarea cu alte reglementări pentru aprobarea proceduri de lucru pentru grupurile de experți, cooperarea cu STA-ZC, emiterea avizelor, etc.</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838A9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RS /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A6828EE"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8F71226" w14:textId="77777777" w:rsidR="00B30FA0" w:rsidRPr="007F03BC" w:rsidRDefault="00B30FA0" w:rsidP="00B30FA0">
            <w:pPr>
              <w:spacing w:after="0" w:line="240" w:lineRule="auto"/>
              <w:ind w:firstLine="0"/>
              <w:rPr>
                <w:rFonts w:eastAsia="Times New Roman" w:cs="Times New Roman"/>
                <w:sz w:val="20"/>
                <w:szCs w:val="20"/>
                <w:lang w:val="en-US"/>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97FED8E"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BC951CE"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55410EC"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21B37E9D"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9946FE"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4557D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Realizarea unei liste largi cu experți în vederea selectării acestora în vederea constituirii Grupurilor de Lucru</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46A2B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RS /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9DD7D15"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1145B6E"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5046BC4"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5A7321D"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A3A82AA"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0F8D5175"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0D121E"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7CF4D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Elaborarea unui studiu pentru stabilirea structurii bazei de date a Observatorului zonei costiere și a soluțiilor instituționale pentru gestionare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CADF1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RS /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BDE15AF"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1F28C40"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0FB5D80"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63EC0B5"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073A4FD"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435D157E"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7ABD49"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BC73C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Elaborarea și aprobarea reglementărilor necesare înființării și funcționării;</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B3A15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RS /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C408773"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2993D9D"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BDD8D06"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D77E29E"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B3D8D28"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3ED4691E" w14:textId="77777777" w:rsidTr="00B27196">
        <w:trPr>
          <w:trHeight w:val="290"/>
        </w:trPr>
        <w:tc>
          <w:tcPr>
            <w:tcW w:w="2541"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0E5412"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BC137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Programe de instruire a operatorilor de baze de date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43059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13AFBA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ED40DA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 xml:space="preserve"> 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81D9CE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319622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FD80F6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026937F4"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D1774A"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DA587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Realizarea legăturilor instituționale pentru asigurarea schimbului de date și informații cu alte sisteme de date, aparținând altor instituții</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803CA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RS /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0A466EE"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E0D8736"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808F8C9"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B3D0C83"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015E119"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2A74AA72" w14:textId="77777777" w:rsidTr="00B27196">
        <w:trPr>
          <w:trHeight w:val="440"/>
        </w:trPr>
        <w:tc>
          <w:tcPr>
            <w:tcW w:w="2541" w:type="dxa"/>
            <w:vMerge w:val="restart"/>
            <w:tcBorders>
              <w:top w:val="single" w:sz="8" w:space="0" w:color="000000"/>
              <w:left w:val="single" w:sz="8" w:space="0" w:color="000000"/>
              <w:right w:val="single" w:sz="8" w:space="0" w:color="000000"/>
            </w:tcBorders>
            <w:vAlign w:val="center"/>
          </w:tcPr>
          <w:p w14:paraId="19944424"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M1.2 Revizuirea cadrului legislativ referitor la delimitarea zonei costiere</w:t>
            </w: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06CAE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Elaborarea unui studiu centralizat pentru toată zona costieră pentru stabilirea spațiilor critice din zona costieră</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A30F1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RS /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5875D11"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50A4258"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5A01CD5"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A7F02AC"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59684E1"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74153CA9" w14:textId="77777777" w:rsidTr="00B27196">
        <w:trPr>
          <w:trHeight w:val="440"/>
        </w:trPr>
        <w:tc>
          <w:tcPr>
            <w:tcW w:w="2541" w:type="dxa"/>
            <w:vMerge/>
            <w:tcBorders>
              <w:top w:val="single" w:sz="8" w:space="0" w:color="000000"/>
              <w:left w:val="single" w:sz="8" w:space="0" w:color="000000"/>
              <w:right w:val="single" w:sz="8" w:space="0" w:color="000000"/>
            </w:tcBorders>
            <w:vAlign w:val="center"/>
          </w:tcPr>
          <w:p w14:paraId="58BB90E2"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B2142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Stabilirea criteriilor de delimitare a spațiilor sensibile / critice / vulnerabile din zona costieră;</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BC052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RS/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81E2246"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715BC5C"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7E7EE10"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7A4B116"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42A413A"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05E0D637" w14:textId="77777777" w:rsidTr="00B27196">
        <w:trPr>
          <w:trHeight w:val="440"/>
        </w:trPr>
        <w:tc>
          <w:tcPr>
            <w:tcW w:w="2541" w:type="dxa"/>
            <w:vMerge/>
            <w:tcBorders>
              <w:top w:val="single" w:sz="8" w:space="0" w:color="000000"/>
              <w:left w:val="single" w:sz="8" w:space="0" w:color="000000"/>
              <w:right w:val="single" w:sz="8" w:space="0" w:color="000000"/>
            </w:tcBorders>
            <w:vAlign w:val="center"/>
          </w:tcPr>
          <w:p w14:paraId="6DC5237E"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EF7B9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Elaborarea și aprobarea proiectelor de revizuire a OUG 202/2002, precum și a actelor normative subsecvente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65B34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C9AF5E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FD822E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1BF505B"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37A907F"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061F06"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1675ACE4" w14:textId="77777777" w:rsidTr="00B27196">
        <w:trPr>
          <w:trHeight w:val="440"/>
        </w:trPr>
        <w:tc>
          <w:tcPr>
            <w:tcW w:w="2541" w:type="dxa"/>
            <w:vMerge w:val="restart"/>
            <w:tcBorders>
              <w:top w:val="single" w:sz="8" w:space="0" w:color="000000"/>
              <w:left w:val="single" w:sz="8" w:space="0" w:color="000000"/>
              <w:right w:val="single" w:sz="8" w:space="0" w:color="000000"/>
            </w:tcBorders>
            <w:vAlign w:val="center"/>
          </w:tcPr>
          <w:p w14:paraId="1D86B5D4"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M1.3. Consolidarea capacității umane a aparatului administrativ</w:t>
            </w: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FA4FD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Identificarea beneficiarilor instituționali potențiali și a nevoii acestora de asistență tehnică</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D5B9D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RS/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647DCBA"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DEBA111"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38EC650"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75AF3A8"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74252F8"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55CE6CAA" w14:textId="77777777" w:rsidTr="00B27196">
        <w:trPr>
          <w:trHeight w:val="367"/>
        </w:trPr>
        <w:tc>
          <w:tcPr>
            <w:tcW w:w="2541" w:type="dxa"/>
            <w:vMerge/>
            <w:tcBorders>
              <w:top w:val="single" w:sz="8" w:space="0" w:color="000000"/>
              <w:left w:val="single" w:sz="8" w:space="0" w:color="000000"/>
              <w:right w:val="single" w:sz="8" w:space="0" w:color="000000"/>
            </w:tcBorders>
            <w:vAlign w:val="center"/>
          </w:tcPr>
          <w:p w14:paraId="3B767488"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6146B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Elaborarea planului de acțiuni de asistență tehnică</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E3CFD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RS/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EA99618"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AEFDD87"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F125077"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CA5EFEB"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4F212F8"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3BF7662D" w14:textId="77777777" w:rsidTr="00B27196">
        <w:trPr>
          <w:trHeight w:val="277"/>
        </w:trPr>
        <w:tc>
          <w:tcPr>
            <w:tcW w:w="2541" w:type="dxa"/>
            <w:vMerge/>
            <w:tcBorders>
              <w:top w:val="single" w:sz="8" w:space="0" w:color="000000"/>
              <w:left w:val="single" w:sz="8" w:space="0" w:color="000000"/>
              <w:right w:val="single" w:sz="8" w:space="0" w:color="000000"/>
            </w:tcBorders>
            <w:vAlign w:val="center"/>
          </w:tcPr>
          <w:p w14:paraId="6B2B94EA"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FCC91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Implementarea planului de acțiuni de Asistență Tehnică</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BA9F5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77EAFD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22D55B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03D988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6107CF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196A9A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6A14E7FC" w14:textId="77777777" w:rsidTr="00B27196">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1D17A597" w14:textId="77777777" w:rsidR="00B30FA0" w:rsidRPr="00B30FA0" w:rsidRDefault="00B30FA0" w:rsidP="00B30FA0">
            <w:pPr>
              <w:spacing w:after="0" w:line="240" w:lineRule="auto"/>
              <w:ind w:firstLine="42"/>
              <w:rPr>
                <w:rFonts w:eastAsia="Times New Roman" w:cs="Times New Roman"/>
                <w:sz w:val="20"/>
                <w:szCs w:val="20"/>
              </w:rPr>
            </w:pPr>
          </w:p>
          <w:p w14:paraId="2F385225" w14:textId="77777777" w:rsidR="00B30FA0" w:rsidRPr="00B30FA0" w:rsidRDefault="00B30FA0" w:rsidP="00B30FA0">
            <w:pPr>
              <w:spacing w:after="0" w:line="240" w:lineRule="auto"/>
              <w:ind w:firstLine="42"/>
              <w:rPr>
                <w:rFonts w:eastAsia="Times New Roman" w:cs="Times New Roman"/>
                <w:sz w:val="20"/>
                <w:szCs w:val="20"/>
              </w:rPr>
            </w:pPr>
          </w:p>
          <w:p w14:paraId="1EB42970"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M1.4 Creșterea gradului de participare a tuturor factorilor implicați în gestionarea zonei costiere</w:t>
            </w:r>
          </w:p>
          <w:p w14:paraId="00A678EB" w14:textId="77777777" w:rsidR="00B30FA0" w:rsidRPr="00B30FA0" w:rsidRDefault="00B30FA0" w:rsidP="00B30FA0">
            <w:pPr>
              <w:spacing w:after="0" w:line="240" w:lineRule="auto"/>
              <w:ind w:firstLine="42"/>
              <w:rPr>
                <w:rFonts w:eastAsia="Times New Roman" w:cs="Times New Roman"/>
                <w:sz w:val="20"/>
                <w:szCs w:val="20"/>
              </w:rPr>
            </w:pPr>
          </w:p>
          <w:p w14:paraId="0D7990F0" w14:textId="77777777" w:rsidR="00B30FA0" w:rsidRPr="00B30FA0" w:rsidRDefault="00B30FA0" w:rsidP="00B30FA0">
            <w:pPr>
              <w:spacing w:after="0" w:line="240" w:lineRule="auto"/>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B9F83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Elaborarea unui Plan de comunicare al Strategiei naționale pentru managementul integrat a zonei costiere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734D3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RS/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A65741B"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124187C"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CC1D73"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192746F"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A898DE1"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1839ACA5"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3F149EA4"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16C93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Promovarea, prin campanii de conștientizare, a unui instrument de tip citizen-science în vederea implicării directe a cetățenilor, pe bază de voluntariat, în procesul de management integrat al zonei costiere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32932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D4349C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971591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C748BD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E26B7C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E6588A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4E7278E2"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77A0EE36"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DF774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Organizare de cursuri periodice de instruire a voluntarilor în aplicarea tehnicilor de monitoring</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EF4A0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RS /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CF82F7C"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8427751"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8E86560"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685CC98"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606D051"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727E18B7"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18945E8E"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FC290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Realizarea unui mecanism care să permită accesul voluntarilor la infrastructura de monitorizare a organizațiilor specializate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BDE6C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RS /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24B2AD8"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8B7967A"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614C9BF"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68C6EF0"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488E31F"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2609A49E" w14:textId="77777777" w:rsidTr="00B27196">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6A87195E"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M1.5 Creșterea eficienței supravegherii și controlului utilizării resurselor zonei costiere</w:t>
            </w:r>
          </w:p>
          <w:p w14:paraId="5BE512C6" w14:textId="77777777" w:rsidR="00B30FA0" w:rsidRPr="00B30FA0" w:rsidRDefault="00B30FA0" w:rsidP="00B30FA0">
            <w:pPr>
              <w:spacing w:after="0" w:line="240" w:lineRule="auto"/>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0E17C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Dezvoltarea unor mecanisme pentru îmbunătățirea coordonării acțiunilor entităților /organizațiilor responsabile pentru supravegherea și controlul activităților de pescuit, poluării apelor subterane și de suprafață, poluării solului, construcțiilor ilegale, etc.;</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B35C6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RS /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4ECA1EC"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50CD816"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8CABFC6"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52BEB77"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0F51A96"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38B0363F" w14:textId="77777777" w:rsidTr="00B27196">
        <w:trPr>
          <w:trHeight w:val="298"/>
        </w:trPr>
        <w:tc>
          <w:tcPr>
            <w:tcW w:w="2541" w:type="dxa"/>
            <w:vMerge/>
            <w:tcBorders>
              <w:top w:val="single" w:sz="8" w:space="0" w:color="000000"/>
              <w:left w:val="single" w:sz="8" w:space="0" w:color="000000"/>
              <w:bottom w:val="single" w:sz="8" w:space="0" w:color="000000"/>
              <w:right w:val="single" w:sz="8" w:space="0" w:color="000000"/>
            </w:tcBorders>
            <w:vAlign w:val="center"/>
          </w:tcPr>
          <w:p w14:paraId="5AFCF6BF"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92E3D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Realizarea periodică de programe de instruire a personalului de control;</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3A880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380D90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11361C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F9BB10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2E3B5F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4C946D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329FCE84" w14:textId="77777777" w:rsidTr="00B27196">
        <w:trPr>
          <w:trHeight w:val="351"/>
        </w:trPr>
        <w:tc>
          <w:tcPr>
            <w:tcW w:w="2541" w:type="dxa"/>
            <w:vMerge/>
            <w:tcBorders>
              <w:top w:val="single" w:sz="8" w:space="0" w:color="000000"/>
              <w:left w:val="single" w:sz="8" w:space="0" w:color="000000"/>
              <w:bottom w:val="single" w:sz="8" w:space="0" w:color="000000"/>
              <w:right w:val="single" w:sz="8" w:space="0" w:color="000000"/>
            </w:tcBorders>
            <w:vAlign w:val="center"/>
          </w:tcPr>
          <w:p w14:paraId="5B1DDDEF"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D80BD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 xml:space="preserve">Realizarea de programe de consolidare a capacităților tehnice </w:t>
            </w:r>
          </w:p>
        </w:tc>
        <w:tc>
          <w:tcPr>
            <w:tcW w:w="992"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324C08A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29F4FA0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3628FF6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5DDB5EA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43CBCC2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7C6465B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0AD6A2E5" w14:textId="77777777" w:rsidTr="00B27196">
        <w:trPr>
          <w:trHeight w:val="351"/>
        </w:trPr>
        <w:tc>
          <w:tcPr>
            <w:tcW w:w="2541" w:type="dxa"/>
            <w:vMerge w:val="restart"/>
            <w:tcBorders>
              <w:top w:val="single" w:sz="8" w:space="0" w:color="000000"/>
              <w:left w:val="single" w:sz="8" w:space="0" w:color="000000"/>
              <w:right w:val="single" w:sz="8" w:space="0" w:color="000000"/>
            </w:tcBorders>
            <w:vAlign w:val="center"/>
          </w:tcPr>
          <w:p w14:paraId="37C2631D"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M2.1 Creșterea eficienței protecției, conservării și restaurării patrimoniului cultural existent de interes național (monumente istorice, situri, imobile sau amenajări cu valoare arhitectural urbanistică, precum și peisajele din zona costieră)</w:t>
            </w: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611C1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Inițierea și implementarea de programe de promovare a identității și a patrimoniului cultural local și regional, material și imaterial, precum și de punere în valoare a clădirilor cu valoare arhitecturală şi culturală pentru comunitate</w:t>
            </w:r>
          </w:p>
        </w:tc>
        <w:tc>
          <w:tcPr>
            <w:tcW w:w="992"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2380507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0C9AB29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25C2969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3517CDC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6D3D807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6B75374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26D51DE9" w14:textId="77777777" w:rsidTr="00B27196">
        <w:trPr>
          <w:trHeight w:val="351"/>
        </w:trPr>
        <w:tc>
          <w:tcPr>
            <w:tcW w:w="2541" w:type="dxa"/>
            <w:vMerge/>
            <w:tcBorders>
              <w:top w:val="single" w:sz="8" w:space="0" w:color="000000"/>
              <w:left w:val="single" w:sz="8" w:space="0" w:color="000000"/>
              <w:right w:val="single" w:sz="8" w:space="0" w:color="000000"/>
            </w:tcBorders>
            <w:vAlign w:val="center"/>
          </w:tcPr>
          <w:p w14:paraId="6733E7A8"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4B0846" w14:textId="035877CA"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 xml:space="preserve">Implementarea de proiecte pilot de reabilitare a patrimoniului cultural local și regional, material și </w:t>
            </w:r>
            <w:r w:rsidR="00117E56">
              <w:rPr>
                <w:rFonts w:eastAsia="Times New Roman" w:cs="Times New Roman"/>
                <w:sz w:val="20"/>
                <w:szCs w:val="20"/>
              </w:rPr>
              <w:t>immaterial</w:t>
            </w:r>
          </w:p>
        </w:tc>
        <w:tc>
          <w:tcPr>
            <w:tcW w:w="992"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5289430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76DCC54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0E88D99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33100A2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0962A95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2907AF1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64DE8A02" w14:textId="77777777" w:rsidTr="00B27196">
        <w:trPr>
          <w:trHeight w:val="351"/>
        </w:trPr>
        <w:tc>
          <w:tcPr>
            <w:tcW w:w="2541" w:type="dxa"/>
            <w:vMerge/>
            <w:tcBorders>
              <w:top w:val="single" w:sz="8" w:space="0" w:color="000000"/>
              <w:left w:val="single" w:sz="8" w:space="0" w:color="000000"/>
              <w:right w:val="single" w:sz="8" w:space="0" w:color="000000"/>
            </w:tcBorders>
            <w:vAlign w:val="center"/>
          </w:tcPr>
          <w:p w14:paraId="58E94697"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45EB9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Inițierea și implementarea de programe-cadru de dezvoltare locală care să aibă în vedere regenerarea urbană și reabilitarea centrelor urbane cu valoare istorică</w:t>
            </w:r>
          </w:p>
        </w:tc>
        <w:tc>
          <w:tcPr>
            <w:tcW w:w="992"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7D6CE14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550BCC5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40AC0EF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23C7B56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3F874B2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445AA7A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5D288103" w14:textId="77777777" w:rsidTr="00B27196">
        <w:trPr>
          <w:trHeight w:val="351"/>
        </w:trPr>
        <w:tc>
          <w:tcPr>
            <w:tcW w:w="2541" w:type="dxa"/>
            <w:vMerge/>
            <w:tcBorders>
              <w:top w:val="single" w:sz="8" w:space="0" w:color="000000"/>
              <w:left w:val="single" w:sz="8" w:space="0" w:color="000000"/>
              <w:right w:val="single" w:sz="8" w:space="0" w:color="000000"/>
            </w:tcBorders>
            <w:vAlign w:val="center"/>
          </w:tcPr>
          <w:p w14:paraId="48614E7C"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0CCA2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Implementarea de proiecte de evaluare și prevenire a riscurilor pentru protejarea patrimoniului cultural de efectele dezastrelor naturale și de amenințările determinate de acțiunea uman</w:t>
            </w:r>
          </w:p>
        </w:tc>
        <w:tc>
          <w:tcPr>
            <w:tcW w:w="992" w:type="dxa"/>
            <w:tcBorders>
              <w:top w:val="single" w:sz="8" w:space="0" w:color="000000"/>
              <w:left w:val="single" w:sz="8" w:space="0" w:color="000000"/>
              <w:bottom w:val="single" w:sz="4" w:space="0" w:color="000000"/>
              <w:right w:val="single" w:sz="8" w:space="0" w:color="000000"/>
            </w:tcBorders>
            <w:tcMar>
              <w:top w:w="100" w:type="dxa"/>
              <w:left w:w="100" w:type="dxa"/>
              <w:bottom w:w="100" w:type="dxa"/>
              <w:right w:w="100" w:type="dxa"/>
            </w:tcMar>
          </w:tcPr>
          <w:p w14:paraId="7DB3411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60D4AE7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5A355A4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4BD624B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714BA47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7DF28D6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69D03567" w14:textId="77777777" w:rsidTr="00B27196">
        <w:trPr>
          <w:trHeight w:val="676"/>
        </w:trPr>
        <w:tc>
          <w:tcPr>
            <w:tcW w:w="2541" w:type="dxa"/>
            <w:vMerge w:val="restart"/>
            <w:tcBorders>
              <w:top w:val="single" w:sz="8" w:space="0" w:color="000000"/>
              <w:left w:val="single" w:sz="8" w:space="0" w:color="000000"/>
              <w:right w:val="single" w:sz="8" w:space="0" w:color="000000"/>
            </w:tcBorders>
            <w:vAlign w:val="center"/>
          </w:tcPr>
          <w:p w14:paraId="75EA3803"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M.2.2. Alcătuirea cadastrului monumentelor și siturilor arheologice</w:t>
            </w:r>
          </w:p>
        </w:tc>
        <w:tc>
          <w:tcPr>
            <w:tcW w:w="6095"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3573C8D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 xml:space="preserve">Crearea unei baze de date geospațiale a monumentelor și siturilor arheologice din Lista Monumentelor Istorice pentru zona costieră;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5EBF25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7BCA31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ACA492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D65512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2E74C4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E65934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179BA7F5" w14:textId="77777777" w:rsidTr="00B27196">
        <w:trPr>
          <w:trHeight w:val="676"/>
        </w:trPr>
        <w:tc>
          <w:tcPr>
            <w:tcW w:w="2541" w:type="dxa"/>
            <w:vMerge/>
            <w:tcBorders>
              <w:top w:val="single" w:sz="8" w:space="0" w:color="000000"/>
              <w:left w:val="single" w:sz="8" w:space="0" w:color="000000"/>
              <w:right w:val="single" w:sz="8" w:space="0" w:color="000000"/>
            </w:tcBorders>
            <w:vAlign w:val="center"/>
          </w:tcPr>
          <w:p w14:paraId="739DA11B"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013A903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Realizarea unui atlas al elementelor de patrimoniu construit din LMI din zona costieră;</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EBAFD6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698EC9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3B9C97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9733EF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544387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5361A4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5EA46849" w14:textId="77777777" w:rsidTr="00B27196">
        <w:trPr>
          <w:trHeight w:val="676"/>
        </w:trPr>
        <w:tc>
          <w:tcPr>
            <w:tcW w:w="2541" w:type="dxa"/>
            <w:vMerge/>
            <w:tcBorders>
              <w:top w:val="single" w:sz="8" w:space="0" w:color="000000"/>
              <w:left w:val="single" w:sz="8" w:space="0" w:color="000000"/>
              <w:right w:val="single" w:sz="8" w:space="0" w:color="000000"/>
            </w:tcBorders>
            <w:vAlign w:val="center"/>
          </w:tcPr>
          <w:p w14:paraId="49872D62"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61E4D81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Identificarea regimului de proprietate pentru monumentele și siturile din LMI de grupă valorică A (de importanță națională și internațională) din zona costieră.</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3432C9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311AFA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88DB3D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F388B0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73A828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AAE5FF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00ED7C66" w14:textId="77777777" w:rsidTr="00B27196">
        <w:trPr>
          <w:trHeight w:val="513"/>
        </w:trPr>
        <w:tc>
          <w:tcPr>
            <w:tcW w:w="2541" w:type="dxa"/>
            <w:vMerge w:val="restart"/>
            <w:tcBorders>
              <w:left w:val="single" w:sz="8" w:space="0" w:color="000000"/>
              <w:right w:val="single" w:sz="8" w:space="0" w:color="000000"/>
            </w:tcBorders>
            <w:vAlign w:val="center"/>
          </w:tcPr>
          <w:p w14:paraId="6441A563"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 xml:space="preserve">M2.3 Inventarierea, cercetarea și punerea în </w:t>
            </w:r>
            <w:r w:rsidRPr="00B30FA0">
              <w:rPr>
                <w:rFonts w:eastAsia="Times New Roman" w:cs="Times New Roman"/>
                <w:sz w:val="20"/>
                <w:szCs w:val="20"/>
              </w:rPr>
              <w:lastRenderedPageBreak/>
              <w:t>valoare a patrimoniului cultural subacvatic</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572C43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lastRenderedPageBreak/>
              <w:t>A 2.3.1 Modificarea cadrului legislativ privitor la cercetarea arheologică a mediului subacvatic</w:t>
            </w:r>
          </w:p>
        </w:tc>
        <w:tc>
          <w:tcPr>
            <w:tcW w:w="99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EDF735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RS / RF</w:t>
            </w:r>
          </w:p>
        </w:tc>
        <w:tc>
          <w:tcPr>
            <w:tcW w:w="851"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3D588AE6"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08D57F89"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018A666B"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3587BA77"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3309256C"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4BDDC6B7" w14:textId="77777777" w:rsidTr="00B27196">
        <w:trPr>
          <w:trHeight w:val="676"/>
        </w:trPr>
        <w:tc>
          <w:tcPr>
            <w:tcW w:w="2541" w:type="dxa"/>
            <w:vMerge/>
            <w:tcBorders>
              <w:left w:val="single" w:sz="8" w:space="0" w:color="000000"/>
              <w:right w:val="single" w:sz="8" w:space="0" w:color="000000"/>
            </w:tcBorders>
            <w:vAlign w:val="center"/>
          </w:tcPr>
          <w:p w14:paraId="31CA1891"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11D3F6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A 2.3.2 Inițierea și implementarea unui program național de pregătire și formare profesională a arheologilor, în scopul constituirii unui corp profesional dedicat domeniului care să asigure standarde de calitate ale intervenţiilor de cercetare și conservare a patrimoniului cultural subacvatic</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A1637C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165EDC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6084D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7D6501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3CAECC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AEA5C2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721EE8B4" w14:textId="77777777" w:rsidTr="00B27196">
        <w:trPr>
          <w:trHeight w:val="415"/>
        </w:trPr>
        <w:tc>
          <w:tcPr>
            <w:tcW w:w="2541" w:type="dxa"/>
            <w:vMerge/>
            <w:tcBorders>
              <w:left w:val="single" w:sz="8" w:space="0" w:color="000000"/>
              <w:right w:val="single" w:sz="8" w:space="0" w:color="000000"/>
            </w:tcBorders>
            <w:vAlign w:val="center"/>
          </w:tcPr>
          <w:p w14:paraId="161D3B11"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A6FB3D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A 2.3.3. Înființarea unui centru de cercetări arheologice subacvatice, dotat cu aparatura și tehnica necesare derulării acestui tip de investigații</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52656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609838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6079AB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CC78C6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E61A25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29E689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0D06FB8C" w14:textId="77777777" w:rsidTr="00B27196">
        <w:trPr>
          <w:trHeight w:val="676"/>
        </w:trPr>
        <w:tc>
          <w:tcPr>
            <w:tcW w:w="2541" w:type="dxa"/>
            <w:vMerge/>
            <w:tcBorders>
              <w:left w:val="single" w:sz="8" w:space="0" w:color="000000"/>
              <w:right w:val="single" w:sz="8" w:space="0" w:color="000000"/>
            </w:tcBorders>
            <w:vAlign w:val="center"/>
          </w:tcPr>
          <w:p w14:paraId="26D233A8"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9148E0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A 2.3.4 Realizarea unei baze de date care va cuprinde informații istorice, descriptive și spațiale privitoare la patrimoniul cultural și peisajul istoric subacvatic</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499356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4A367B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BCFD95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FD2897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AF1964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11E935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552BF4B8" w14:textId="77777777" w:rsidTr="00B27196">
        <w:trPr>
          <w:trHeight w:val="676"/>
        </w:trPr>
        <w:tc>
          <w:tcPr>
            <w:tcW w:w="2541" w:type="dxa"/>
            <w:vMerge/>
            <w:tcBorders>
              <w:left w:val="single" w:sz="8" w:space="0" w:color="000000"/>
              <w:right w:val="single" w:sz="8" w:space="0" w:color="000000"/>
            </w:tcBorders>
            <w:vAlign w:val="center"/>
          </w:tcPr>
          <w:p w14:paraId="5FECF144"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FF0A70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A 2.3.5 Crearea în cadrul muzeelor de istorie și arheologie de infrastructuri pentru analiza, conservarea și restaurarea patrimoniului cultural subacvatic, asigurându-se astfel păstrarea în condiții optime, punerea în valoare și accesibilitatea atât pentru specialiști, cât și publicul larg</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E44166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51D227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9C1465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6B365A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B4F4B1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BFFF37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13DEB0B5" w14:textId="77777777" w:rsidTr="00B27196">
        <w:trPr>
          <w:trHeight w:val="148"/>
        </w:trPr>
        <w:tc>
          <w:tcPr>
            <w:tcW w:w="2541" w:type="dxa"/>
            <w:vMerge w:val="restart"/>
            <w:tcBorders>
              <w:top w:val="single" w:sz="8" w:space="0" w:color="000000"/>
              <w:left w:val="single" w:sz="8" w:space="0" w:color="000000"/>
              <w:right w:val="single" w:sz="8" w:space="0" w:color="000000"/>
            </w:tcBorders>
            <w:vAlign w:val="center"/>
          </w:tcPr>
          <w:p w14:paraId="1258249E"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M2.4</w:t>
            </w:r>
            <w:r w:rsidRPr="00B30FA0">
              <w:rPr>
                <w:sz w:val="20"/>
                <w:szCs w:val="20"/>
              </w:rPr>
              <w:t xml:space="preserve"> </w:t>
            </w:r>
            <w:r w:rsidRPr="00B30FA0">
              <w:rPr>
                <w:rFonts w:eastAsia="Times New Roman" w:cs="Times New Roman"/>
                <w:sz w:val="20"/>
                <w:szCs w:val="20"/>
              </w:rPr>
              <w:t>Inventarierea și refacerea peisajului costier</w:t>
            </w:r>
          </w:p>
        </w:tc>
        <w:tc>
          <w:tcPr>
            <w:tcW w:w="6095"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5A8178D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Elaborarea unei metodologii pentru inventarierea și evaluarea peisajului costier</w:t>
            </w:r>
          </w:p>
        </w:tc>
        <w:tc>
          <w:tcPr>
            <w:tcW w:w="99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405E03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0769CF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1701EB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05577022"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0675826D"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65193A4E"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45B74FD8" w14:textId="77777777" w:rsidTr="00B27196">
        <w:trPr>
          <w:trHeight w:val="148"/>
        </w:trPr>
        <w:tc>
          <w:tcPr>
            <w:tcW w:w="2541" w:type="dxa"/>
            <w:vMerge/>
            <w:tcBorders>
              <w:top w:val="single" w:sz="8" w:space="0" w:color="000000"/>
              <w:left w:val="single" w:sz="8" w:space="0" w:color="000000"/>
              <w:right w:val="single" w:sz="8" w:space="0" w:color="000000"/>
            </w:tcBorders>
            <w:vAlign w:val="center"/>
          </w:tcPr>
          <w:p w14:paraId="612DD895"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36DABB4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Realizarea atlasului peisajului costier</w:t>
            </w:r>
          </w:p>
        </w:tc>
        <w:tc>
          <w:tcPr>
            <w:tcW w:w="99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04E480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62E6D8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E2D330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370B9159"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51D3DC32"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47B35456"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6808ED95" w14:textId="77777777" w:rsidTr="00B27196">
        <w:trPr>
          <w:trHeight w:val="148"/>
        </w:trPr>
        <w:tc>
          <w:tcPr>
            <w:tcW w:w="2541" w:type="dxa"/>
            <w:vMerge/>
            <w:tcBorders>
              <w:top w:val="single" w:sz="8" w:space="0" w:color="000000"/>
              <w:left w:val="single" w:sz="8" w:space="0" w:color="000000"/>
              <w:right w:val="single" w:sz="8" w:space="0" w:color="000000"/>
            </w:tcBorders>
            <w:vAlign w:val="center"/>
          </w:tcPr>
          <w:p w14:paraId="247EDAD3"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14:paraId="319DA3D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Elaborarea unei metodologii / ghid pentru programele de conservare /reabilitare / valorificare a peisajului costier</w:t>
            </w:r>
          </w:p>
        </w:tc>
        <w:tc>
          <w:tcPr>
            <w:tcW w:w="99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7A2A0F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5059F8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3C61E0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227A51BA"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499E10FB"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4FFE40CE"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4FDBE331" w14:textId="77777777" w:rsidTr="00B27196">
        <w:trPr>
          <w:trHeight w:val="440"/>
        </w:trPr>
        <w:tc>
          <w:tcPr>
            <w:tcW w:w="2541" w:type="dxa"/>
            <w:vMerge w:val="restart"/>
            <w:tcBorders>
              <w:top w:val="single" w:sz="8" w:space="0" w:color="000000"/>
              <w:left w:val="single" w:sz="8" w:space="0" w:color="000000"/>
              <w:right w:val="single" w:sz="8" w:space="0" w:color="000000"/>
            </w:tcBorders>
            <w:vAlign w:val="center"/>
          </w:tcPr>
          <w:p w14:paraId="398F69A9"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M3.1 Creșterea gradului de protecție și conservare a habitatelor zonei costiere</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DD54DE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Stabilirea unui cadru de guvernanță consolidat pentru a remedia disparitățile existente, pentru a asigura punerea în aplicare deplină a legislației UE și care sa reunească toate eforturile existente.</w:t>
            </w:r>
          </w:p>
        </w:tc>
        <w:tc>
          <w:tcPr>
            <w:tcW w:w="992" w:type="dxa"/>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19E0F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AD86C5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BC08B0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4"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4A1CA6F"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4"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DDFBDB8"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4"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B7E1AEE"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02E1A30C" w14:textId="77777777" w:rsidTr="00B27196">
        <w:trPr>
          <w:trHeight w:val="440"/>
        </w:trPr>
        <w:tc>
          <w:tcPr>
            <w:tcW w:w="2541" w:type="dxa"/>
            <w:vMerge/>
            <w:tcBorders>
              <w:top w:val="single" w:sz="8" w:space="0" w:color="000000"/>
              <w:left w:val="single" w:sz="8" w:space="0" w:color="000000"/>
              <w:right w:val="single" w:sz="8" w:space="0" w:color="000000"/>
            </w:tcBorders>
            <w:vAlign w:val="center"/>
          </w:tcPr>
          <w:p w14:paraId="41A7BA9F"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AAF4E3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Monitorizarea și cartarea ecosistemelor costiere, în scopul de a spori capacitatea acestora de a oferi beneficii esențiale pentru dezvoltare sustenabilă.</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584F6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0EAD77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C58E12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8C23E6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EDFE55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E6DBC6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2BAC30DA" w14:textId="77777777" w:rsidTr="00B27196">
        <w:trPr>
          <w:trHeight w:val="440"/>
        </w:trPr>
        <w:tc>
          <w:tcPr>
            <w:tcW w:w="2541" w:type="dxa"/>
            <w:vMerge/>
            <w:tcBorders>
              <w:top w:val="single" w:sz="8" w:space="0" w:color="000000"/>
              <w:left w:val="single" w:sz="8" w:space="0" w:color="000000"/>
              <w:right w:val="single" w:sz="8" w:space="0" w:color="000000"/>
            </w:tcBorders>
            <w:vAlign w:val="center"/>
          </w:tcPr>
          <w:p w14:paraId="2538BEEE"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D01737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Dezvoltarea și implementarea de proiecte pilot pentru conservarea unor specii sau a unor habitate periclitate pe plan național și/sau European.</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B6DC1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1264BF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53D85B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43EC94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7BC259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7FBA31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71B58884" w14:textId="77777777" w:rsidTr="00B27196">
        <w:trPr>
          <w:trHeight w:val="440"/>
        </w:trPr>
        <w:tc>
          <w:tcPr>
            <w:tcW w:w="2541" w:type="dxa"/>
            <w:vMerge w:val="restart"/>
            <w:tcBorders>
              <w:top w:val="single" w:sz="8" w:space="0" w:color="000000"/>
              <w:left w:val="single" w:sz="8" w:space="0" w:color="000000"/>
              <w:right w:val="single" w:sz="8" w:space="0" w:color="000000"/>
            </w:tcBorders>
            <w:vAlign w:val="center"/>
          </w:tcPr>
          <w:p w14:paraId="07DAD4F8"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M3.2 Elaborarea sau actualizarea, după caz, a Planurilor de Management pentru ariile naturale protejate din zona costieră</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128E34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Elaborarea/Actualizarea și implementarea Planurilor de management, strategiilor şi a măsurilor de management a ariilor naturale protejate, precum şi altor activităţi conexe (activităţi preliminare măsurilor concrete de investiţii sau conservare).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A48CB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BB7F61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B67C7F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76FF84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D94543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E6FCA6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6C782FF3" w14:textId="77777777" w:rsidTr="00B27196">
        <w:trPr>
          <w:trHeight w:val="440"/>
        </w:trPr>
        <w:tc>
          <w:tcPr>
            <w:tcW w:w="2541" w:type="dxa"/>
            <w:vMerge/>
            <w:tcBorders>
              <w:top w:val="single" w:sz="8" w:space="0" w:color="000000"/>
              <w:left w:val="single" w:sz="8" w:space="0" w:color="000000"/>
              <w:right w:val="single" w:sz="8" w:space="0" w:color="000000"/>
            </w:tcBorders>
            <w:vAlign w:val="center"/>
          </w:tcPr>
          <w:p w14:paraId="5C4336BF"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99834E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Inițierea și implementarea de programe de cercetare pentru protecția și conservarea ariilor protejate și a resurselor acvatice vii.</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322A8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296681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F25101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BE7A10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019F68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F13FA5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6A8E6D0B" w14:textId="77777777" w:rsidTr="00B27196">
        <w:trPr>
          <w:trHeight w:val="440"/>
        </w:trPr>
        <w:tc>
          <w:tcPr>
            <w:tcW w:w="2541" w:type="dxa"/>
            <w:vMerge w:val="restart"/>
            <w:tcBorders>
              <w:top w:val="single" w:sz="8" w:space="0" w:color="000000"/>
              <w:left w:val="single" w:sz="8" w:space="0" w:color="000000"/>
              <w:right w:val="single" w:sz="8" w:space="0" w:color="000000"/>
            </w:tcBorders>
            <w:vAlign w:val="center"/>
          </w:tcPr>
          <w:p w14:paraId="59D474C9"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M3.3 Restabilirea/refacerea și utilizarea sustenabilă a ecosistemelor costiere utilizând soluțiile bazate pe natură</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691386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Elaborarea unui plan de refacere a habitatelor, în special a celor cu rol major în combaterea efectelor schimbărilor climatice (zonele umede, pajiști marine, apele costiere, lagune, păduri, soluri fertile).</w:t>
            </w:r>
          </w:p>
        </w:tc>
        <w:tc>
          <w:tcPr>
            <w:tcW w:w="992" w:type="dxa"/>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2EC60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96ED95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C95F68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4"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01EFA19"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4"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F6D6A52"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4"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394B271"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36CC4114" w14:textId="77777777" w:rsidTr="00B27196">
        <w:trPr>
          <w:trHeight w:val="440"/>
        </w:trPr>
        <w:tc>
          <w:tcPr>
            <w:tcW w:w="2541" w:type="dxa"/>
            <w:vMerge/>
            <w:tcBorders>
              <w:top w:val="single" w:sz="8" w:space="0" w:color="000000"/>
              <w:left w:val="single" w:sz="8" w:space="0" w:color="000000"/>
              <w:right w:val="single" w:sz="8" w:space="0" w:color="000000"/>
            </w:tcBorders>
            <w:vAlign w:val="center"/>
          </w:tcPr>
          <w:p w14:paraId="74FA3096"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D26D26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Identificarea și diminuarea factorilor care conduc la pierderea şi degradarea habitatelor din zona costieră și refacerea acestora utilizând soluțiile bazate pe natură.</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632A5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85B17E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9B1C94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48344A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EE1D7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BEDA47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1D97CB63" w14:textId="77777777" w:rsidTr="00B27196">
        <w:trPr>
          <w:trHeight w:val="440"/>
        </w:trPr>
        <w:tc>
          <w:tcPr>
            <w:tcW w:w="2541" w:type="dxa"/>
            <w:vMerge/>
            <w:tcBorders>
              <w:top w:val="single" w:sz="8" w:space="0" w:color="000000"/>
              <w:left w:val="single" w:sz="8" w:space="0" w:color="000000"/>
              <w:right w:val="single" w:sz="8" w:space="0" w:color="000000"/>
            </w:tcBorders>
            <w:vAlign w:val="center"/>
          </w:tcPr>
          <w:p w14:paraId="54E964CC"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8CCB95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Dezvoltarea și implementarea unor proiecte pilot naționale și transfrontaliere dedicate restabilirii/refacerii ecosistemelor costiere utilizând soluțiile bazate pe natură.</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EFAA5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566434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F30418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94DCC1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89C2B6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A3926F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3D68FC8A" w14:textId="77777777" w:rsidTr="00B27196">
        <w:trPr>
          <w:trHeight w:val="440"/>
        </w:trPr>
        <w:tc>
          <w:tcPr>
            <w:tcW w:w="2541" w:type="dxa"/>
            <w:vMerge/>
            <w:tcBorders>
              <w:top w:val="single" w:sz="8" w:space="0" w:color="000000"/>
              <w:left w:val="single" w:sz="8" w:space="0" w:color="000000"/>
              <w:right w:val="single" w:sz="8" w:space="0" w:color="000000"/>
            </w:tcBorders>
            <w:vAlign w:val="center"/>
          </w:tcPr>
          <w:p w14:paraId="636254A7"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E5673A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Organizarea de campanii de conștientizare privind restabilirea/refacerea ecosistemelor costiere utilizând soluțiile bazate pe natură.</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9F46C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6AFED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5C00B1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3769B5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833447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1D6182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449BA0FB" w14:textId="77777777" w:rsidTr="00B27196">
        <w:trPr>
          <w:trHeight w:val="473"/>
        </w:trPr>
        <w:tc>
          <w:tcPr>
            <w:tcW w:w="2541" w:type="dxa"/>
            <w:vMerge w:val="restart"/>
            <w:tcBorders>
              <w:top w:val="single" w:sz="4" w:space="0" w:color="000000"/>
              <w:left w:val="single" w:sz="4" w:space="0" w:color="000000"/>
              <w:bottom w:val="single" w:sz="4" w:space="0" w:color="000000"/>
              <w:right w:val="single" w:sz="4" w:space="0" w:color="000000"/>
            </w:tcBorders>
            <w:vAlign w:val="center"/>
          </w:tcPr>
          <w:p w14:paraId="7FACFD7D"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M3.4 Evaluarea funcțiilor și serviciilor ecosistemice prin instrumente monetare și non-monetare</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A85AFE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Identificarea, catalogarea și monitorizarea serviciilor ecosistemice.</w:t>
            </w:r>
          </w:p>
        </w:tc>
        <w:tc>
          <w:tcPr>
            <w:tcW w:w="992" w:type="dxa"/>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BAF95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Rs / RF</w:t>
            </w:r>
          </w:p>
        </w:tc>
        <w:tc>
          <w:tcPr>
            <w:tcW w:w="851" w:type="dxa"/>
            <w:tcBorders>
              <w:top w:val="single" w:sz="4"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0FBEA60"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4"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B5B3D10"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4"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6428700"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4"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141CBF6"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4"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43A88B7"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2BD4F618" w14:textId="77777777" w:rsidTr="00B27196">
        <w:trPr>
          <w:trHeight w:val="440"/>
        </w:trPr>
        <w:tc>
          <w:tcPr>
            <w:tcW w:w="2541" w:type="dxa"/>
            <w:vMerge/>
            <w:tcBorders>
              <w:top w:val="single" w:sz="4" w:space="0" w:color="000000"/>
              <w:left w:val="single" w:sz="4" w:space="0" w:color="000000"/>
              <w:bottom w:val="single" w:sz="4" w:space="0" w:color="000000"/>
              <w:right w:val="single" w:sz="4" w:space="0" w:color="000000"/>
            </w:tcBorders>
            <w:vAlign w:val="center"/>
          </w:tcPr>
          <w:p w14:paraId="217BA87C"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FFB54B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Stabilirea instrumentelor pentru valorizarea monetară și non-monetară a serviciilor ecosistemice în concordanță cu obiectivele de protecție și conservare a speciilor și habitatelor.</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EDEF1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DFADDF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C22099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0D612C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F9A8BD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6F2CDF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06E8CA1E" w14:textId="77777777" w:rsidTr="00B27196">
        <w:trPr>
          <w:trHeight w:val="440"/>
        </w:trPr>
        <w:tc>
          <w:tcPr>
            <w:tcW w:w="2541" w:type="dxa"/>
            <w:vMerge/>
            <w:tcBorders>
              <w:top w:val="single" w:sz="4" w:space="0" w:color="000000"/>
              <w:left w:val="single" w:sz="4" w:space="0" w:color="000000"/>
              <w:bottom w:val="single" w:sz="4" w:space="0" w:color="000000"/>
              <w:right w:val="single" w:sz="4" w:space="0" w:color="000000"/>
            </w:tcBorders>
            <w:vAlign w:val="center"/>
          </w:tcPr>
          <w:p w14:paraId="23F1BD61"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BFAF0B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Elaborarea instrumentelor de reglementare pentru direcționarea investițiilor către fondul destinat proiectelor de reconstrucție ecologică și renaturare.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F1FC2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262D27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431BDF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352255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16F6EA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AF57DD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7CC00ADE" w14:textId="77777777" w:rsidTr="00B27196">
        <w:trPr>
          <w:trHeight w:val="440"/>
        </w:trPr>
        <w:tc>
          <w:tcPr>
            <w:tcW w:w="2541" w:type="dxa"/>
            <w:vMerge w:val="restart"/>
            <w:tcBorders>
              <w:top w:val="single" w:sz="4" w:space="0" w:color="000000"/>
              <w:left w:val="single" w:sz="4" w:space="0" w:color="000000"/>
              <w:bottom w:val="single" w:sz="4" w:space="0" w:color="000000"/>
              <w:right w:val="single" w:sz="4" w:space="0" w:color="000000"/>
            </w:tcBorders>
            <w:vAlign w:val="center"/>
          </w:tcPr>
          <w:p w14:paraId="2B9E98CC"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M3.5 Consolidarea / Întărirea managementului speciilor invazive</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E5890E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 xml:space="preserve">Elaborarea și implementarea unui </w:t>
            </w:r>
            <w:r w:rsidRPr="00B30FA0">
              <w:rPr>
                <w:rFonts w:eastAsia="Times New Roman" w:cs="Times New Roman"/>
                <w:sz w:val="20"/>
                <w:szCs w:val="20"/>
              </w:rPr>
              <w:t>plan</w:t>
            </w:r>
            <w:r w:rsidRPr="00B30FA0">
              <w:rPr>
                <w:rFonts w:eastAsia="Times New Roman" w:cs="Times New Roman"/>
                <w:color w:val="000000"/>
                <w:sz w:val="20"/>
                <w:szCs w:val="20"/>
              </w:rPr>
              <w:t xml:space="preserve"> de controlul al vectorilor de introducere a speciilor alohtone şi monitorizarea posibilelor căi de pătrundere.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BC53C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1E79D7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D8FB3D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CF33D5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A85CEB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A58D3B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5A0FFE3C" w14:textId="77777777" w:rsidTr="00B27196">
        <w:trPr>
          <w:trHeight w:val="440"/>
        </w:trPr>
        <w:tc>
          <w:tcPr>
            <w:tcW w:w="2541" w:type="dxa"/>
            <w:vMerge/>
            <w:tcBorders>
              <w:top w:val="single" w:sz="4" w:space="0" w:color="000000"/>
              <w:left w:val="single" w:sz="4" w:space="0" w:color="000000"/>
              <w:bottom w:val="single" w:sz="4" w:space="0" w:color="000000"/>
              <w:right w:val="single" w:sz="4" w:space="0" w:color="000000"/>
            </w:tcBorders>
            <w:vAlign w:val="center"/>
          </w:tcPr>
          <w:p w14:paraId="6E6DE799"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95AC9A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Dezvoltarea metodelor moderne (mADN) pentru detectarea rapidă a speciilor alohtone şi identificarea căilor de acces, înainte de extinderea lor în zona costieră.</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F6C2E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79F79A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C0AA07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EBA897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5384F8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C4EE76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6B5A2621" w14:textId="77777777" w:rsidTr="00B27196">
        <w:trPr>
          <w:trHeight w:val="440"/>
        </w:trPr>
        <w:tc>
          <w:tcPr>
            <w:tcW w:w="2541" w:type="dxa"/>
            <w:vMerge/>
            <w:tcBorders>
              <w:top w:val="single" w:sz="4" w:space="0" w:color="000000"/>
              <w:left w:val="single" w:sz="4" w:space="0" w:color="000000"/>
              <w:bottom w:val="single" w:sz="4" w:space="0" w:color="000000"/>
              <w:right w:val="single" w:sz="4" w:space="0" w:color="000000"/>
            </w:tcBorders>
            <w:vAlign w:val="center"/>
          </w:tcPr>
          <w:p w14:paraId="329916E5"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610138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 xml:space="preserve"> Introducerea sistemelor de avertizare timpurie şi management al riscului în cazul pătrunderii de patogeni şi a planurilor de contingenţă pentru reducerea impactului acestora.</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C9EEB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AD6F58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3965E9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AB6935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93ECF4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9A21DB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537BA4B7" w14:textId="77777777" w:rsidTr="00B27196">
        <w:trPr>
          <w:trHeight w:val="440"/>
        </w:trPr>
        <w:tc>
          <w:tcPr>
            <w:tcW w:w="2541" w:type="dxa"/>
            <w:vMerge w:val="restart"/>
            <w:tcBorders>
              <w:top w:val="single" w:sz="4" w:space="0" w:color="000000"/>
              <w:left w:val="single" w:sz="8" w:space="0" w:color="000000"/>
              <w:bottom w:val="single" w:sz="8" w:space="0" w:color="000000"/>
              <w:right w:val="single" w:sz="8" w:space="0" w:color="000000"/>
            </w:tcBorders>
            <w:vAlign w:val="center"/>
          </w:tcPr>
          <w:p w14:paraId="7C75B27A" w14:textId="6970C024"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 xml:space="preserve">M4.1 Creșterea capacității de monitorizare a </w:t>
            </w:r>
            <w:r w:rsidR="0084413B">
              <w:rPr>
                <w:rFonts w:eastAsia="Times New Roman" w:cs="Times New Roman"/>
                <w:sz w:val="20"/>
                <w:szCs w:val="20"/>
              </w:rPr>
              <w:t>calității</w:t>
            </w:r>
            <w:r w:rsidRPr="00B30FA0">
              <w:rPr>
                <w:rFonts w:eastAsia="Times New Roman" w:cs="Times New Roman"/>
                <w:sz w:val="20"/>
                <w:szCs w:val="20"/>
              </w:rPr>
              <w:t xml:space="preserve"> a</w:t>
            </w:r>
            <w:r w:rsidR="0084413B">
              <w:rPr>
                <w:rFonts w:eastAsia="Times New Roman" w:cs="Times New Roman"/>
                <w:sz w:val="20"/>
                <w:szCs w:val="20"/>
              </w:rPr>
              <w:t>erului</w:t>
            </w:r>
            <w:r w:rsidRPr="00B30FA0">
              <w:rPr>
                <w:rFonts w:eastAsia="Times New Roman" w:cs="Times New Roman"/>
                <w:sz w:val="20"/>
                <w:szCs w:val="20"/>
              </w:rPr>
              <w:t>, precum și a depunerilor atmosferice</w:t>
            </w: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4CE12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Realizare de studii pentru identificarea noilor locații de monitorizare a calității aerului</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65EE6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RS /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B78CF53"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4B66313"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40371B1"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32D906E"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60AB2D7"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67DD2E76" w14:textId="77777777" w:rsidTr="00B27196">
        <w:trPr>
          <w:trHeight w:val="329"/>
        </w:trPr>
        <w:tc>
          <w:tcPr>
            <w:tcW w:w="2541" w:type="dxa"/>
            <w:vMerge/>
            <w:tcBorders>
              <w:top w:val="single" w:sz="4" w:space="0" w:color="000000"/>
              <w:left w:val="single" w:sz="8" w:space="0" w:color="000000"/>
              <w:bottom w:val="single" w:sz="8" w:space="0" w:color="000000"/>
              <w:right w:val="single" w:sz="8" w:space="0" w:color="000000"/>
            </w:tcBorders>
            <w:vAlign w:val="center"/>
          </w:tcPr>
          <w:p w14:paraId="496AECAD"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068DC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Realizarea de proiecte pilot pentru monitorizarea depunerilor atmosferice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79D87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17250E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995A70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D3652F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81AE01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A13E24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291BE027" w14:textId="77777777" w:rsidTr="00B27196">
        <w:trPr>
          <w:trHeight w:val="346"/>
        </w:trPr>
        <w:tc>
          <w:tcPr>
            <w:tcW w:w="2541" w:type="dxa"/>
            <w:vMerge/>
            <w:tcBorders>
              <w:top w:val="single" w:sz="4" w:space="0" w:color="000000"/>
              <w:left w:val="single" w:sz="8" w:space="0" w:color="000000"/>
              <w:bottom w:val="single" w:sz="8" w:space="0" w:color="000000"/>
              <w:right w:val="single" w:sz="8" w:space="0" w:color="000000"/>
            </w:tcBorders>
            <w:vAlign w:val="center"/>
          </w:tcPr>
          <w:p w14:paraId="2B4C4F31"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86DAF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Crearea unei rețele de monitorizare a depunerilor atmosferice în zona costieră</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8B69E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06BC9B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22768A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CE66DF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F1659E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783DF5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327112D0" w14:textId="77777777" w:rsidTr="00B27196">
        <w:trPr>
          <w:trHeight w:val="78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2D72FFF3"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M4.2 Extinderea și modernizarea infrastructurii de canalizare și epurare în partea nordică a zonei costiere, aferentă Deltei Dunării</w:t>
            </w: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D1E79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Extinderea și modernizarea infrastructurii de canalizare în partea nordică a zonei costiere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AD7AC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44CA4C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B5A106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9341C8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F3844F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CBA4EE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41860620" w14:textId="77777777" w:rsidTr="00B27196">
        <w:trPr>
          <w:trHeight w:val="654"/>
        </w:trPr>
        <w:tc>
          <w:tcPr>
            <w:tcW w:w="2541" w:type="dxa"/>
            <w:vMerge/>
            <w:tcBorders>
              <w:top w:val="single" w:sz="8" w:space="0" w:color="000000"/>
              <w:left w:val="single" w:sz="8" w:space="0" w:color="000000"/>
              <w:bottom w:val="single" w:sz="8" w:space="0" w:color="000000"/>
              <w:right w:val="single" w:sz="8" w:space="0" w:color="000000"/>
            </w:tcBorders>
            <w:vAlign w:val="center"/>
          </w:tcPr>
          <w:p w14:paraId="36EB7FD1"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934EF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Modernizarea infrastructurii de epurare în partea nordică a zonei costiere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4A267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8B3567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307D60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EAAFED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FE992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24739E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72919A05" w14:textId="77777777" w:rsidTr="00B27196">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4DA5D470"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lastRenderedPageBreak/>
              <w:t>M4.3 Dezvoltarea unui program pentru studierea principalelor surse, căi de transport și impactului contaminanților emergenți asupra faunei și omului, precum și dezvoltarea unui program de monitorizare a acestora</w:t>
            </w: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D3AC3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Realizarea de studii privind bioacumularea, biomagnificarea și evaluarea riscului prezenței contaminanților emergenți în ecosistemele marine și dulcicole asupra faunei și sănătății omului</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82D0E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19467B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55B837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2CF37B0"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2980B0A"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DEC7000"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5A646411" w14:textId="77777777" w:rsidTr="00B27196">
        <w:trPr>
          <w:trHeight w:val="286"/>
        </w:trPr>
        <w:tc>
          <w:tcPr>
            <w:tcW w:w="2541" w:type="dxa"/>
            <w:vMerge/>
            <w:tcBorders>
              <w:top w:val="single" w:sz="8" w:space="0" w:color="000000"/>
              <w:left w:val="single" w:sz="8" w:space="0" w:color="000000"/>
              <w:bottom w:val="single" w:sz="8" w:space="0" w:color="000000"/>
              <w:right w:val="single" w:sz="8" w:space="0" w:color="000000"/>
            </w:tcBorders>
            <w:vAlign w:val="center"/>
          </w:tcPr>
          <w:p w14:paraId="56CEB2EB"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B2BA0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Realizarea unui Registru al poluanților emergenți;</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96DA5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F43CA0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6AA106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54469E1"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C9EBF7F"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1252E0D"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17C1CFB4"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585FB49E"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A1066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Dezvoltarea și testarea infrastructurii de monitorizare a poluanților emergenți în mediul acvatic</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80C5E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D346F1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F96356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08B498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A90476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C0F732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5096A5E5"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0149DDC6"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CD9CF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Dezvoltarea programelor de monitorizare a contaminanților emergenți în mediul acvatic</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0AA33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32550C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99812C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A146A5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C4157B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1CDD5F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2D405C17" w14:textId="77777777" w:rsidTr="00B27196">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76DAF51E" w14:textId="77777777" w:rsidR="00B30FA0" w:rsidRPr="00B30FA0" w:rsidRDefault="00B30FA0" w:rsidP="00056FC5">
            <w:pPr>
              <w:spacing w:after="0" w:line="240" w:lineRule="auto"/>
              <w:ind w:firstLine="0"/>
              <w:rPr>
                <w:rFonts w:eastAsia="Times New Roman" w:cs="Times New Roman"/>
                <w:sz w:val="20"/>
                <w:szCs w:val="20"/>
              </w:rPr>
            </w:pPr>
          </w:p>
          <w:p w14:paraId="48FA8366" w14:textId="77777777" w:rsidR="00B30FA0" w:rsidRPr="00B30FA0" w:rsidRDefault="00B30FA0" w:rsidP="00B30FA0">
            <w:pPr>
              <w:spacing w:after="0" w:line="240" w:lineRule="auto"/>
              <w:ind w:firstLine="42"/>
              <w:rPr>
                <w:rFonts w:eastAsia="Times New Roman" w:cs="Times New Roman"/>
                <w:sz w:val="20"/>
                <w:szCs w:val="20"/>
              </w:rPr>
            </w:pPr>
          </w:p>
          <w:p w14:paraId="4D8FB180" w14:textId="6C5E8534"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M4.</w:t>
            </w:r>
            <w:r w:rsidR="00D96C25">
              <w:rPr>
                <w:rFonts w:eastAsia="Times New Roman" w:cs="Times New Roman"/>
                <w:sz w:val="20"/>
                <w:szCs w:val="20"/>
              </w:rPr>
              <w:t>4</w:t>
            </w:r>
            <w:r w:rsidRPr="00B30FA0">
              <w:rPr>
                <w:rFonts w:eastAsia="Times New Roman" w:cs="Times New Roman"/>
                <w:sz w:val="20"/>
                <w:szCs w:val="20"/>
              </w:rPr>
              <w:t xml:space="preserve"> Inițierea și implementarea de programe pentru îmbunătățirea infrastructurii de gestionare a deșeurilor</w:t>
            </w: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99665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Realizarea programelor pentru creștere a gradului de colectare a deșeurilor în partea nordică a zonei costiere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F83EE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592AE5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737FC5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9D7F47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CCB2E4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9BC70C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02A8F949"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19199C40"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8BF81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Identificarea și aplicarea de soluții ecologice pentru reducerea cantității de deșeuri biodegradabile rezultate în mediul rural sau în zonele de case din mediul urban</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B8CCE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69A08F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E5600E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46CB73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9BCAB8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60CC33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18B49EB7"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277007C3"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E69E0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Realizarea unor programe pentru extinderea infrastructurii de tratare a deșeurilor folosind soluții ecologice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4A643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9F45A3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E36CD7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746ED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8CD4BE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6E5CB4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437D89F6"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64399B3C"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0534F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Programe pentru dezvoltarea infrastructurii de tratare a deșeurilor provenite din construcții, care să asigure reutilizarea și reciclarea prin transformarea acestora în materiale sau materii secundare gata de utilizare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CD143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98C3AF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3BF2B8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7F51E3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196590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FE29BB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1AECC9EF" w14:textId="77777777" w:rsidTr="00B27196">
        <w:trPr>
          <w:trHeight w:val="440"/>
        </w:trPr>
        <w:tc>
          <w:tcPr>
            <w:tcW w:w="2541" w:type="dxa"/>
            <w:vMerge w:val="restart"/>
            <w:tcBorders>
              <w:top w:val="single" w:sz="8" w:space="0" w:color="000000"/>
              <w:left w:val="single" w:sz="8" w:space="0" w:color="000000"/>
              <w:right w:val="single" w:sz="8" w:space="0" w:color="000000"/>
            </w:tcBorders>
            <w:vAlign w:val="center"/>
          </w:tcPr>
          <w:p w14:paraId="42227636" w14:textId="72553674"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M4.</w:t>
            </w:r>
            <w:r w:rsidR="00D96C25">
              <w:rPr>
                <w:rFonts w:eastAsia="Times New Roman" w:cs="Times New Roman"/>
                <w:sz w:val="20"/>
                <w:szCs w:val="20"/>
              </w:rPr>
              <w:t>5</w:t>
            </w:r>
            <w:r w:rsidRPr="00B30FA0">
              <w:rPr>
                <w:rFonts w:eastAsia="Times New Roman" w:cs="Times New Roman"/>
                <w:sz w:val="20"/>
                <w:szCs w:val="20"/>
              </w:rPr>
              <w:t xml:space="preserve"> Dezvoltarea infrastructurii verzi în zona carierelor active de calcare și șisturi verzi (zona Tașaul-Luminița)</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F1DD94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Realizarea de campanii de conștientizare a impactului negativ al activității de exploatare a calcarelor și șisturilor verzi în rândul operatorilor economici, administrației publice și altor factori interesați locali</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251C3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5B9006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551BB7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B90F58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3292D1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DB2AEE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07258688" w14:textId="77777777" w:rsidTr="00B27196">
        <w:trPr>
          <w:trHeight w:val="440"/>
        </w:trPr>
        <w:tc>
          <w:tcPr>
            <w:tcW w:w="2541" w:type="dxa"/>
            <w:vMerge/>
            <w:tcBorders>
              <w:top w:val="single" w:sz="8" w:space="0" w:color="000000"/>
              <w:left w:val="single" w:sz="8" w:space="0" w:color="000000"/>
              <w:right w:val="single" w:sz="8" w:space="0" w:color="000000"/>
            </w:tcBorders>
            <w:vAlign w:val="center"/>
          </w:tcPr>
          <w:p w14:paraId="090B8C87"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B1ABB1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Realizarea de campanii de conștientizare și atragerea a publicului în acțiuni de monitorizare a sitului;</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87FCA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AF38AD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C218E8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E64BA2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945B14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1AF8F9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4B5AE594" w14:textId="77777777" w:rsidTr="00B27196">
        <w:trPr>
          <w:trHeight w:val="440"/>
        </w:trPr>
        <w:tc>
          <w:tcPr>
            <w:tcW w:w="2541" w:type="dxa"/>
            <w:vMerge/>
            <w:tcBorders>
              <w:top w:val="single" w:sz="8" w:space="0" w:color="000000"/>
              <w:left w:val="single" w:sz="8" w:space="0" w:color="000000"/>
              <w:right w:val="single" w:sz="8" w:space="0" w:color="000000"/>
            </w:tcBorders>
            <w:vAlign w:val="center"/>
          </w:tcPr>
          <w:p w14:paraId="45A6B29F"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71F65D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Inițierea și implementarea de proiecte de dezvoltare a infrastructurii verzi (perdele forestiere, ecrane de protecție împotriva zgomotului, reciclarea materialelor reziduale - resturi de piatră, etc.) pentru reducerea poluării generate de activitatea de minerit și activitățile conexe (transport)</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92A80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7459E0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4CBC83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8CC816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88D38D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CCA639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1AF1A7BB" w14:textId="77777777" w:rsidTr="00B27196">
        <w:trPr>
          <w:trHeight w:val="440"/>
        </w:trPr>
        <w:tc>
          <w:tcPr>
            <w:tcW w:w="2541" w:type="dxa"/>
            <w:vMerge/>
            <w:tcBorders>
              <w:top w:val="single" w:sz="8" w:space="0" w:color="000000"/>
              <w:left w:val="single" w:sz="8" w:space="0" w:color="000000"/>
              <w:right w:val="single" w:sz="8" w:space="0" w:color="000000"/>
            </w:tcBorders>
            <w:vAlign w:val="center"/>
          </w:tcPr>
          <w:p w14:paraId="79263D2C"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B05BC1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 xml:space="preserve">Testarea și definirea metodelor de pregătire a infrastructurii fizice a carierei în timpul proceselor de exploatare, pentru a facilita stabilirea planurilor de refacere care să crească serviciile ecosistemice și biodiversitatea în perioada </w:t>
            </w:r>
            <w:sdt>
              <w:sdtPr>
                <w:rPr>
                  <w:sz w:val="20"/>
                  <w:szCs w:val="20"/>
                </w:rPr>
                <w:tag w:val="goog_rdk_62"/>
                <w:id w:val="-1527713993"/>
              </w:sdtPr>
              <w:sdtContent>
                <w:r w:rsidRPr="00B30FA0">
                  <w:rPr>
                    <w:rFonts w:eastAsia="Times New Roman" w:cs="Times New Roman"/>
                    <w:color w:val="000000"/>
                    <w:sz w:val="20"/>
                    <w:szCs w:val="20"/>
                  </w:rPr>
                  <w:t>post-exploatare</w:t>
                </w:r>
              </w:sdtContent>
            </w:sdt>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0DA8F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5186AD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4C89DA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F5471F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5A6202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12D1E5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6B185D4B" w14:textId="77777777" w:rsidTr="00B27196">
        <w:trPr>
          <w:trHeight w:val="275"/>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43BC6648" w14:textId="1EB76578"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 xml:space="preserve">M5.1 </w:t>
            </w:r>
            <w:r w:rsidR="00B02DAD">
              <w:rPr>
                <w:rFonts w:eastAsia="Times New Roman" w:cs="Times New Roman"/>
                <w:sz w:val="20"/>
                <w:szCs w:val="20"/>
              </w:rPr>
              <w:t>Gestionarea</w:t>
            </w:r>
            <w:r w:rsidRPr="00B30FA0">
              <w:rPr>
                <w:rFonts w:eastAsia="Times New Roman" w:cs="Times New Roman"/>
                <w:sz w:val="20"/>
                <w:szCs w:val="20"/>
              </w:rPr>
              <w:t xml:space="preserve"> siturilor contaminate și potențial contaminate din zona costieră</w:t>
            </w: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ACBE9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Actualizarea inventarului siturilor contaminate și potențial contaminate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183F9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84C0EB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8DD8FA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6DC8EDF"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661EA70"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56B93F7"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7C0F52EF"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20BFFC09"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34AD6E" w14:textId="3DD82769"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 xml:space="preserve">Identificarea și aplicarea de noi soluții ecologice, inovative, pentru remedierea siturilor </w:t>
            </w:r>
            <w:r w:rsidR="00B02DAD">
              <w:rPr>
                <w:rFonts w:eastAsia="Times New Roman" w:cs="Times New Roman"/>
                <w:sz w:val="20"/>
                <w:szCs w:val="20"/>
              </w:rPr>
              <w:t>contaminate</w:t>
            </w:r>
            <w:r w:rsidRPr="00B30FA0">
              <w:rPr>
                <w:rFonts w:eastAsia="Times New Roman" w:cs="Times New Roman"/>
                <w:sz w:val="20"/>
                <w:szCs w:val="20"/>
              </w:rPr>
              <w:t>, cât și a celor din proximitatea acestora</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EE055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950A7A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63CF5C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BACD48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06198E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B33C4B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542C2E13"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72ED9794"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DCF33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Creșterea capacității de monitorizare post remediere prin sisteme inteligente de supraveghere,control și investigare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6C495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7469B2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ABBB78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E7CC05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2EC6F1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36EFEA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10ED9823" w14:textId="77777777" w:rsidTr="00B27196">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3DF06DD6"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M5.2 Restaurarea ecologică a lacurilor urbane în scopul valorificării potențialului lor natural și turistic (lacurile Tăbăcărie, Costinești, Belona, Neptun, etc.)</w:t>
            </w: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B289E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Derularea de campanii de conștientizare a potențialului natural și turistic al lacurilor urbane și de atragere a societății civile în proiectele de restaurare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61309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A93051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53778E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C263A9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1A38D4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A6E9F9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6E0E3668" w14:textId="77777777" w:rsidTr="00B27196">
        <w:trPr>
          <w:trHeight w:val="261"/>
        </w:trPr>
        <w:tc>
          <w:tcPr>
            <w:tcW w:w="2541" w:type="dxa"/>
            <w:vMerge/>
            <w:tcBorders>
              <w:top w:val="single" w:sz="8" w:space="0" w:color="000000"/>
              <w:left w:val="single" w:sz="8" w:space="0" w:color="000000"/>
              <w:bottom w:val="single" w:sz="8" w:space="0" w:color="000000"/>
              <w:right w:val="single" w:sz="8" w:space="0" w:color="000000"/>
            </w:tcBorders>
            <w:vAlign w:val="center"/>
          </w:tcPr>
          <w:p w14:paraId="05F22B3E"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71A9A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Angrenarea cetățenilor în monitorizarea stării ecologice a lacurilor urbane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86A4D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56DB96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D6E3ED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96EA90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558793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E2E375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5F595878"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324A3542"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E9FA0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Identificarea și aplicarea soluțiilor bazate pe natură pentru reducerea/stoparea aportului de poluanți, materie organică și deșeuri în lacurile urbane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2971E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B0272F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80170B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A4D96B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D9B9E7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61BB0C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3C3C3270"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01A3EACF"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73BA4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Identificarea și testarea prin proiecte pilot a soluțiilor ecologice de restaurare a lacurilor urbane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BEF12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A36D1C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419B41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91E2A5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54C66D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F110D6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7E381E" w14:paraId="462B3497" w14:textId="77777777" w:rsidTr="002C41D2">
        <w:trPr>
          <w:trHeight w:val="110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6C67BC7D" w14:textId="77777777" w:rsidR="007E381E" w:rsidRPr="00B30FA0" w:rsidRDefault="007E381E" w:rsidP="00B30FA0">
            <w:pPr>
              <w:spacing w:after="0" w:line="240" w:lineRule="auto"/>
              <w:ind w:firstLine="42"/>
              <w:rPr>
                <w:rFonts w:eastAsia="Times New Roman" w:cs="Times New Roman"/>
                <w:sz w:val="20"/>
                <w:szCs w:val="20"/>
              </w:rPr>
            </w:pPr>
            <w:r w:rsidRPr="00B30FA0">
              <w:rPr>
                <w:rFonts w:eastAsia="Times New Roman" w:cs="Times New Roman"/>
                <w:sz w:val="20"/>
                <w:szCs w:val="20"/>
              </w:rPr>
              <w:lastRenderedPageBreak/>
              <w:t>M5.3 Inițierea și implementarea programelor pentru îndepărtarea deșeurilor marine, din coloana de apă și de pe fundul mării</w:t>
            </w:r>
          </w:p>
        </w:tc>
        <w:tc>
          <w:tcPr>
            <w:tcW w:w="6095" w:type="dxa"/>
            <w:tcBorders>
              <w:top w:val="single" w:sz="4" w:space="0" w:color="000000"/>
              <w:left w:val="single" w:sz="4" w:space="0" w:color="000000"/>
              <w:right w:val="single" w:sz="4" w:space="0" w:color="000000"/>
            </w:tcBorders>
            <w:shd w:val="clear" w:color="auto" w:fill="auto"/>
            <w:tcMar>
              <w:top w:w="100" w:type="dxa"/>
              <w:left w:w="100" w:type="dxa"/>
              <w:bottom w:w="100" w:type="dxa"/>
              <w:right w:w="100" w:type="dxa"/>
            </w:tcMar>
          </w:tcPr>
          <w:p w14:paraId="62B70464" w14:textId="7404958E" w:rsidR="007E381E" w:rsidRPr="00B30FA0" w:rsidRDefault="007E381E" w:rsidP="007E381E">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Stabilirea mecanismelor de cooperare și dezvoltarea programelor de creștere a gradului de conștientizare în rândul comunităților de pescari cu privire la efectele negative ale deșeurilor marine asupra ecosistemului costier, în particular asupra resurselor vii;</w:t>
            </w:r>
          </w:p>
        </w:tc>
        <w:tc>
          <w:tcPr>
            <w:tcW w:w="992" w:type="dxa"/>
            <w:tcBorders>
              <w:top w:val="single" w:sz="8" w:space="0" w:color="000000"/>
              <w:left w:val="single" w:sz="8" w:space="0" w:color="000000"/>
              <w:right w:val="single" w:sz="8" w:space="0" w:color="000000"/>
            </w:tcBorders>
            <w:tcMar>
              <w:top w:w="100" w:type="dxa"/>
              <w:left w:w="100" w:type="dxa"/>
              <w:bottom w:w="100" w:type="dxa"/>
              <w:right w:w="100" w:type="dxa"/>
            </w:tcMar>
          </w:tcPr>
          <w:p w14:paraId="22304945" w14:textId="327EBD22" w:rsidR="007E381E" w:rsidRPr="00B30FA0" w:rsidRDefault="007E381E" w:rsidP="007E381E">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right w:val="single" w:sz="8" w:space="0" w:color="000000"/>
            </w:tcBorders>
            <w:shd w:val="clear" w:color="auto" w:fill="auto"/>
            <w:tcMar>
              <w:top w:w="100" w:type="dxa"/>
              <w:left w:w="100" w:type="dxa"/>
              <w:bottom w:w="100" w:type="dxa"/>
              <w:right w:w="100" w:type="dxa"/>
            </w:tcMar>
          </w:tcPr>
          <w:p w14:paraId="3177A6D9" w14:textId="45E52A22" w:rsidR="007E381E" w:rsidRPr="00B30FA0" w:rsidRDefault="007E381E" w:rsidP="007E381E">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right w:val="single" w:sz="8" w:space="0" w:color="000000"/>
            </w:tcBorders>
            <w:shd w:val="clear" w:color="auto" w:fill="auto"/>
            <w:tcMar>
              <w:top w:w="100" w:type="dxa"/>
              <w:left w:w="100" w:type="dxa"/>
              <w:bottom w:w="100" w:type="dxa"/>
              <w:right w:w="100" w:type="dxa"/>
            </w:tcMar>
          </w:tcPr>
          <w:p w14:paraId="564890F2" w14:textId="2F8A2FF3" w:rsidR="007E381E" w:rsidRPr="00B30FA0" w:rsidRDefault="007E381E" w:rsidP="007E381E">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right w:val="single" w:sz="8" w:space="0" w:color="000000"/>
            </w:tcBorders>
            <w:shd w:val="clear" w:color="auto" w:fill="F2F2F2"/>
            <w:tcMar>
              <w:top w:w="100" w:type="dxa"/>
              <w:left w:w="100" w:type="dxa"/>
              <w:bottom w:w="100" w:type="dxa"/>
              <w:right w:w="100" w:type="dxa"/>
            </w:tcMar>
          </w:tcPr>
          <w:p w14:paraId="38ED8402" w14:textId="77777777" w:rsidR="007E381E" w:rsidRPr="00B30FA0" w:rsidRDefault="007E381E"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right w:val="single" w:sz="8" w:space="0" w:color="000000"/>
            </w:tcBorders>
            <w:shd w:val="clear" w:color="auto" w:fill="F2F2F2"/>
            <w:tcMar>
              <w:top w:w="100" w:type="dxa"/>
              <w:left w:w="100" w:type="dxa"/>
              <w:bottom w:w="100" w:type="dxa"/>
              <w:right w:w="100" w:type="dxa"/>
            </w:tcMar>
          </w:tcPr>
          <w:p w14:paraId="0AEE1061" w14:textId="77777777" w:rsidR="007E381E" w:rsidRPr="00B30FA0" w:rsidRDefault="007E381E"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right w:val="single" w:sz="8" w:space="0" w:color="000000"/>
            </w:tcBorders>
            <w:shd w:val="clear" w:color="auto" w:fill="F2F2F2"/>
            <w:tcMar>
              <w:top w:w="100" w:type="dxa"/>
              <w:left w:w="100" w:type="dxa"/>
              <w:bottom w:w="100" w:type="dxa"/>
              <w:right w:w="100" w:type="dxa"/>
            </w:tcMar>
          </w:tcPr>
          <w:p w14:paraId="69F70FEF" w14:textId="77777777" w:rsidR="007E381E" w:rsidRPr="00B30FA0" w:rsidRDefault="007E381E" w:rsidP="00B30FA0">
            <w:pPr>
              <w:spacing w:after="0" w:line="240" w:lineRule="auto"/>
              <w:ind w:firstLine="0"/>
              <w:rPr>
                <w:rFonts w:eastAsia="Times New Roman" w:cs="Times New Roman"/>
                <w:sz w:val="20"/>
                <w:szCs w:val="20"/>
              </w:rPr>
            </w:pPr>
          </w:p>
        </w:tc>
      </w:tr>
      <w:tr w:rsidR="00B30FA0" w14:paraId="1786CC74"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5F24B5C0"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5D6FB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Realizarea de proiecte / acțiuni pilot pentru îndepărtarea deșeurilor plutitoare și a celor scufundate, colectarea acestora și tratarea lor ulterioară, inclusiv reciclarea lor</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93F86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4AD6C5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C225F8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DB6E70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CC94C0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177445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090C573D" w14:textId="77777777" w:rsidTr="00B27196">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295E2CBF"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M6.1 Aplicarea de soluții moderne, simple și cost-eficiente pentru monitorizarea efectelor eroziunii costiere</w:t>
            </w:r>
          </w:p>
          <w:p w14:paraId="1CE7747B" w14:textId="77777777" w:rsidR="00B30FA0" w:rsidRPr="00B30FA0" w:rsidRDefault="00B30FA0" w:rsidP="00B30FA0">
            <w:pPr>
              <w:spacing w:after="0" w:line="240" w:lineRule="auto"/>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6C450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Dezvoltarea unui serviciu național operațional, automat și gratuit de monitorizare a liniei țărmului pe baza imaginilor satelitare cu acces liber și gratuite (precum Sentinel-2 sau Landsat 8/9)</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A1468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01AB3C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B6FCF3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B6DE0AE"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151294F"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1AA9B16"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6284222F"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397B7423"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233D4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Implementarea sistemului național de monitorizare a liniei țărmului mării</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F347F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A1C301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66D8AB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370714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BB61A2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4169CA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6F46CD30" w14:textId="77777777" w:rsidTr="00B27196">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0220406A"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M6.2 Îmbunătățirea managementului sedimentelor în Delta Dunării și pe țărmul românesc al Mării Negre</w:t>
            </w: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53E61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Dezvoltarea de instrumente moderne și cost eficiente de monitorizare a fluxului sedimentelor în interiorul Deltei Dunării, cât și pe întreg țărmul românesc al Mării Negre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AEFA6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6C9A13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03B1D7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6E7221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C12E85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C67A58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479C35D6"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0A3AA8C5"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694AA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Crearea unor mecanisme de management al sedimentelor în Delta Dunării și pe țărmul românesc al Mării Negre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61041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DE7AF8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C4532D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5BC64C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7731E1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656B64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371A5598" w14:textId="77777777" w:rsidTr="00B27196">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4ECA1D5F" w14:textId="77777777" w:rsidR="00B30FA0" w:rsidRPr="00B30FA0" w:rsidRDefault="00B30FA0" w:rsidP="00B30FA0">
            <w:pPr>
              <w:spacing w:after="0" w:line="240" w:lineRule="auto"/>
              <w:ind w:firstLine="42"/>
              <w:rPr>
                <w:rFonts w:eastAsia="Times New Roman" w:cs="Times New Roman"/>
                <w:sz w:val="20"/>
                <w:szCs w:val="20"/>
              </w:rPr>
            </w:pPr>
          </w:p>
          <w:p w14:paraId="3AD59C0E" w14:textId="77777777" w:rsidR="00B30FA0" w:rsidRPr="00B30FA0" w:rsidRDefault="00B30FA0" w:rsidP="00B30FA0">
            <w:pPr>
              <w:spacing w:after="0" w:line="240" w:lineRule="auto"/>
              <w:ind w:firstLine="42"/>
              <w:rPr>
                <w:rFonts w:eastAsia="Times New Roman" w:cs="Times New Roman"/>
                <w:sz w:val="20"/>
                <w:szCs w:val="20"/>
              </w:rPr>
            </w:pPr>
          </w:p>
          <w:p w14:paraId="2FD0970F" w14:textId="77777777" w:rsidR="00B30FA0" w:rsidRPr="00B30FA0" w:rsidRDefault="00B30FA0" w:rsidP="00B30FA0">
            <w:pPr>
              <w:spacing w:after="0" w:line="240" w:lineRule="auto"/>
              <w:ind w:firstLine="42"/>
              <w:rPr>
                <w:rFonts w:eastAsia="Times New Roman" w:cs="Times New Roman"/>
                <w:sz w:val="20"/>
                <w:szCs w:val="20"/>
              </w:rPr>
            </w:pPr>
          </w:p>
          <w:p w14:paraId="703FE959" w14:textId="77777777" w:rsidR="00B30FA0" w:rsidRPr="00B30FA0" w:rsidRDefault="00B30FA0" w:rsidP="00B30FA0">
            <w:pPr>
              <w:spacing w:after="0" w:line="240" w:lineRule="auto"/>
              <w:ind w:firstLine="42"/>
              <w:rPr>
                <w:rFonts w:eastAsia="Times New Roman" w:cs="Times New Roman"/>
                <w:sz w:val="20"/>
                <w:szCs w:val="20"/>
              </w:rPr>
            </w:pPr>
          </w:p>
          <w:p w14:paraId="5EE7DF6F"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lastRenderedPageBreak/>
              <w:t>M6.3 Realizarea unei evaluări detaliate a vulnerabilității zonei de coastă la furtuni extreme, identificarea și analizarea riscurilor potențiale și stabilirea de măsuri prioritare de prevenire, atenuare, adaptare și remediere</w:t>
            </w: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7398F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lastRenderedPageBreak/>
              <w:t>Extinderea spațială a rețelei de maregrafe și anemografe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BF137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659B13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9F158C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AE7F8E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0438BC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A5557E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2D0C0B45"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08527ADE"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40578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Dezvoltarea de sisteme inteligente de observații meteorologice, hidrologice și hidrografice locale ca suport pentru evaluarea riscurilor</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6B082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F246A6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313C28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81A49E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390DCE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776A10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6F2FBC84"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4219105C"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957F6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Crearea de perdele forestiere împotriva vânturilor puternice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454E1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DD085C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3A894C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55FA72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19D34D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70252D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0B0AD404"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156014AF"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14:paraId="2206337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Consolidarea infrastructurii existente pentru a suporta impactul furtunilor severe pe baza celor mai recente date privind fenomenele extreme și valurile de furtună</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F08D4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167E59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9DF5F5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959811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9BB470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0A1677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55071D48"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39744F22"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nil"/>
              <w:left w:val="nil"/>
              <w:bottom w:val="single" w:sz="8" w:space="0" w:color="000000"/>
              <w:right w:val="single" w:sz="5" w:space="0" w:color="000000"/>
            </w:tcBorders>
            <w:shd w:val="clear" w:color="auto" w:fill="auto"/>
            <w:tcMar>
              <w:top w:w="100" w:type="dxa"/>
              <w:left w:w="100" w:type="dxa"/>
              <w:bottom w:w="100" w:type="dxa"/>
              <w:right w:w="100" w:type="dxa"/>
            </w:tcMar>
          </w:tcPr>
          <w:p w14:paraId="3E0C8F3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Protejarea surselor de apă împotriva intruziunii apei sărate (unde este cazul - localități din Delta Dunării)</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DFE05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1AF3B6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A85F22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FA77A9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716C41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F6D093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26440412"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0CFB23A2"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nil"/>
              <w:bottom w:val="single" w:sz="8" w:space="0" w:color="000000"/>
              <w:right w:val="single" w:sz="5" w:space="0" w:color="000000"/>
            </w:tcBorders>
            <w:shd w:val="clear" w:color="auto" w:fill="auto"/>
            <w:tcMar>
              <w:top w:w="100" w:type="dxa"/>
              <w:left w:w="100" w:type="dxa"/>
              <w:bottom w:w="100" w:type="dxa"/>
              <w:right w:w="100" w:type="dxa"/>
            </w:tcMar>
          </w:tcPr>
          <w:p w14:paraId="1992B47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Integrarea, armonizarea și standardizarea modului de raportare a efectelor diferitelor hazarde naturale și antropice între diferitele instituții responsabile (ISU, Serviciul de Ambulanță, Salvamari etc.)</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226FC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0262B3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3557AC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15335C6"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42C9D8"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D461FF0"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71FEBEEB" w14:textId="77777777" w:rsidTr="00B27196">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1A5CEC26"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M6.4 Realizarea unei evaluări detaliate a vulnerabilității zonei de coastă la secetă, identificarea și analizarea riscurilor potențiale și stabilirea de măsuri prioritare de prevenire, atenuare, adaptare și remediere</w:t>
            </w:r>
          </w:p>
        </w:tc>
        <w:tc>
          <w:tcPr>
            <w:tcW w:w="6095" w:type="dxa"/>
            <w:tcBorders>
              <w:top w:val="single" w:sz="8" w:space="0" w:color="000000"/>
              <w:left w:val="nil"/>
              <w:bottom w:val="single" w:sz="8" w:space="0" w:color="000000"/>
              <w:right w:val="single" w:sz="5" w:space="0" w:color="000000"/>
            </w:tcBorders>
            <w:shd w:val="clear" w:color="auto" w:fill="auto"/>
            <w:tcMar>
              <w:top w:w="100" w:type="dxa"/>
              <w:left w:w="100" w:type="dxa"/>
              <w:bottom w:w="100" w:type="dxa"/>
              <w:right w:w="100" w:type="dxa"/>
            </w:tcMar>
          </w:tcPr>
          <w:p w14:paraId="79DC3DD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Îmbunătățirea sistemului de avertizare timpurie și notificare pentru secetă</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3CC78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3C06ED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8685F2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71663F6"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1058839"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C479A7E"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40D40AE2"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54EF3F4C"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nil"/>
              <w:bottom w:val="single" w:sz="8" w:space="0" w:color="000000"/>
              <w:right w:val="single" w:sz="5" w:space="0" w:color="000000"/>
            </w:tcBorders>
            <w:shd w:val="clear" w:color="auto" w:fill="auto"/>
            <w:tcMar>
              <w:top w:w="100" w:type="dxa"/>
              <w:left w:w="100" w:type="dxa"/>
              <w:bottom w:w="100" w:type="dxa"/>
              <w:right w:w="100" w:type="dxa"/>
            </w:tcMar>
          </w:tcPr>
          <w:p w14:paraId="795C1F3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Îmbunătățirea și eficientizarea sistemului de alimentare cu apă, incluzand aici realizarea/refacerea infrastructurii privind asigurarea apei pentru irigații;</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27AF8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385501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C5D725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7F86F7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0D8E56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BE44FB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7A323DA3"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21B2584B"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nil"/>
              <w:bottom w:val="single" w:sz="8" w:space="0" w:color="000000"/>
              <w:right w:val="single" w:sz="5" w:space="0" w:color="000000"/>
            </w:tcBorders>
            <w:shd w:val="clear" w:color="auto" w:fill="auto"/>
            <w:tcMar>
              <w:top w:w="100" w:type="dxa"/>
              <w:left w:w="100" w:type="dxa"/>
              <w:bottom w:w="100" w:type="dxa"/>
              <w:right w:w="100" w:type="dxa"/>
            </w:tcMar>
          </w:tcPr>
          <w:p w14:paraId="51F2071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 xml:space="preserve">Utilizarea soiurilor de culturi </w:t>
            </w:r>
            <w:sdt>
              <w:sdtPr>
                <w:rPr>
                  <w:sz w:val="20"/>
                  <w:szCs w:val="20"/>
                </w:rPr>
                <w:tag w:val="goog_rdk_63"/>
                <w:id w:val="837583097"/>
              </w:sdtPr>
              <w:sdtContent>
                <w:r w:rsidRPr="00B30FA0">
                  <w:rPr>
                    <w:rFonts w:eastAsia="Times New Roman" w:cs="Times New Roman"/>
                    <w:sz w:val="20"/>
                    <w:szCs w:val="20"/>
                  </w:rPr>
                  <w:t>rezistente</w:t>
                </w:r>
              </w:sdtContent>
            </w:sdt>
            <w:r w:rsidRPr="00B30FA0">
              <w:rPr>
                <w:rFonts w:eastAsia="Times New Roman" w:cs="Times New Roman"/>
                <w:sz w:val="20"/>
                <w:szCs w:val="20"/>
              </w:rPr>
              <w:t xml:space="preserve"> la secetă și temperaturi ridicate;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05FE8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A0160D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1ED315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38A754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1C0FD4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3C07AC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244C1707"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74739C42"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nil"/>
              <w:bottom w:val="single" w:sz="8" w:space="0" w:color="000000"/>
              <w:right w:val="single" w:sz="5" w:space="0" w:color="000000"/>
            </w:tcBorders>
            <w:shd w:val="clear" w:color="auto" w:fill="auto"/>
            <w:tcMar>
              <w:top w:w="100" w:type="dxa"/>
              <w:left w:w="100" w:type="dxa"/>
              <w:bottom w:w="100" w:type="dxa"/>
              <w:right w:w="100" w:type="dxa"/>
            </w:tcMar>
          </w:tcPr>
          <w:p w14:paraId="123E8E8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Înființarea de perdele forestiere pentru obținerea unor condiții de microclimat favorabil culturilor agricole și pentru protecția calității solurilor de pe terenurile agricole;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EEC94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AD7D4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5AB81E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FA4545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E444F0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D983C4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7DE99FDB" w14:textId="77777777" w:rsidTr="00B27196">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161C2EBA" w14:textId="77777777" w:rsidR="00B30FA0" w:rsidRPr="00B30FA0" w:rsidRDefault="00B30FA0" w:rsidP="00B30FA0">
            <w:pPr>
              <w:spacing w:after="0" w:line="240" w:lineRule="auto"/>
              <w:ind w:firstLine="42"/>
              <w:rPr>
                <w:rFonts w:eastAsia="Times New Roman" w:cs="Times New Roman"/>
                <w:sz w:val="20"/>
                <w:szCs w:val="20"/>
              </w:rPr>
            </w:pPr>
          </w:p>
          <w:p w14:paraId="52395E7A" w14:textId="77777777" w:rsidR="00B30FA0" w:rsidRPr="00B30FA0" w:rsidRDefault="00B30FA0" w:rsidP="00B30FA0">
            <w:pPr>
              <w:spacing w:after="0" w:line="240" w:lineRule="auto"/>
              <w:ind w:firstLine="42"/>
              <w:rPr>
                <w:rFonts w:eastAsia="Times New Roman" w:cs="Times New Roman"/>
                <w:sz w:val="20"/>
                <w:szCs w:val="20"/>
              </w:rPr>
            </w:pPr>
          </w:p>
          <w:p w14:paraId="7DEA3E0A"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 xml:space="preserve">M6.5 Realizarea unei evaluări detaliate a vulnerabilității zonei de coastă la inundații, identificarea și analizarea </w:t>
            </w:r>
            <w:r w:rsidRPr="00B30FA0">
              <w:rPr>
                <w:rFonts w:eastAsia="Times New Roman" w:cs="Times New Roman"/>
                <w:sz w:val="20"/>
                <w:szCs w:val="20"/>
              </w:rPr>
              <w:lastRenderedPageBreak/>
              <w:t>riscurilor potențiale și stabilirea de măsuri prioritare de prevenire, atenuare, adaptare și remediere</w:t>
            </w:r>
          </w:p>
        </w:tc>
        <w:tc>
          <w:tcPr>
            <w:tcW w:w="6095" w:type="dxa"/>
            <w:tcBorders>
              <w:top w:val="single" w:sz="8" w:space="0" w:color="000000"/>
              <w:left w:val="nil"/>
              <w:bottom w:val="single" w:sz="8" w:space="0" w:color="000000"/>
              <w:right w:val="single" w:sz="5" w:space="0" w:color="000000"/>
            </w:tcBorders>
            <w:shd w:val="clear" w:color="auto" w:fill="auto"/>
            <w:tcMar>
              <w:top w:w="100" w:type="dxa"/>
              <w:left w:w="100" w:type="dxa"/>
              <w:bottom w:w="100" w:type="dxa"/>
              <w:right w:w="100" w:type="dxa"/>
            </w:tcMar>
          </w:tcPr>
          <w:p w14:paraId="1E5B100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lastRenderedPageBreak/>
              <w:t>Îmbunătățirea sistemului de avertizare timpurie și notificare pentru inundații</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82A2E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CB040E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0B68E4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67BE6DF"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A54C6A4"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1553BF3"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745EA178"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06A698D0"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nil"/>
              <w:bottom w:val="single" w:sz="8" w:space="0" w:color="000000"/>
              <w:right w:val="single" w:sz="5" w:space="0" w:color="000000"/>
            </w:tcBorders>
            <w:shd w:val="clear" w:color="auto" w:fill="auto"/>
            <w:tcMar>
              <w:top w:w="100" w:type="dxa"/>
              <w:left w:w="100" w:type="dxa"/>
              <w:bottom w:w="100" w:type="dxa"/>
              <w:right w:w="100" w:type="dxa"/>
            </w:tcMar>
          </w:tcPr>
          <w:p w14:paraId="4041079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Îmbunătățirea sistemelor de drenaj (în localități, infrastructură rutieră, feroviară, etc.)</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CD86F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CBED03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F47F50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68FD60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7118A4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6F29C3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64CAD8F2"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6D657619"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nil"/>
              <w:bottom w:val="single" w:sz="8" w:space="0" w:color="000000"/>
              <w:right w:val="single" w:sz="5" w:space="0" w:color="000000"/>
            </w:tcBorders>
            <w:shd w:val="clear" w:color="auto" w:fill="auto"/>
            <w:tcMar>
              <w:top w:w="100" w:type="dxa"/>
              <w:left w:w="100" w:type="dxa"/>
              <w:bottom w:w="100" w:type="dxa"/>
              <w:right w:w="100" w:type="dxa"/>
            </w:tcMar>
          </w:tcPr>
          <w:p w14:paraId="6870808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 xml:space="preserve">Împădurirea zonelor degradate cu productivitate scăzută, precum și ameliorarea suprafețelor forestiere degradate în vederea producerii </w:t>
            </w:r>
            <w:r w:rsidRPr="00B30FA0">
              <w:rPr>
                <w:rFonts w:eastAsia="Times New Roman" w:cs="Times New Roman"/>
                <w:sz w:val="20"/>
                <w:szCs w:val="20"/>
              </w:rPr>
              <w:lastRenderedPageBreak/>
              <w:t>efectelor antieroziune (combinarea măsurilor și lucrărilor biologice, biotehnice și tehnice)</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FEFCE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lastRenderedPageBreak/>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39FA0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63A720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B3658C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EF9A8E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AD0BC0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4ADA5ED5"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54F1ABEE"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nil"/>
              <w:bottom w:val="single" w:sz="8" w:space="0" w:color="000000"/>
              <w:right w:val="single" w:sz="5" w:space="0" w:color="000000"/>
            </w:tcBorders>
            <w:shd w:val="clear" w:color="auto" w:fill="auto"/>
            <w:tcMar>
              <w:top w:w="100" w:type="dxa"/>
              <w:left w:w="100" w:type="dxa"/>
              <w:bottom w:w="100" w:type="dxa"/>
              <w:right w:w="100" w:type="dxa"/>
            </w:tcMar>
          </w:tcPr>
          <w:p w14:paraId="565DB88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Lucrări și măsuri care vizează protecția împotriva inundațiilor, protecția împotriva eroziunii cauzate de apă, vânt și torenți, drenarea și eliminarea consecințelor unor astfel de impacturi ale inundațiilor (împăduriri, plantare de iarbă, stuf, terasare, curățarea albiei etc.)</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7C0E0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633AC6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7693D7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B68B0F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5AA5D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297F68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1F25E84C"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3674E287"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8" w:space="0" w:color="000000"/>
              <w:left w:val="nil"/>
              <w:bottom w:val="single" w:sz="8" w:space="0" w:color="000000"/>
              <w:right w:val="single" w:sz="5" w:space="0" w:color="000000"/>
            </w:tcBorders>
            <w:shd w:val="clear" w:color="auto" w:fill="auto"/>
            <w:tcMar>
              <w:top w:w="100" w:type="dxa"/>
              <w:left w:w="100" w:type="dxa"/>
              <w:bottom w:w="100" w:type="dxa"/>
              <w:right w:w="100" w:type="dxa"/>
            </w:tcMar>
          </w:tcPr>
          <w:p w14:paraId="3D23240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Impunerea de interdicții de: defrișarea și tăierea pădurilor în zonele erodate; denudarea zonelor; nivelarea necontrolată a terenurilor necultivate; umplerea izvoarelor; construirea de structuri care ar putea pune în pericol stabilitatea terenului și întreprinderea altor acțiuni care duc la eroziune și apariția torenților</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829988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RS / RF</w:t>
            </w:r>
          </w:p>
          <w:p w14:paraId="3ECD3C2C" w14:textId="77777777" w:rsidR="00B30FA0" w:rsidRPr="00B30FA0" w:rsidRDefault="00B30FA0" w:rsidP="00B30FA0">
            <w:pPr>
              <w:ind w:firstLine="0"/>
              <w:rPr>
                <w:rFonts w:eastAsia="Times New Roman" w:cs="Times New Roman"/>
                <w:sz w:val="20"/>
                <w:szCs w:val="20"/>
              </w:rPr>
            </w:pPr>
          </w:p>
          <w:p w14:paraId="628A489C" w14:textId="77777777" w:rsidR="00B30FA0" w:rsidRPr="00B30FA0" w:rsidRDefault="00B30FA0" w:rsidP="00B30FA0">
            <w:pPr>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E1086B3"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B0C6ECD"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70365FE"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86CB1F7"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CF431C3"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1922B750" w14:textId="77777777" w:rsidTr="00B27196">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0C4D7904"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M7.1 Stimularea întreprinderilor care obțin eticheta ecologică pentru activitatea de cazare turistică</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32833E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Realizarea de campanii de promovare și informare a deținătorilor și managerilor structurilor de primire turistică asupra criteriilor pentru încadrarea în program și ale avantajelor obținerii “Eticheta ecologică în turism“</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85C915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23FAD2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FE3DF5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3FB920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51CE6D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0D07B9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2B6FFB31"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63DF2EE8"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41778F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Inițierea și aprobarea, prin Hotărâre de Guvern, a unui Program de stimulare a întreprinderilor din turism care au obținut, urmare investițiilor realizate, “Eticheta ecologică în turism“.</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3893B4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2B4FE6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4913BF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2B65E8E"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9562FAB"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A6FBB43"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2257D3F9" w14:textId="77777777" w:rsidTr="00B27196">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02045867"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M7.2 Stimularea operatorilor de plaje și de porturi de agrement care reușesc să obțină distincția Blue Flag</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BC0137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Realizarea de campanii de promovare și informare a antreprenorilor cu privire la criteriile pentru încadrarea în program și avantajele programului</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2B801A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824DF8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99F1E4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85A198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393559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6478F7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51DED354"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1E6BC815"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7E7923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Realizarea de campanii de promovare a plajelor și porturilor de agrement care au obținut distincția Blue Flag</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9E01CF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5C5292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7C8477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96942B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6324F8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323076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0A1291B4"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6C5E151B"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05C939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color w:val="000000"/>
                <w:sz w:val="20"/>
                <w:szCs w:val="20"/>
              </w:rPr>
              <w:t>Inițierea și aprobarea, prin Hotărâre de Guvern, a unui Program de stimulare a operatorilor din turism care au obținut, urmare investițiilor realizate, distincția Blue Flag.</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7A99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752625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949FC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6C2FAF3"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1220BB3"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227C08C"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03D0C86F" w14:textId="77777777" w:rsidTr="00B27196">
        <w:trPr>
          <w:trHeight w:val="589"/>
        </w:trPr>
        <w:tc>
          <w:tcPr>
            <w:tcW w:w="2541" w:type="dxa"/>
            <w:vMerge w:val="restart"/>
            <w:tcBorders>
              <w:top w:val="single" w:sz="8" w:space="0" w:color="000000"/>
              <w:left w:val="single" w:sz="8" w:space="0" w:color="000000"/>
              <w:right w:val="single" w:sz="8" w:space="0" w:color="000000"/>
            </w:tcBorders>
            <w:vAlign w:val="center"/>
          </w:tcPr>
          <w:p w14:paraId="056C6DE0"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lastRenderedPageBreak/>
              <w:t>M7.3 Inițierea și implementarea unui program de dezvoltare a turismului subacvatic</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BBFE8CB"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Revizuirea legislației privind reglementarea activităților de scufundare în scop recreativ și științific</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C5272F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RS / RF</w:t>
            </w:r>
          </w:p>
          <w:p w14:paraId="02121314"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A729E8A"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A38D76B"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1AD190D"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8A6D594"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35C37AE"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5AF80A8E" w14:textId="77777777" w:rsidTr="00B27196">
        <w:trPr>
          <w:trHeight w:val="440"/>
        </w:trPr>
        <w:tc>
          <w:tcPr>
            <w:tcW w:w="2541" w:type="dxa"/>
            <w:vMerge/>
            <w:tcBorders>
              <w:top w:val="single" w:sz="8" w:space="0" w:color="000000"/>
              <w:left w:val="single" w:sz="8" w:space="0" w:color="000000"/>
              <w:right w:val="single" w:sz="8" w:space="0" w:color="000000"/>
            </w:tcBorders>
            <w:vAlign w:val="center"/>
          </w:tcPr>
          <w:p w14:paraId="7BA602F7"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ACCCA39"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Realizarea de campanii de conștientizare a importanței protejării și conservării patrimoniului cultural subacvatic;</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D76B65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E3ED67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BB6746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19CD08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7F9034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70020D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6C616F91" w14:textId="77777777" w:rsidTr="00B27196">
        <w:trPr>
          <w:trHeight w:val="440"/>
        </w:trPr>
        <w:tc>
          <w:tcPr>
            <w:tcW w:w="2541" w:type="dxa"/>
            <w:vMerge/>
            <w:tcBorders>
              <w:top w:val="single" w:sz="8" w:space="0" w:color="000000"/>
              <w:left w:val="single" w:sz="8" w:space="0" w:color="000000"/>
              <w:right w:val="single" w:sz="8" w:space="0" w:color="000000"/>
            </w:tcBorders>
            <w:vAlign w:val="center"/>
          </w:tcPr>
          <w:p w14:paraId="78B9C392"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990BE04"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Realizarea de campanii pentru promovarea turismului subacvatic la litoralul românesc</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0D64A3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7EAD52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6FF646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EBC72B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E8A2E3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61B323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1CFAED47" w14:textId="77777777" w:rsidTr="00B27196">
        <w:trPr>
          <w:trHeight w:val="440"/>
        </w:trPr>
        <w:tc>
          <w:tcPr>
            <w:tcW w:w="2541" w:type="dxa"/>
            <w:vMerge/>
            <w:tcBorders>
              <w:top w:val="single" w:sz="8" w:space="0" w:color="000000"/>
              <w:left w:val="single" w:sz="8" w:space="0" w:color="000000"/>
              <w:right w:val="single" w:sz="8" w:space="0" w:color="000000"/>
            </w:tcBorders>
            <w:vAlign w:val="center"/>
          </w:tcPr>
          <w:p w14:paraId="710211D9"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7739B8E"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Inițierea și implementarea de programe de pregătire / specializare pentru ghizii turistici (scuba - diving, arheologie subacvatică, istorie, etc);</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9237BD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151C3B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8CD0AB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D209E7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76B22F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429A71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2C894F62" w14:textId="77777777" w:rsidTr="00B27196">
        <w:trPr>
          <w:trHeight w:val="440"/>
        </w:trPr>
        <w:tc>
          <w:tcPr>
            <w:tcW w:w="2541" w:type="dxa"/>
            <w:vMerge/>
            <w:tcBorders>
              <w:top w:val="single" w:sz="8" w:space="0" w:color="000000"/>
              <w:left w:val="single" w:sz="8" w:space="0" w:color="000000"/>
              <w:right w:val="single" w:sz="8" w:space="0" w:color="000000"/>
            </w:tcBorders>
            <w:vAlign w:val="center"/>
          </w:tcPr>
          <w:p w14:paraId="031AF0DE"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B971D56"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Inițierea și implementarea de proiecte pentru identificarea rutelor turistice subacvatice și interconectarea lor la siturile culturale terestre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F4D37E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06734B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25F5F5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FD8C81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82265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E06236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162C1AF0" w14:textId="77777777" w:rsidTr="00B27196">
        <w:trPr>
          <w:trHeight w:val="440"/>
        </w:trPr>
        <w:tc>
          <w:tcPr>
            <w:tcW w:w="2541" w:type="dxa"/>
            <w:vMerge/>
            <w:tcBorders>
              <w:top w:val="single" w:sz="8" w:space="0" w:color="000000"/>
              <w:left w:val="single" w:sz="8" w:space="0" w:color="000000"/>
              <w:right w:val="single" w:sz="8" w:space="0" w:color="000000"/>
            </w:tcBorders>
            <w:vAlign w:val="center"/>
          </w:tcPr>
          <w:p w14:paraId="2AB72D15"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049473C"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Inițierea și implementarea de proiecte de restaurare a siturilor și obiectelor subacvatice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63EA30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C00783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911A74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54C51C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BEADF9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C91887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35907BBC" w14:textId="77777777" w:rsidTr="00B27196">
        <w:trPr>
          <w:trHeight w:val="440"/>
        </w:trPr>
        <w:tc>
          <w:tcPr>
            <w:tcW w:w="2541" w:type="dxa"/>
            <w:vMerge w:val="restart"/>
            <w:tcBorders>
              <w:top w:val="single" w:sz="8" w:space="0" w:color="000000"/>
              <w:left w:val="single" w:sz="8" w:space="0" w:color="000000"/>
              <w:right w:val="single" w:sz="8" w:space="0" w:color="000000"/>
            </w:tcBorders>
            <w:vAlign w:val="center"/>
          </w:tcPr>
          <w:p w14:paraId="35123265"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M7.4 Reabilitarea stocurilor de pești cu valoare comercială, încurajarea și susținerea implementării procedurilor/tehnicilor și tehnologiilor de pescuit sustenabil prin acordarea de stimulente</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62411EE"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Reabilitarea ecologică a zonelor de reproducere și creștere a stadiilor timpurii, pentru refacerea stocurilor și rutelor de migraţie a peştilor și pentru decolmatarea căilor de acces</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D084A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A7D75B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A1A148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5912CB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D6D6DD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A1C2A5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5FF2B89C" w14:textId="77777777" w:rsidTr="00B27196">
        <w:trPr>
          <w:trHeight w:val="440"/>
        </w:trPr>
        <w:tc>
          <w:tcPr>
            <w:tcW w:w="2541" w:type="dxa"/>
            <w:vMerge/>
            <w:tcBorders>
              <w:top w:val="single" w:sz="8" w:space="0" w:color="000000"/>
              <w:left w:val="single" w:sz="8" w:space="0" w:color="000000"/>
              <w:right w:val="single" w:sz="8" w:space="0" w:color="000000"/>
            </w:tcBorders>
            <w:vAlign w:val="center"/>
          </w:tcPr>
          <w:p w14:paraId="02E79D03"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A7F3B09" w14:textId="77777777" w:rsidR="00B30FA0" w:rsidRPr="00B30FA0" w:rsidRDefault="00B30FA0" w:rsidP="00B30FA0">
            <w:pPr>
              <w:ind w:firstLine="0"/>
              <w:rPr>
                <w:rFonts w:eastAsia="Times New Roman" w:cs="Times New Roman"/>
                <w:color w:val="000000"/>
                <w:sz w:val="20"/>
                <w:szCs w:val="20"/>
              </w:rPr>
            </w:pPr>
            <w:r w:rsidRPr="00B30FA0">
              <w:rPr>
                <w:rFonts w:eastAsia="Times New Roman" w:cs="Times New Roman"/>
                <w:color w:val="000000"/>
                <w:sz w:val="20"/>
                <w:szCs w:val="20"/>
              </w:rPr>
              <w:t>Îmbunătățirea/corelarea legislaţiei naţionale în acord cu legislația europeană, privind:</w:t>
            </w:r>
          </w:p>
          <w:p w14:paraId="4E086B90" w14:textId="77777777" w:rsidR="00B30FA0" w:rsidRPr="00B30FA0" w:rsidRDefault="00B30FA0" w:rsidP="00B30FA0">
            <w:pPr>
              <w:ind w:firstLine="0"/>
              <w:rPr>
                <w:rFonts w:eastAsia="Times New Roman" w:cs="Times New Roman"/>
                <w:color w:val="000000"/>
                <w:sz w:val="20"/>
                <w:szCs w:val="20"/>
              </w:rPr>
            </w:pPr>
            <w:r w:rsidRPr="00B30FA0">
              <w:rPr>
                <w:rFonts w:eastAsia="Times New Roman" w:cs="Times New Roman"/>
                <w:color w:val="000000"/>
                <w:sz w:val="20"/>
                <w:szCs w:val="20"/>
              </w:rPr>
              <w:t>i) folosirea uneltelor de pescuit, precum plasele monofilament, combaterea, cu măsuri reale, a braconajului,</w:t>
            </w:r>
          </w:p>
          <w:p w14:paraId="341352FD" w14:textId="77777777" w:rsidR="00B30FA0" w:rsidRPr="00B30FA0" w:rsidRDefault="00B30FA0" w:rsidP="00B30FA0">
            <w:pPr>
              <w:ind w:firstLine="0"/>
              <w:rPr>
                <w:rFonts w:eastAsia="Times New Roman" w:cs="Times New Roman"/>
                <w:color w:val="000000"/>
                <w:sz w:val="20"/>
                <w:szCs w:val="20"/>
              </w:rPr>
            </w:pPr>
            <w:r w:rsidRPr="00B30FA0">
              <w:rPr>
                <w:rFonts w:eastAsia="Times New Roman" w:cs="Times New Roman"/>
                <w:color w:val="000000"/>
                <w:sz w:val="20"/>
                <w:szCs w:val="20"/>
              </w:rPr>
              <w:t>ii) consultarea reprezentanţilor din pescării în elaborarea de politici care influenţează domeniul pescaresc,</w:t>
            </w:r>
          </w:p>
          <w:p w14:paraId="64637CBD"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iii) protejarea intereselor pescarilor autohtoni și acordarea de compensaţii financiare în perioade nefavorabile, îmbunătăţirea condiţiilor de muncă ale pescarilor</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B54DC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175B37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B71E25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B044FAF"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F71DBFE"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E117CEF"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764BFA32" w14:textId="77777777" w:rsidTr="00B27196">
        <w:trPr>
          <w:trHeight w:val="440"/>
        </w:trPr>
        <w:tc>
          <w:tcPr>
            <w:tcW w:w="2541" w:type="dxa"/>
            <w:vMerge/>
            <w:tcBorders>
              <w:top w:val="single" w:sz="8" w:space="0" w:color="000000"/>
              <w:left w:val="single" w:sz="8" w:space="0" w:color="000000"/>
              <w:right w:val="single" w:sz="8" w:space="0" w:color="000000"/>
            </w:tcBorders>
            <w:vAlign w:val="center"/>
          </w:tcPr>
          <w:p w14:paraId="7DA12610"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A3E3B82"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Crearea unui fond de garantare pentru sectorul operaţional de pescuit</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07DC24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39294F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9691DD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0AAD311"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47006B8"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8BEAEFC"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47584F55" w14:textId="77777777" w:rsidTr="00B27196">
        <w:trPr>
          <w:trHeight w:val="440"/>
        </w:trPr>
        <w:tc>
          <w:tcPr>
            <w:tcW w:w="2541" w:type="dxa"/>
            <w:vMerge/>
            <w:tcBorders>
              <w:top w:val="single" w:sz="8" w:space="0" w:color="000000"/>
              <w:left w:val="single" w:sz="8" w:space="0" w:color="000000"/>
              <w:right w:val="single" w:sz="8" w:space="0" w:color="000000"/>
            </w:tcBorders>
            <w:vAlign w:val="center"/>
          </w:tcPr>
          <w:p w14:paraId="5BCA4BA5"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AC4DFF7"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Alocarea de terenuri care să servească amenajării de adăposturi pescăreşti în vederea reactivării pescuitului costier la scară redusă</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DD0FD9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59C80D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0067D0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3F6A092"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77B01FD"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50837FB"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4AC99545" w14:textId="77777777" w:rsidTr="00B27196">
        <w:trPr>
          <w:trHeight w:val="440"/>
        </w:trPr>
        <w:tc>
          <w:tcPr>
            <w:tcW w:w="2541" w:type="dxa"/>
            <w:vMerge/>
            <w:tcBorders>
              <w:top w:val="single" w:sz="8" w:space="0" w:color="000000"/>
              <w:left w:val="single" w:sz="8" w:space="0" w:color="000000"/>
              <w:right w:val="single" w:sz="8" w:space="0" w:color="000000"/>
            </w:tcBorders>
            <w:vAlign w:val="center"/>
          </w:tcPr>
          <w:p w14:paraId="21E83DBB"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594FE35"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Realizarea de campanii de conștientizare și de instruire a pescarilor și piscicultorilor</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FE917D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C444BC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31AEAE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AB1835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707A2A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AF7AD8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5FCAC9D6" w14:textId="77777777" w:rsidTr="00B27196">
        <w:trPr>
          <w:trHeight w:val="440"/>
        </w:trPr>
        <w:tc>
          <w:tcPr>
            <w:tcW w:w="2541" w:type="dxa"/>
            <w:vMerge/>
            <w:tcBorders>
              <w:top w:val="single" w:sz="8" w:space="0" w:color="000000"/>
              <w:left w:val="single" w:sz="8" w:space="0" w:color="000000"/>
              <w:right w:val="single" w:sz="8" w:space="0" w:color="000000"/>
            </w:tcBorders>
            <w:vAlign w:val="center"/>
          </w:tcPr>
          <w:p w14:paraId="327067DC"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D4D3D10"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Stimularea activităţii de cercetare în domeniul piscicol.</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72C55F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AEBE08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612043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C38BC5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79F752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B5E680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2742D20C" w14:textId="77777777" w:rsidTr="00B27196">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01ADEE0A"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M7.5 Dezvoltarea infrastructurii pescărești și utilizarea de mijloace de pescuit prietenoase cu mediul pentru evitarea deteriorării substratului marin și diminuarea presiunii asupra mediului</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8919A34"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Elaborarea și implementarea programelor pentru modernizarea ambarcaţiunilor de pescuit, dotarea cu echipamente de navigaţie şi plase de pescuit specializate, diferenţiat pe specii de peşte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4D5629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933C69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2572D1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569536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4B04E2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AB25A6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6B82E67F"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4980EBDA"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1E4EDB3"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Elaborarea și implementarea programelor privind modernizarea uneltelor de pescuit, respectiv achiziţia de noi unelte, schimbarea motoarelor ambarcaţiunilor</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67FCE4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01898E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AAF01E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6E7E96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9F21E5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883989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5234094C"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17D19525"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E535B6C"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Îmbunătățirea bazei logistice prin retehnologizare şi modernizarea infrastructurii, achiziționarea de echipamente moderne și soft-uri specializate pentru standardizarea metodelor de pescuit și procesarea datelor de producție.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EE713C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1EF89F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D8BE70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B2AB06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FBEA72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0204CE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62C5701A" w14:textId="77777777" w:rsidTr="00B27196">
        <w:trPr>
          <w:trHeight w:val="440"/>
        </w:trPr>
        <w:tc>
          <w:tcPr>
            <w:tcW w:w="2541" w:type="dxa"/>
            <w:vMerge w:val="restart"/>
            <w:tcBorders>
              <w:top w:val="single" w:sz="8" w:space="0" w:color="000000"/>
              <w:left w:val="single" w:sz="8" w:space="0" w:color="000000"/>
              <w:right w:val="single" w:sz="8" w:space="0" w:color="000000"/>
            </w:tcBorders>
            <w:vAlign w:val="center"/>
          </w:tcPr>
          <w:p w14:paraId="31558359"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M7.6 Dezvoltarea acvaculturii costiere (marine, terestre) prietenoase cu mediul</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89CC5E6"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Identificarea și concesionarea zonelor și selectarea speciilor pretabile pentru acvacultură</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160D6D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RS /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B1F6248"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E0A2C03"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7475059"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5E2377B"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27738A8"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3160039F" w14:textId="77777777" w:rsidTr="00B27196">
        <w:trPr>
          <w:trHeight w:val="440"/>
        </w:trPr>
        <w:tc>
          <w:tcPr>
            <w:tcW w:w="2541" w:type="dxa"/>
            <w:vMerge/>
            <w:tcBorders>
              <w:top w:val="single" w:sz="8" w:space="0" w:color="000000"/>
              <w:left w:val="single" w:sz="8" w:space="0" w:color="000000"/>
              <w:right w:val="single" w:sz="8" w:space="0" w:color="000000"/>
            </w:tcBorders>
            <w:vAlign w:val="center"/>
          </w:tcPr>
          <w:p w14:paraId="4B6A8503"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07DAFB0"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Implementarea standardelor de calitate pentru peştele de consum livrat în stare vie, în special în cazul aplicării unor tehnologii ecologice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C9C67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D04AD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CD3814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9146DEC"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FC9AF74"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75CE23D"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46C0CB5D" w14:textId="77777777" w:rsidTr="00B27196">
        <w:trPr>
          <w:trHeight w:val="440"/>
        </w:trPr>
        <w:tc>
          <w:tcPr>
            <w:tcW w:w="2541" w:type="dxa"/>
            <w:vMerge/>
            <w:tcBorders>
              <w:top w:val="single" w:sz="8" w:space="0" w:color="000000"/>
              <w:left w:val="single" w:sz="8" w:space="0" w:color="000000"/>
              <w:right w:val="single" w:sz="8" w:space="0" w:color="000000"/>
            </w:tcBorders>
            <w:vAlign w:val="center"/>
          </w:tcPr>
          <w:p w14:paraId="4B77ACD9"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92EE29D"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Dezvoltarea/consolidarea infrastructurii specifice, inclusiv crearea și dezvoltarea de puncte de debarcare numai pentru acvacultură</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6B87C7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E8B125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84B167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3A9363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D926A5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505B36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63AC0626" w14:textId="77777777" w:rsidTr="00B27196">
        <w:trPr>
          <w:trHeight w:val="440"/>
        </w:trPr>
        <w:tc>
          <w:tcPr>
            <w:tcW w:w="2541" w:type="dxa"/>
            <w:vMerge/>
            <w:tcBorders>
              <w:top w:val="single" w:sz="8" w:space="0" w:color="000000"/>
              <w:left w:val="single" w:sz="8" w:space="0" w:color="000000"/>
              <w:right w:val="single" w:sz="8" w:space="0" w:color="000000"/>
            </w:tcBorders>
            <w:vAlign w:val="center"/>
          </w:tcPr>
          <w:p w14:paraId="6D46912A"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73BE50E"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Implementarea sistemului de trasabilitate pentru produsele pescuite și cultivate, suport pentru sistemul integrat de monitorizare a traseului complet de la capturare până la consumatorul final</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FCF1A0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7269DD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F82216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E47BC7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115F17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1DDC3C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11CF6C00" w14:textId="77777777" w:rsidTr="00B27196">
        <w:trPr>
          <w:trHeight w:val="440"/>
        </w:trPr>
        <w:tc>
          <w:tcPr>
            <w:tcW w:w="2541" w:type="dxa"/>
            <w:vMerge/>
            <w:tcBorders>
              <w:top w:val="single" w:sz="8" w:space="0" w:color="000000"/>
              <w:left w:val="single" w:sz="8" w:space="0" w:color="000000"/>
              <w:right w:val="single" w:sz="8" w:space="0" w:color="000000"/>
            </w:tcBorders>
            <w:vAlign w:val="center"/>
          </w:tcPr>
          <w:p w14:paraId="5974D8D0"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2AE8AD0"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Implementarea unor programe de prevenţie şi tratament în cadrul unor reţele specializate pentru monitorizarea calităţii apei şi bolilor la peşti cu impact cantitativ şi calitativ asupra produsului final</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D1032F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17F183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3D21AC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E5A21B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2CCC9D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5672A5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5FACC0E6" w14:textId="77777777" w:rsidTr="00B27196">
        <w:trPr>
          <w:trHeight w:val="440"/>
        </w:trPr>
        <w:tc>
          <w:tcPr>
            <w:tcW w:w="2541" w:type="dxa"/>
            <w:vMerge/>
            <w:tcBorders>
              <w:top w:val="single" w:sz="8" w:space="0" w:color="000000"/>
              <w:left w:val="single" w:sz="8" w:space="0" w:color="000000"/>
              <w:right w:val="single" w:sz="8" w:space="0" w:color="000000"/>
            </w:tcBorders>
            <w:vAlign w:val="center"/>
          </w:tcPr>
          <w:p w14:paraId="5D6EF82A"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5335DFF"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Elaborarea și implementarea de măsuri fiscale care să asigurare producţia în cazul unor calamităţi naturale.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EA9A0F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C91908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7617E1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22F922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6077CF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8513D6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7D400F78" w14:textId="77777777" w:rsidTr="00B27196">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017131C4"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M7.7 Reabilitarea activităților tradiționale și valorificarea resursei stuficole din Delta Dunării</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E8EE97E"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Realizarea de campanii de conștientizare a populației locale și turiștilor cu privire la beneficiile reabilitării activităților tradiționale de valorificare a stufului, de noi oportunități de valorificare a resursei stuficole, alături de beneficiile economice pe care aceste oportunități le implică</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BA076F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5FFDDC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3EC209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4AB200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3F8072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D374AD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64328567"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1D9E734B"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2B9D218"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Inițiere și implementare de proiecte pilot pentru producerea de energie din stuf</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DBDD85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721FBA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DBFA19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BA6DD9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B90E66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0E45F8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1B91A5EB"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0134B0D1"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D6FE0B8"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Realizarea de cursuri de instruire în tehnici de construcție cu materiale din stuf adresate comunității locale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80CE5C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1D8276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C6BD2D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F85303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397963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96A3C2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7327EA75"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3D96D960"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F1E09C5"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Inițierea și implementarea de proiecte pentru valorificarea stufului ca materiale în construcția de locuințe tradiționale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E69B8D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8E5B82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FD656A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CC838F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83F0B6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5A5C29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18F86F79"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5D5A7A38"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30FAFF3"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Inițierea și implementarea de proiecte pilot pentru valorificarea resursei stuficole în industria modei și de design, promovarea acestui tip de valorificare prin organizarea de târguri, expoziții, etc.</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BDDF5E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D2FD69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F475A3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F5D764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F90654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1893D1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481B457B"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0DD93493"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0C2A70B"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Implementarea de proiecte pentru restaurarea zonelor de stufăriș afectate de degradare sau distrugere.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68F415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0C97E9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D0B441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4403E9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FAEC41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EA62D0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63C9BAF0" w14:textId="77777777" w:rsidTr="00B27196">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59455FF7" w14:textId="77777777" w:rsidR="00B30FA0" w:rsidRPr="00B30FA0" w:rsidRDefault="00B30FA0" w:rsidP="00B30FA0">
            <w:pPr>
              <w:spacing w:after="0" w:line="240" w:lineRule="auto"/>
              <w:ind w:firstLine="42"/>
              <w:rPr>
                <w:rFonts w:eastAsia="Times New Roman" w:cs="Times New Roman"/>
                <w:sz w:val="20"/>
                <w:szCs w:val="20"/>
              </w:rPr>
            </w:pPr>
          </w:p>
          <w:p w14:paraId="557F703B" w14:textId="77777777" w:rsidR="00B30FA0" w:rsidRPr="00B30FA0" w:rsidRDefault="00B30FA0" w:rsidP="00B30FA0">
            <w:pPr>
              <w:spacing w:after="0" w:line="240" w:lineRule="auto"/>
              <w:ind w:firstLine="42"/>
              <w:rPr>
                <w:rFonts w:eastAsia="Times New Roman" w:cs="Times New Roman"/>
                <w:sz w:val="20"/>
                <w:szCs w:val="20"/>
              </w:rPr>
            </w:pPr>
          </w:p>
          <w:p w14:paraId="150157AF" w14:textId="77777777" w:rsidR="00B30FA0" w:rsidRPr="00B30FA0" w:rsidRDefault="00B30FA0" w:rsidP="00B30FA0">
            <w:pPr>
              <w:spacing w:after="0" w:line="240" w:lineRule="auto"/>
              <w:ind w:firstLine="42"/>
              <w:rPr>
                <w:rFonts w:eastAsia="Times New Roman" w:cs="Times New Roman"/>
                <w:sz w:val="20"/>
                <w:szCs w:val="20"/>
              </w:rPr>
            </w:pPr>
          </w:p>
          <w:p w14:paraId="6F8D9CA7"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M7.8 Aplicarea de către producătorii locali a noilor politici agricole</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6BFA8D5"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Implementarea de soluții moderne, inovative pentru eficientizarea producției agricole (utilizarea teledetecției în colectarea datelor spațiale, utilizarea dronelor pentru supraveghere, evaluare, măsurători sau pentru aplicarea de soluții/substanțe (ex. fertilizanți, pesticide), utilizarea softurilor pentru controlul și gestionarea eficientă a echipamentelor și a materialelor din ferme, etc)</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1BCB81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FEF137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1CB60A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248A48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DC238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34B1DF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0CE77948"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4D156F17"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A53A065"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Implementarea unor programe de gestiune computerizată în special pentru fermele mici și mijlocii</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53D10C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2B9136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1296AD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CF3DA6D"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20F3CCD"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D9C369A"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1C2E8217"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272486A4"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F4DFFFE"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Programe de sprijin pentru asocierea comunităților de fermieri din zona costieră pentru creșterea eficienței în desfacerea produselor pe plan local</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E6298E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78FAEE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E35B27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D0CD500"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0544362"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BA9CD1C"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3DB6C879"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3F417ACE"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E11117E"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Organizarea periodică de întâlniri între fermieri și alți antreprenori (operatori de turism, reprezentanți ai altor comunități de afaceri, reprezentanți ai comunităților locale) prin care să fie promovate ideile, schimburile și care să întărească comunitatea de afaceri din zona costieră, cu beneficii pentru toată zona litorală.</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FD8F4B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1324BC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1911B6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6D62F8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1E9ABA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C6AF14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50227974" w14:textId="77777777" w:rsidTr="00B27196">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28358CB8"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M7.9 Implementarea proiectelor de transport fluvial verde în Delta Dunării</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964429E"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Realizarea de campanii de conștientizare a operatorilor de transport fluvial, a operatorilor turistici, precum și a asociațiilor de pescari privind efectele negative ale transportului fluvial cu combustibili convenționali asupra stării ecosistemului deltaic și a serviciilor furnizate de către acesta comunității locale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65C5DB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084502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F02FE9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EDE9A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22A979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70684D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025E068B"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559A3912"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88C50E4"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Inițierea și implementarea unor proiecte pilot pentru testarea unor soluțiii de transport bazat pe surse neconvenționale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A07FD2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F871E6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DA6247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9D1DB5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2D8B16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E19E47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3245F5C1"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6C2DB226"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01849BA"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Identificarea unor mecanisme financiare de stimulare a folosirii ambarcațiunilor ce folosesc combustibili neconvenționali (“transportului verde”)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ED140F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RS /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CB5CF6C"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5E32299"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5B3228D"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4411BF7"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0DABB09"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22A0EC0D"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40F1AA68"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2232197"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Identificarea unor mecanisme financiare de stimulare a operatorilor de transport, turistici și pescarilor pentru scoaterea din uz a ambarcațiunilor cu motoare vechi, poluante.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8CC4E1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RS /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0DD611E"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7E36050"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8F2C18A"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3F7C6B1"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38E3C02"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1903601E" w14:textId="77777777" w:rsidTr="00B27196">
        <w:trPr>
          <w:trHeight w:val="440"/>
        </w:trPr>
        <w:tc>
          <w:tcPr>
            <w:tcW w:w="2541" w:type="dxa"/>
            <w:vMerge w:val="restart"/>
            <w:tcBorders>
              <w:top w:val="single" w:sz="8" w:space="0" w:color="000000"/>
              <w:left w:val="single" w:sz="8" w:space="0" w:color="000000"/>
              <w:right w:val="single" w:sz="8" w:space="0" w:color="000000"/>
            </w:tcBorders>
            <w:vAlign w:val="center"/>
          </w:tcPr>
          <w:p w14:paraId="128C619A"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M7.10 Dezvoltarea porturilor “verzi” la litoralul românesc al Mării Negre</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E89113C"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Implementarea unor proiecte pentru realizarea unui design ecologic al porturilor, care include perdele forestiere, ce contribuie la reducerea poluării atmosferice.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B66FEC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9497CF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34C446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FE83AF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B2B0DF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DC4913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3AFF40AB" w14:textId="77777777" w:rsidTr="00B27196">
        <w:trPr>
          <w:trHeight w:val="440"/>
        </w:trPr>
        <w:tc>
          <w:tcPr>
            <w:tcW w:w="2541" w:type="dxa"/>
            <w:vMerge/>
            <w:tcBorders>
              <w:top w:val="single" w:sz="8" w:space="0" w:color="000000"/>
              <w:left w:val="single" w:sz="8" w:space="0" w:color="000000"/>
              <w:right w:val="single" w:sz="8" w:space="0" w:color="000000"/>
            </w:tcBorders>
            <w:vAlign w:val="center"/>
          </w:tcPr>
          <w:p w14:paraId="318B2BC7"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31B32B5"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Implementarea proiectelor privind utilizarea surselor de energie regenerabilă în operațiunile și activitățile portuare (inclusiv transport).</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575133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76DCC3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A40212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945115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9B607B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7531FF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3FC08C3A" w14:textId="77777777" w:rsidTr="00B27196">
        <w:trPr>
          <w:trHeight w:val="440"/>
        </w:trPr>
        <w:tc>
          <w:tcPr>
            <w:tcW w:w="2541" w:type="dxa"/>
            <w:vMerge/>
            <w:tcBorders>
              <w:top w:val="single" w:sz="8" w:space="0" w:color="000000"/>
              <w:left w:val="single" w:sz="8" w:space="0" w:color="000000"/>
              <w:right w:val="single" w:sz="8" w:space="0" w:color="000000"/>
            </w:tcBorders>
            <w:vAlign w:val="center"/>
          </w:tcPr>
          <w:p w14:paraId="6D60C173"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3EA571C"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Identificarea și aplicarea de soluții moderne pentru tratarea și reciclarea deșeurilor de la nave, precum și a celor rezultate din diverse activități portuare.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01C8A3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1F0216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43F0F3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23788C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787CF7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02E6AB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27196" w14:paraId="22FD253C" w14:textId="77777777" w:rsidTr="005D522F">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58D06B41" w14:textId="77777777" w:rsidR="00B27196" w:rsidRPr="00B30FA0" w:rsidRDefault="00B27196" w:rsidP="00B27196">
            <w:pPr>
              <w:spacing w:after="0" w:line="240" w:lineRule="auto"/>
              <w:ind w:firstLine="42"/>
              <w:rPr>
                <w:rFonts w:eastAsia="Times New Roman" w:cs="Times New Roman"/>
                <w:sz w:val="20"/>
                <w:szCs w:val="20"/>
              </w:rPr>
            </w:pPr>
            <w:r w:rsidRPr="00B30FA0">
              <w:rPr>
                <w:rFonts w:eastAsia="Times New Roman" w:cs="Times New Roman"/>
                <w:sz w:val="20"/>
                <w:szCs w:val="20"/>
              </w:rPr>
              <w:t>M7.11 Evaluarea potențialului de valorificare a resurselor energetice regenerabile din zonă: energia eoliană, “inshore” și „offshore”, energia valurilor, fotovoltaică, etc.</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EAF82D1" w14:textId="004B2F7A" w:rsidR="00B27196" w:rsidRPr="00B30FA0" w:rsidRDefault="00B27196" w:rsidP="00B27196">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Elaborarea și implementarea de studii / proiecte pilot privind evaluarea potențialului de valorificare a energiei eoliene, energiei valurilor și fotovoltaice din zona costieră.</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E3A5C79" w14:textId="4DAB3B12" w:rsidR="00B27196" w:rsidRPr="00B30FA0" w:rsidRDefault="00B27196" w:rsidP="00B27196">
            <w:pPr>
              <w:spacing w:after="0" w:line="240" w:lineRule="auto"/>
              <w:ind w:firstLine="0"/>
              <w:rPr>
                <w:rFonts w:eastAsia="Times New Roman" w:cs="Times New Roman"/>
                <w:sz w:val="20"/>
                <w:szCs w:val="20"/>
              </w:rPr>
            </w:pPr>
            <w:r w:rsidRPr="00B27196">
              <w:rPr>
                <w:rFonts w:eastAsia="Times New Roman" w:cs="Times New Roman"/>
                <w:sz w:val="20"/>
                <w:szCs w:val="20"/>
              </w:rPr>
              <w:t>RS / 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5FFA71E9" w14:textId="0F1D9D3E" w:rsidR="00B27196" w:rsidRPr="00B30FA0" w:rsidRDefault="00B27196" w:rsidP="00B27196">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25F0DD53" w14:textId="3D282125" w:rsidR="00B27196" w:rsidRPr="00B30FA0" w:rsidRDefault="00B27196" w:rsidP="00B27196">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24677F4A" w14:textId="484E4153" w:rsidR="00B27196" w:rsidRPr="00B30FA0" w:rsidRDefault="00B27196" w:rsidP="00B27196">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18AEDF6" w14:textId="7BF28594" w:rsidR="00B27196" w:rsidRPr="00B30FA0" w:rsidRDefault="00B27196" w:rsidP="00B27196">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9D7B30F" w14:textId="2844B887" w:rsidR="00B27196" w:rsidRPr="00B30FA0" w:rsidRDefault="00B27196" w:rsidP="00B27196">
            <w:pPr>
              <w:spacing w:after="0" w:line="240" w:lineRule="auto"/>
              <w:ind w:firstLine="0"/>
              <w:rPr>
                <w:rFonts w:eastAsia="Times New Roman" w:cs="Times New Roman"/>
                <w:sz w:val="20"/>
                <w:szCs w:val="20"/>
              </w:rPr>
            </w:pPr>
          </w:p>
        </w:tc>
      </w:tr>
      <w:tr w:rsidR="00B30FA0" w14:paraId="623BC02F" w14:textId="77777777" w:rsidTr="005D522F">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648A4004"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6C6D5C3" w14:textId="41A58BC4" w:rsidR="00B30FA0" w:rsidRPr="00B30FA0" w:rsidRDefault="00B27196"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 xml:space="preserve">Realizarea de campanii pentru susţinerea şi promovarea producţiei de energie din surse alternative, regenerabile şi nepoluante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5035A6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CB0F77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C127157" w14:textId="1582616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w:t>
            </w:r>
            <w:r w:rsidR="005D522F">
              <w:rPr>
                <w:rFonts w:eastAsia="Times New Roman" w:cs="Times New Roman"/>
                <w:sz w:val="20"/>
                <w:szCs w:val="20"/>
              </w:rPr>
              <w:t>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3A92D9AB" w14:textId="41546D5B"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2EB53E67" w14:textId="4743C72A"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7A27C19E" w14:textId="276E4ED8" w:rsidR="00B30FA0" w:rsidRPr="00B30FA0" w:rsidRDefault="00B30FA0" w:rsidP="00B30FA0">
            <w:pPr>
              <w:spacing w:after="0" w:line="240" w:lineRule="auto"/>
              <w:ind w:firstLine="0"/>
              <w:rPr>
                <w:rFonts w:eastAsia="Times New Roman" w:cs="Times New Roman"/>
                <w:sz w:val="20"/>
                <w:szCs w:val="20"/>
              </w:rPr>
            </w:pPr>
          </w:p>
        </w:tc>
      </w:tr>
      <w:tr w:rsidR="00B30FA0" w14:paraId="1F648BA9" w14:textId="77777777" w:rsidTr="005D522F">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2948B998"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604D2FC" w14:textId="2F7B0D36" w:rsidR="00B30FA0" w:rsidRPr="00B30FA0" w:rsidRDefault="00B27196" w:rsidP="00B30FA0">
            <w:pPr>
              <w:spacing w:after="0" w:line="240" w:lineRule="auto"/>
              <w:ind w:firstLine="0"/>
              <w:rPr>
                <w:rFonts w:eastAsia="Times New Roman" w:cs="Times New Roman"/>
                <w:color w:val="000000"/>
                <w:sz w:val="20"/>
                <w:szCs w:val="20"/>
              </w:rPr>
            </w:pPr>
            <w:r w:rsidRPr="00B27196">
              <w:rPr>
                <w:rFonts w:eastAsia="Times New Roman" w:cs="Times New Roman"/>
                <w:color w:val="000000"/>
                <w:sz w:val="20"/>
                <w:szCs w:val="20"/>
              </w:rPr>
              <w:t>Sprijinirea instituțiilor și infrastructurilor de cercetare-dezvoltare de interes național și European pentru studierea resurselor energetice regenerabile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21EF46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893BC2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6A54995" w14:textId="5440F281"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w:t>
            </w:r>
            <w:r w:rsidR="005D522F">
              <w:rPr>
                <w:rFonts w:eastAsia="Times New Roman" w:cs="Times New Roman"/>
                <w:sz w:val="20"/>
                <w:szCs w:val="20"/>
              </w:rPr>
              <w:t>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7E049BD0" w14:textId="638B4C1D"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11DA6DBB" w14:textId="342C68EC"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03B05975" w14:textId="7BD277EF" w:rsidR="00B30FA0" w:rsidRPr="00B30FA0" w:rsidRDefault="00B30FA0" w:rsidP="00B30FA0">
            <w:pPr>
              <w:spacing w:after="0" w:line="240" w:lineRule="auto"/>
              <w:ind w:firstLine="0"/>
              <w:rPr>
                <w:rFonts w:eastAsia="Times New Roman" w:cs="Times New Roman"/>
                <w:sz w:val="20"/>
                <w:szCs w:val="20"/>
              </w:rPr>
            </w:pPr>
          </w:p>
        </w:tc>
      </w:tr>
      <w:tr w:rsidR="00B30FA0" w14:paraId="168AF1CB" w14:textId="77777777" w:rsidTr="00B27196">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6F4EA809"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M7.12 Susținerea și dezvoltarea de noi instrumente pentru transferul cunoștințelor din cercetare spre business în sectoarele Economiei Albastre</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79152B6"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Intensificarea finanțării cercetării-inovării, în special prin implementarea platformelor de parteneriate între autorități locale, mediu de afaceri, universități și institute de cercetare, precum și a unor HUB-uri/platforme naṭionale de inovare orientate pe Blue Economy</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D1EEA4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60DAD2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5B8C6C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CAF763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256403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1E9847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32BB4499"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6B6AAD32"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68336B2"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Dezvoltarea mecanismelor de valorificare rezultatelor cercetării prin transfer tehnologic.</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2D63B4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FAD134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DCA11C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4C1961A7"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4C41378"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12BA73A"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4C44825E" w14:textId="77777777" w:rsidTr="00B27196">
        <w:trPr>
          <w:trHeight w:val="440"/>
        </w:trPr>
        <w:tc>
          <w:tcPr>
            <w:tcW w:w="2541" w:type="dxa"/>
            <w:vMerge w:val="restart"/>
            <w:tcBorders>
              <w:top w:val="single" w:sz="8" w:space="0" w:color="000000"/>
              <w:left w:val="single" w:sz="8" w:space="0" w:color="000000"/>
              <w:bottom w:val="single" w:sz="8" w:space="0" w:color="000000"/>
              <w:right w:val="single" w:sz="8" w:space="0" w:color="000000"/>
            </w:tcBorders>
            <w:vAlign w:val="center"/>
          </w:tcPr>
          <w:p w14:paraId="5543640B"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lastRenderedPageBreak/>
              <w:t>M7.13 Consolidarea infrastructurii antreprenoriale locale</w:t>
            </w:r>
          </w:p>
        </w:tc>
        <w:tc>
          <w:tcPr>
            <w:tcW w:w="60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561D842"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Organizarea de cursuri pentru specializarea trainerilor;</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5B222C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DED457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28E0AB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E3EFD4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186857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0BB4B4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196FB554" w14:textId="77777777" w:rsidTr="00B27196">
        <w:trPr>
          <w:trHeight w:val="586"/>
        </w:trPr>
        <w:tc>
          <w:tcPr>
            <w:tcW w:w="2541" w:type="dxa"/>
            <w:vMerge/>
            <w:tcBorders>
              <w:top w:val="single" w:sz="8" w:space="0" w:color="000000"/>
              <w:left w:val="single" w:sz="8" w:space="0" w:color="000000"/>
              <w:bottom w:val="single" w:sz="8" w:space="0" w:color="000000"/>
              <w:right w:val="single" w:sz="8" w:space="0" w:color="000000"/>
            </w:tcBorders>
            <w:vAlign w:val="center"/>
          </w:tcPr>
          <w:p w14:paraId="7B4A3ABB"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9BC13B7" w14:textId="77777777" w:rsidR="00B30FA0" w:rsidRPr="00B30FA0" w:rsidRDefault="00B30FA0" w:rsidP="00B30FA0">
            <w:pPr>
              <w:pBdr>
                <w:top w:val="nil"/>
                <w:left w:val="nil"/>
                <w:bottom w:val="nil"/>
                <w:right w:val="nil"/>
                <w:between w:val="nil"/>
              </w:pBd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 xml:space="preserve">Implementarea programelor de asistență /suport pentru antreprenori și ceilalți actori implicați în dezvoltarea verde a zonei </w:t>
            </w:r>
          </w:p>
          <w:p w14:paraId="6F4D3004" w14:textId="77777777" w:rsidR="00B30FA0" w:rsidRPr="00B30FA0" w:rsidRDefault="00B30FA0" w:rsidP="00B30FA0">
            <w:pPr>
              <w:spacing w:after="0" w:line="240" w:lineRule="auto"/>
              <w:ind w:firstLine="0"/>
              <w:rPr>
                <w:rFonts w:eastAsia="Times New Roman" w:cs="Times New Roman"/>
                <w:color w:val="000000"/>
                <w:sz w:val="20"/>
                <w:szCs w:val="20"/>
              </w:rPr>
            </w:pP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F37EFC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FF7907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76E355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A00499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81394F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247D98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159F69FE" w14:textId="77777777" w:rsidTr="00B27196">
        <w:trPr>
          <w:trHeight w:val="440"/>
        </w:trPr>
        <w:tc>
          <w:tcPr>
            <w:tcW w:w="2541" w:type="dxa"/>
            <w:vMerge/>
            <w:tcBorders>
              <w:top w:val="single" w:sz="8" w:space="0" w:color="000000"/>
              <w:left w:val="single" w:sz="8" w:space="0" w:color="000000"/>
              <w:bottom w:val="single" w:sz="8" w:space="0" w:color="000000"/>
              <w:right w:val="single" w:sz="8" w:space="0" w:color="000000"/>
            </w:tcBorders>
            <w:vAlign w:val="center"/>
          </w:tcPr>
          <w:p w14:paraId="6D8C2956"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51AC693"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color w:val="000000"/>
                <w:sz w:val="20"/>
                <w:szCs w:val="20"/>
              </w:rPr>
              <w:t>Implementarea de programe pentru pregătirea și monitorizarea (prin programe europene suport) implementării proiectelor</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F40B27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00B80D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45B348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9FB69F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D1C649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54CFD5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10C50F65" w14:textId="77777777" w:rsidTr="00B27196">
        <w:trPr>
          <w:trHeight w:val="440"/>
        </w:trPr>
        <w:tc>
          <w:tcPr>
            <w:tcW w:w="2541" w:type="dxa"/>
            <w:vMerge w:val="restart"/>
            <w:tcBorders>
              <w:top w:val="single" w:sz="8" w:space="0" w:color="000000"/>
              <w:left w:val="single" w:sz="8" w:space="0" w:color="000000"/>
              <w:right w:val="single" w:sz="8" w:space="0" w:color="000000"/>
            </w:tcBorders>
            <w:vAlign w:val="center"/>
          </w:tcPr>
          <w:p w14:paraId="1FB1ED06"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M8.1 Crearea unui cadru coerent, integrat și sinergic de planificare spațială specific pentru teritoriul transfrontalier și regional</w:t>
            </w:r>
          </w:p>
        </w:tc>
        <w:tc>
          <w:tcPr>
            <w:tcW w:w="6095"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14:paraId="07DEB80E"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sz w:val="20"/>
                <w:szCs w:val="20"/>
              </w:rPr>
              <w:t>Elaborarea / actualizarea metodologiei de elaborare a planurilor de amenajare a teritoriului zonal transfrontalier și interjudețean</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6479F6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4BAA2E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708877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D42546B"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4AD8BCD"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0D905ED"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5E810C0B" w14:textId="77777777" w:rsidTr="00B27196">
        <w:trPr>
          <w:trHeight w:val="660"/>
        </w:trPr>
        <w:tc>
          <w:tcPr>
            <w:tcW w:w="2541" w:type="dxa"/>
            <w:vMerge/>
            <w:tcBorders>
              <w:top w:val="single" w:sz="8" w:space="0" w:color="000000"/>
              <w:left w:val="single" w:sz="8" w:space="0" w:color="000000"/>
              <w:right w:val="single" w:sz="8" w:space="0" w:color="000000"/>
            </w:tcBorders>
            <w:vAlign w:val="center"/>
          </w:tcPr>
          <w:p w14:paraId="72EC554E"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nil"/>
              <w:left w:val="nil"/>
              <w:bottom w:val="single" w:sz="4" w:space="0" w:color="000000"/>
              <w:right w:val="single" w:sz="5" w:space="0" w:color="000000"/>
            </w:tcBorders>
            <w:shd w:val="clear" w:color="auto" w:fill="auto"/>
            <w:tcMar>
              <w:top w:w="100" w:type="dxa"/>
              <w:left w:w="100" w:type="dxa"/>
              <w:bottom w:w="100" w:type="dxa"/>
              <w:right w:w="100" w:type="dxa"/>
            </w:tcMar>
          </w:tcPr>
          <w:p w14:paraId="6F917357"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Inițierea și elaborarea de strategii și planuri de dezvoltare spațială în zonele transfrontaliere și în zona costieră a Mării Negre</w:t>
            </w:r>
          </w:p>
          <w:p w14:paraId="3A02C0EC" w14:textId="77777777" w:rsidR="00B30FA0" w:rsidRPr="00B30FA0" w:rsidRDefault="00B30FA0" w:rsidP="00B30FA0">
            <w:pPr>
              <w:spacing w:after="0" w:line="240" w:lineRule="auto"/>
              <w:ind w:firstLine="0"/>
              <w:rPr>
                <w:rFonts w:eastAsia="Times New Roman" w:cs="Times New Roman"/>
                <w:color w:val="000000"/>
                <w:sz w:val="20"/>
                <w:szCs w:val="20"/>
              </w:rPr>
            </w:pPr>
            <w:r w:rsidRPr="00B30FA0">
              <w:rPr>
                <w:rFonts w:eastAsia="Times New Roman" w:cs="Times New Roman"/>
                <w:sz w:val="20"/>
                <w:szCs w:val="20"/>
              </w:rPr>
              <w:t xml:space="preserve"> </w:t>
            </w:r>
          </w:p>
        </w:tc>
        <w:tc>
          <w:tcPr>
            <w:tcW w:w="992"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16B0025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7957817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2D0E068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0E1E06BF"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30F597B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58CA288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4C61BAAB" w14:textId="77777777" w:rsidTr="00B27196">
        <w:trPr>
          <w:trHeight w:val="440"/>
        </w:trPr>
        <w:tc>
          <w:tcPr>
            <w:tcW w:w="2541" w:type="dxa"/>
            <w:vMerge w:val="restart"/>
            <w:tcBorders>
              <w:top w:val="single" w:sz="4" w:space="0" w:color="000000"/>
              <w:left w:val="single" w:sz="4" w:space="0" w:color="000000"/>
              <w:right w:val="single" w:sz="4" w:space="0" w:color="000000"/>
            </w:tcBorders>
            <w:vAlign w:val="center"/>
          </w:tcPr>
          <w:p w14:paraId="17B7F5C3"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t>M8.2 Crearea unui cadru coerent și integrat de planificare spațială la nivel zonal și local</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75C05A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Elaborarea și aprobarea unui regulament cadru de urbanism pentru zona costieră</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052441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F0A1CF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204F83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73B3CF7D"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542BE95E"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33A497D6"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6767C3D6" w14:textId="77777777" w:rsidTr="00B27196">
        <w:trPr>
          <w:trHeight w:val="440"/>
        </w:trPr>
        <w:tc>
          <w:tcPr>
            <w:tcW w:w="2541" w:type="dxa"/>
            <w:vMerge/>
            <w:tcBorders>
              <w:top w:val="single" w:sz="4" w:space="0" w:color="000000"/>
              <w:left w:val="single" w:sz="4" w:space="0" w:color="000000"/>
              <w:right w:val="single" w:sz="4" w:space="0" w:color="000000"/>
            </w:tcBorders>
            <w:vAlign w:val="center"/>
          </w:tcPr>
          <w:p w14:paraId="5C43085D"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2A4B44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Elaborarea / actualizarea metodologiei de elaborare a planurilor de amenajare a teritoriului zonal metropolitan / intercomunitar.</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3A3B44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A479DA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878AAD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083E243E"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53010BDB"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14:paraId="6A30A646"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35292B19" w14:textId="77777777" w:rsidTr="00B27196">
        <w:trPr>
          <w:trHeight w:val="440"/>
        </w:trPr>
        <w:tc>
          <w:tcPr>
            <w:tcW w:w="2541" w:type="dxa"/>
            <w:vMerge/>
            <w:tcBorders>
              <w:top w:val="single" w:sz="4" w:space="0" w:color="000000"/>
              <w:left w:val="single" w:sz="4" w:space="0" w:color="000000"/>
              <w:right w:val="single" w:sz="4" w:space="0" w:color="000000"/>
            </w:tcBorders>
            <w:vAlign w:val="center"/>
          </w:tcPr>
          <w:p w14:paraId="12D0E4FA"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2ED047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Inițierea și elaborarea de documentații de planificare spațială pentru zonele metropolitane, periurbane și rurale din zona costieră (planuri zonale metropolitane, periurbane, intercomunale, planuri urbanistice generale pentru municipii, orașe și comune)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9D030A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2E83D9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28F43B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D257B00"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1EC9FC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DBA0A4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271A7BB8" w14:textId="77777777" w:rsidTr="00B27196">
        <w:trPr>
          <w:trHeight w:val="440"/>
        </w:trPr>
        <w:tc>
          <w:tcPr>
            <w:tcW w:w="2541" w:type="dxa"/>
            <w:vMerge/>
            <w:tcBorders>
              <w:top w:val="single" w:sz="4" w:space="0" w:color="000000"/>
              <w:left w:val="single" w:sz="4" w:space="0" w:color="000000"/>
              <w:bottom w:val="single" w:sz="4" w:space="0" w:color="000000"/>
              <w:right w:val="single" w:sz="4" w:space="0" w:color="000000"/>
            </w:tcBorders>
            <w:vAlign w:val="center"/>
          </w:tcPr>
          <w:p w14:paraId="076727BE" w14:textId="77777777" w:rsidR="00B30FA0" w:rsidRPr="00B30FA0" w:rsidRDefault="00B30FA0" w:rsidP="00B30FA0">
            <w:pPr>
              <w:widowControl w:val="0"/>
              <w:pBdr>
                <w:top w:val="nil"/>
                <w:left w:val="nil"/>
                <w:bottom w:val="nil"/>
                <w:right w:val="nil"/>
                <w:between w:val="nil"/>
              </w:pBdr>
              <w:spacing w:after="0"/>
              <w:ind w:firstLine="42"/>
              <w:rPr>
                <w:rFonts w:eastAsia="Times New Roman" w:cs="Times New Roman"/>
                <w:sz w:val="20"/>
                <w:szCs w:val="20"/>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B6C4658"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Inițierea și elaborarea de planuri urbanistice zonale în zone cu caracter prioritar / zone sensibile pentru unitățile teritoriale de reglementare (UTR) adiacente liniei țărmului</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3D358CA"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E020769"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EE332A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RI</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D1B96C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673FCCE"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B61A44"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r>
      <w:tr w:rsidR="00B30FA0" w14:paraId="732D2639" w14:textId="77777777" w:rsidTr="00B27196">
        <w:trPr>
          <w:trHeight w:val="440"/>
        </w:trPr>
        <w:tc>
          <w:tcPr>
            <w:tcW w:w="2541" w:type="dxa"/>
            <w:vMerge w:val="restart"/>
            <w:tcBorders>
              <w:top w:val="single" w:sz="4" w:space="0" w:color="000000"/>
              <w:left w:val="single" w:sz="4" w:space="0" w:color="000000"/>
              <w:bottom w:val="single" w:sz="4" w:space="0" w:color="000000"/>
              <w:right w:val="single" w:sz="4" w:space="0" w:color="000000"/>
            </w:tcBorders>
            <w:vAlign w:val="center"/>
          </w:tcPr>
          <w:p w14:paraId="3E091397" w14:textId="77777777" w:rsidR="00B30FA0" w:rsidRPr="00B30FA0" w:rsidRDefault="00B30FA0" w:rsidP="00B30FA0">
            <w:pPr>
              <w:spacing w:after="0" w:line="240" w:lineRule="auto"/>
              <w:ind w:firstLine="42"/>
              <w:rPr>
                <w:rFonts w:eastAsia="Times New Roman" w:cs="Times New Roman"/>
                <w:sz w:val="20"/>
                <w:szCs w:val="20"/>
              </w:rPr>
            </w:pPr>
            <w:r w:rsidRPr="00B30FA0">
              <w:rPr>
                <w:rFonts w:eastAsia="Times New Roman" w:cs="Times New Roman"/>
                <w:sz w:val="20"/>
                <w:szCs w:val="20"/>
              </w:rPr>
              <w:lastRenderedPageBreak/>
              <w:t>M8.3 Crearea unui mecanism eficient de implementare, monitorizare și verificare a instrumentelor de planificare spațială în zona costieră</w:t>
            </w: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D41683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Revizuirea procedurilor de avizare / aprobare a documentațiilor de amenajarea teritoriului și urbanism)</w:t>
            </w:r>
          </w:p>
        </w:tc>
        <w:tc>
          <w:tcPr>
            <w:tcW w:w="992" w:type="dxa"/>
            <w:tcBorders>
              <w:top w:val="single" w:sz="8" w:space="0" w:color="000000"/>
              <w:left w:val="single" w:sz="4" w:space="0" w:color="000000"/>
              <w:bottom w:val="single" w:sz="8" w:space="0" w:color="000000"/>
              <w:right w:val="single" w:sz="8" w:space="0" w:color="000000"/>
            </w:tcBorders>
            <w:shd w:val="clear" w:color="auto" w:fill="auto"/>
            <w:tcMar>
              <w:top w:w="100" w:type="dxa"/>
              <w:left w:w="100" w:type="dxa"/>
              <w:bottom w:w="100" w:type="dxa"/>
              <w:right w:w="100" w:type="dxa"/>
            </w:tcMar>
          </w:tcPr>
          <w:p w14:paraId="5147D015"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B06A832"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96F559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1F334A04"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DAB2BDC"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ABE576F"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6275A408" w14:textId="77777777" w:rsidTr="00B27196">
        <w:trPr>
          <w:trHeight w:val="440"/>
        </w:trPr>
        <w:tc>
          <w:tcPr>
            <w:tcW w:w="2541" w:type="dxa"/>
            <w:vMerge/>
            <w:tcBorders>
              <w:top w:val="single" w:sz="4" w:space="0" w:color="000000"/>
              <w:left w:val="single" w:sz="4" w:space="0" w:color="000000"/>
              <w:bottom w:val="single" w:sz="4" w:space="0" w:color="000000"/>
              <w:right w:val="single" w:sz="4" w:space="0" w:color="000000"/>
            </w:tcBorders>
            <w:vAlign w:val="center"/>
          </w:tcPr>
          <w:p w14:paraId="26203DF0" w14:textId="77777777" w:rsidR="00B30FA0" w:rsidRDefault="00B30FA0" w:rsidP="001D125F">
            <w:pPr>
              <w:widowControl w:val="0"/>
              <w:pBdr>
                <w:top w:val="nil"/>
                <w:left w:val="nil"/>
                <w:bottom w:val="nil"/>
                <w:right w:val="nil"/>
                <w:between w:val="nil"/>
              </w:pBdr>
              <w:spacing w:after="0"/>
              <w:rPr>
                <w:rFonts w:eastAsia="Times New Roman" w:cs="Times New Roman"/>
              </w:rPr>
            </w:pPr>
          </w:p>
        </w:tc>
        <w:tc>
          <w:tcPr>
            <w:tcW w:w="60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DF4E2F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Crearea unui sistem de informare și comunicare eficient între administrațiile locale din zona costieră în domeniul planificării spațiale</w:t>
            </w:r>
          </w:p>
        </w:tc>
        <w:tc>
          <w:tcPr>
            <w:tcW w:w="992" w:type="dxa"/>
            <w:tcBorders>
              <w:top w:val="single" w:sz="8" w:space="0" w:color="000000"/>
              <w:left w:val="single" w:sz="4" w:space="0" w:color="000000"/>
              <w:bottom w:val="single" w:sz="8" w:space="0" w:color="000000"/>
              <w:right w:val="single" w:sz="8" w:space="0" w:color="000000"/>
            </w:tcBorders>
            <w:shd w:val="clear" w:color="auto" w:fill="auto"/>
            <w:tcMar>
              <w:top w:w="100" w:type="dxa"/>
              <w:left w:w="100" w:type="dxa"/>
              <w:bottom w:w="100" w:type="dxa"/>
              <w:right w:w="100" w:type="dxa"/>
            </w:tcMar>
          </w:tcPr>
          <w:p w14:paraId="76B3580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945A10B"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F40175C"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8CD01A2"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BC47C32"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BDD4390" w14:textId="77777777" w:rsidR="00B30FA0" w:rsidRPr="00B30FA0" w:rsidRDefault="00B30FA0" w:rsidP="00B30FA0">
            <w:pPr>
              <w:spacing w:after="0" w:line="240" w:lineRule="auto"/>
              <w:ind w:firstLine="0"/>
              <w:rPr>
                <w:rFonts w:eastAsia="Times New Roman" w:cs="Times New Roman"/>
                <w:sz w:val="20"/>
                <w:szCs w:val="20"/>
              </w:rPr>
            </w:pPr>
          </w:p>
        </w:tc>
      </w:tr>
      <w:tr w:rsidR="00B30FA0" w14:paraId="4A227667" w14:textId="77777777" w:rsidTr="00B27196">
        <w:trPr>
          <w:trHeight w:val="1180"/>
        </w:trPr>
        <w:tc>
          <w:tcPr>
            <w:tcW w:w="2541" w:type="dxa"/>
            <w:vMerge/>
            <w:tcBorders>
              <w:top w:val="single" w:sz="4" w:space="0" w:color="000000"/>
              <w:left w:val="single" w:sz="4" w:space="0" w:color="000000"/>
              <w:bottom w:val="single" w:sz="4" w:space="0" w:color="auto"/>
              <w:right w:val="single" w:sz="4" w:space="0" w:color="000000"/>
            </w:tcBorders>
            <w:vAlign w:val="center"/>
          </w:tcPr>
          <w:p w14:paraId="5622B400" w14:textId="77777777" w:rsidR="00B30FA0" w:rsidRDefault="00B30FA0" w:rsidP="001D125F">
            <w:pPr>
              <w:widowControl w:val="0"/>
              <w:pBdr>
                <w:top w:val="nil"/>
                <w:left w:val="nil"/>
                <w:bottom w:val="nil"/>
                <w:right w:val="nil"/>
                <w:between w:val="nil"/>
              </w:pBdr>
              <w:spacing w:after="0"/>
              <w:rPr>
                <w:rFonts w:eastAsia="Times New Roman" w:cs="Times New Roman"/>
              </w:rPr>
            </w:pPr>
          </w:p>
        </w:tc>
        <w:tc>
          <w:tcPr>
            <w:tcW w:w="6095" w:type="dxa"/>
            <w:tcBorders>
              <w:top w:val="single" w:sz="4" w:space="0" w:color="000000"/>
              <w:left w:val="single" w:sz="4" w:space="0" w:color="000000"/>
              <w:bottom w:val="single" w:sz="4" w:space="0" w:color="auto"/>
              <w:right w:val="single" w:sz="4" w:space="0" w:color="000000"/>
            </w:tcBorders>
            <w:shd w:val="clear" w:color="auto" w:fill="auto"/>
            <w:tcMar>
              <w:top w:w="100" w:type="dxa"/>
              <w:left w:w="100" w:type="dxa"/>
              <w:bottom w:w="100" w:type="dxa"/>
              <w:right w:w="100" w:type="dxa"/>
            </w:tcMar>
          </w:tcPr>
          <w:p w14:paraId="0C604FD3"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Crearea unei platforme cu acces public, de comunicare și dezbatere privind starea și evoluția zonei costiere</w:t>
            </w:r>
          </w:p>
        </w:tc>
        <w:tc>
          <w:tcPr>
            <w:tcW w:w="992" w:type="dxa"/>
            <w:tcBorders>
              <w:top w:val="single" w:sz="8" w:space="0" w:color="000000"/>
              <w:left w:val="single" w:sz="4" w:space="0" w:color="000000"/>
              <w:bottom w:val="single" w:sz="8" w:space="0" w:color="000000"/>
              <w:right w:val="single" w:sz="8" w:space="0" w:color="000000"/>
            </w:tcBorders>
            <w:shd w:val="clear" w:color="auto" w:fill="auto"/>
            <w:tcMar>
              <w:top w:w="100" w:type="dxa"/>
              <w:left w:w="100" w:type="dxa"/>
              <w:bottom w:w="100" w:type="dxa"/>
              <w:right w:w="100" w:type="dxa"/>
            </w:tcMar>
          </w:tcPr>
          <w:p w14:paraId="65E313BD"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3791B71"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RA</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81E9976" w14:textId="77777777" w:rsidR="00B30FA0" w:rsidRPr="00B30FA0" w:rsidRDefault="00B30FA0" w:rsidP="00B30FA0">
            <w:pPr>
              <w:spacing w:after="0" w:line="240" w:lineRule="auto"/>
              <w:ind w:firstLine="0"/>
              <w:rPr>
                <w:rFonts w:eastAsia="Times New Roman" w:cs="Times New Roman"/>
                <w:sz w:val="20"/>
                <w:szCs w:val="20"/>
              </w:rPr>
            </w:pPr>
            <w:r w:rsidRPr="00B30FA0">
              <w:rPr>
                <w:rFonts w:eastAsia="Times New Roman" w:cs="Times New Roman"/>
                <w:sz w:val="20"/>
                <w:szCs w:val="20"/>
              </w:rPr>
              <w:t>RF</w:t>
            </w: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8F234C8" w14:textId="77777777" w:rsidR="00B30FA0" w:rsidRPr="00B30FA0" w:rsidRDefault="00B30FA0" w:rsidP="00B30FA0">
            <w:pPr>
              <w:spacing w:after="0" w:line="240" w:lineRule="auto"/>
              <w:ind w:firstLine="0"/>
              <w:rPr>
                <w:rFonts w:eastAsia="Times New Roman" w:cs="Times New Roman"/>
                <w:sz w:val="20"/>
                <w:szCs w:val="20"/>
              </w:rPr>
            </w:pPr>
          </w:p>
        </w:tc>
        <w:tc>
          <w:tcPr>
            <w:tcW w:w="85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EDFD297" w14:textId="77777777" w:rsidR="00B30FA0" w:rsidRPr="00B30FA0" w:rsidRDefault="00B30FA0" w:rsidP="00B30FA0">
            <w:pPr>
              <w:spacing w:after="0" w:line="240" w:lineRule="auto"/>
              <w:ind w:firstLine="0"/>
              <w:rPr>
                <w:rFonts w:eastAsia="Times New Roman" w:cs="Times New Roman"/>
                <w:sz w:val="20"/>
                <w:szCs w:val="20"/>
              </w:rPr>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6B9EE775" w14:textId="77777777" w:rsidR="00B30FA0" w:rsidRPr="00B30FA0" w:rsidRDefault="00B30FA0" w:rsidP="00B30FA0">
            <w:pPr>
              <w:spacing w:after="0" w:line="240" w:lineRule="auto"/>
              <w:ind w:firstLine="0"/>
              <w:rPr>
                <w:rFonts w:eastAsia="Times New Roman" w:cs="Times New Roman"/>
                <w:sz w:val="20"/>
                <w:szCs w:val="20"/>
              </w:rPr>
            </w:pPr>
          </w:p>
        </w:tc>
      </w:tr>
    </w:tbl>
    <w:p w14:paraId="68EE84DE" w14:textId="77777777" w:rsidR="00935E16" w:rsidRDefault="00935E16" w:rsidP="00B30FA0">
      <w:pPr>
        <w:tabs>
          <w:tab w:val="left" w:pos="1620"/>
        </w:tabs>
        <w:spacing w:before="0"/>
        <w:ind w:firstLine="0"/>
        <w:rPr>
          <w:rFonts w:eastAsia="Times New Roman" w:cs="Times New Roman"/>
        </w:rPr>
        <w:sectPr w:rsidR="00935E16" w:rsidSect="00B30FA0">
          <w:pgSz w:w="16838" w:h="11906" w:orient="landscape"/>
          <w:pgMar w:top="1440" w:right="1440" w:bottom="1440" w:left="1440" w:header="0" w:footer="0" w:gutter="0"/>
          <w:cols w:space="708"/>
          <w:docGrid w:linePitch="326"/>
        </w:sectPr>
      </w:pPr>
    </w:p>
    <w:p w14:paraId="066ADB9C" w14:textId="77777777" w:rsidR="00935E16" w:rsidRDefault="00935E16" w:rsidP="00935E16">
      <w:pPr>
        <w:pStyle w:val="Heading2"/>
      </w:pPr>
      <w:bookmarkStart w:id="157" w:name="_Toc169625158"/>
      <w:r w:rsidRPr="00BA1C09">
        <w:lastRenderedPageBreak/>
        <w:t>Bibliografie</w:t>
      </w:r>
      <w:bookmarkEnd w:id="157"/>
    </w:p>
    <w:p w14:paraId="1B55180A" w14:textId="77777777" w:rsidR="005D522F" w:rsidRPr="005D522F" w:rsidRDefault="005D522F" w:rsidP="005D522F">
      <w:pPr>
        <w:rPr>
          <w:lang w:val="ro-RO" w:eastAsia="en-GB"/>
        </w:rPr>
      </w:pPr>
    </w:p>
    <w:p w14:paraId="4C77B5E1" w14:textId="77777777" w:rsidR="00935E16" w:rsidRDefault="00935E16" w:rsidP="00935E16">
      <w:pPr>
        <w:pStyle w:val="ListParagraph"/>
        <w:numPr>
          <w:ilvl w:val="3"/>
          <w:numId w:val="3"/>
        </w:numPr>
        <w:spacing w:before="0"/>
        <w:ind w:left="992" w:hanging="357"/>
        <w:rPr>
          <w:lang w:val="ro-RO"/>
        </w:rPr>
      </w:pPr>
      <w:r w:rsidRPr="00B30FA0">
        <w:rPr>
          <w:lang w:val="ro-RO"/>
        </w:rPr>
        <w:t>ABADL (2021) Planul naţional de management actualizat aferent porţiunii din bazinul hidrografic internaţional al fluviului Dunărea care este cuprinsă în teritoriul României Planul de management actualizat al fluviului Dunărea, Deltei Dunării, spațiului hidrografic Dobrogea și apelor costiere, aprobat prin HG nr. 392/2023.</w:t>
      </w:r>
    </w:p>
    <w:p w14:paraId="27895A26" w14:textId="77777777" w:rsidR="00935E16" w:rsidRDefault="00935E16" w:rsidP="00935E16">
      <w:pPr>
        <w:pStyle w:val="ListParagraph"/>
        <w:numPr>
          <w:ilvl w:val="3"/>
          <w:numId w:val="3"/>
        </w:numPr>
        <w:spacing w:before="0"/>
        <w:ind w:left="992" w:hanging="357"/>
        <w:rPr>
          <w:lang w:val="ro-RO"/>
        </w:rPr>
      </w:pPr>
      <w:r w:rsidRPr="00B30FA0">
        <w:rPr>
          <w:lang w:val="ro-RO"/>
        </w:rPr>
        <w:t>ANEMONE Deliverable 2.2. (2021). Impact of the rivers on the Black Sea ecosystem", Lazăr L. [Ed.], Ed. CD PRESS, 167 pp.</w:t>
      </w:r>
    </w:p>
    <w:p w14:paraId="5B541C60" w14:textId="77777777" w:rsidR="00935E16" w:rsidRDefault="00935E16" w:rsidP="00935E16">
      <w:pPr>
        <w:pStyle w:val="ListParagraph"/>
        <w:numPr>
          <w:ilvl w:val="3"/>
          <w:numId w:val="3"/>
        </w:numPr>
        <w:spacing w:before="0"/>
        <w:ind w:left="992" w:hanging="357"/>
        <w:rPr>
          <w:lang w:val="ro-RO"/>
        </w:rPr>
      </w:pPr>
      <w:r w:rsidRPr="00B30FA0">
        <w:rPr>
          <w:lang w:val="ro-RO"/>
        </w:rPr>
        <w:t>ARBDD. (2022). Raportul privind starea mediului în Rezervația Biosferei Delta Dunării în anul 2021. pp.97</w:t>
      </w:r>
    </w:p>
    <w:p w14:paraId="44D16E09" w14:textId="77777777" w:rsidR="00935E16" w:rsidRDefault="00935E16" w:rsidP="00935E16">
      <w:pPr>
        <w:pStyle w:val="ListParagraph"/>
        <w:numPr>
          <w:ilvl w:val="3"/>
          <w:numId w:val="3"/>
        </w:numPr>
        <w:spacing w:before="0"/>
        <w:ind w:left="992" w:hanging="357"/>
        <w:rPr>
          <w:lang w:val="ro-RO"/>
        </w:rPr>
      </w:pPr>
      <w:r w:rsidRPr="00B30FA0">
        <w:rPr>
          <w:lang w:val="ro-RO"/>
        </w:rPr>
        <w:t>Boicenco L. și colab. (2018). Raportul național privind starea ecologică a ecosistemului marin Marea Neagră conform cerinţelor art. 17 ale Directivei Cadru Strategia pentru mediul marin (2008/56/EC), pp. 328.</w:t>
      </w:r>
    </w:p>
    <w:p w14:paraId="31771CF9" w14:textId="77777777" w:rsidR="00935E16" w:rsidRDefault="00935E16" w:rsidP="00935E16">
      <w:pPr>
        <w:pStyle w:val="ListParagraph"/>
        <w:numPr>
          <w:ilvl w:val="3"/>
          <w:numId w:val="3"/>
        </w:numPr>
        <w:spacing w:before="0"/>
        <w:ind w:left="992" w:hanging="357"/>
        <w:rPr>
          <w:lang w:val="ro-RO"/>
        </w:rPr>
      </w:pPr>
      <w:r w:rsidRPr="00B30FA0">
        <w:rPr>
          <w:lang w:val="ro-RO"/>
        </w:rPr>
        <w:t>Boicenco L., Abaza V., Anton E., Bișinicu E,. Buga L., Coatu V., Damir N,. Diaconeasa D., Dumitrache C., Filimon A., Galațchi M., Golumbeanu M., Harcotă G., Lazăr L., Marin O., Mateescu R., Maximov V., Mihailov E., Nenciu M., Nicolaev S., Niță V., Oros A., Pantea E., Radu G., Spinu A., Stoica E., Tabarcea C., Timofte F, Țiganov G., Țoțoiu A, Vlas O., Vlăsceanu E., Zaharia T. (2018). Studiu privind elaborarea raportului privind starea ecologică a ecosistemului marin Marea Neagră conform cerinţelor art. 17 ale Directivei Cadru Strategia pentru mediul marin (2008/56/EC), pp 331</w:t>
      </w:r>
    </w:p>
    <w:p w14:paraId="419F3DCB" w14:textId="77777777" w:rsidR="00935E16" w:rsidRDefault="00935E16" w:rsidP="00935E16">
      <w:pPr>
        <w:pStyle w:val="ListParagraph"/>
        <w:numPr>
          <w:ilvl w:val="3"/>
          <w:numId w:val="3"/>
        </w:numPr>
        <w:spacing w:before="0"/>
        <w:ind w:left="992" w:hanging="357"/>
        <w:rPr>
          <w:lang w:val="ro-RO"/>
        </w:rPr>
      </w:pPr>
      <w:r w:rsidRPr="00B30FA0">
        <w:rPr>
          <w:lang w:val="ro-RO"/>
        </w:rPr>
        <w:t>BS-SAP. 2009. Strategic Action Plan for the Environmental Protection and Rehabilitation of the Black Sea. Adopted in Sofia, Bulgaria, 07 April 2009. (http://www.blacksea-commission.org/_bssap2009.asp)</w:t>
      </w:r>
    </w:p>
    <w:p w14:paraId="15127D93" w14:textId="77777777" w:rsidR="00935E16" w:rsidRPr="00B30FA0" w:rsidRDefault="00935E16" w:rsidP="00935E16">
      <w:pPr>
        <w:pStyle w:val="ListParagraph"/>
        <w:numPr>
          <w:ilvl w:val="3"/>
          <w:numId w:val="3"/>
        </w:numPr>
        <w:spacing w:before="0"/>
        <w:ind w:left="992" w:hanging="357"/>
        <w:rPr>
          <w:lang w:val="ro-RO"/>
        </w:rPr>
      </w:pPr>
      <w:r w:rsidRPr="00B30FA0">
        <w:rPr>
          <w:rFonts w:eastAsia="Times New Roman" w:cs="Times New Roman"/>
          <w:color w:val="000000"/>
        </w:rPr>
        <w:t xml:space="preserve">Chiriac, M. (1960). </w:t>
      </w:r>
      <w:r w:rsidRPr="00B30FA0">
        <w:rPr>
          <w:rFonts w:eastAsia="Times New Roman" w:cs="Times New Roman"/>
        </w:rPr>
        <w:t>Notă</w:t>
      </w:r>
      <w:r w:rsidRPr="00B30FA0">
        <w:rPr>
          <w:rFonts w:eastAsia="Times New Roman" w:cs="Times New Roman"/>
          <w:color w:val="000000"/>
        </w:rPr>
        <w:t xml:space="preserve"> asupra depozitelor </w:t>
      </w:r>
      <w:r w:rsidRPr="00B30FA0">
        <w:rPr>
          <w:rFonts w:eastAsia="Times New Roman" w:cs="Times New Roman"/>
        </w:rPr>
        <w:t>sarmațiene</w:t>
      </w:r>
      <w:r w:rsidRPr="00B30FA0">
        <w:rPr>
          <w:rFonts w:eastAsia="Times New Roman" w:cs="Times New Roman"/>
          <w:color w:val="000000"/>
        </w:rPr>
        <w:t xml:space="preserve"> din Dobrogea, Com. Acad. R.P.R., 7X, 613 - 623.</w:t>
      </w:r>
    </w:p>
    <w:p w14:paraId="0168284E" w14:textId="77777777" w:rsidR="00935E16" w:rsidRPr="00B30FA0" w:rsidRDefault="00935E16" w:rsidP="00935E16">
      <w:pPr>
        <w:pStyle w:val="ListParagraph"/>
        <w:numPr>
          <w:ilvl w:val="3"/>
          <w:numId w:val="3"/>
        </w:numPr>
        <w:spacing w:before="0"/>
        <w:ind w:left="992" w:hanging="357"/>
        <w:rPr>
          <w:lang w:val="ro-RO"/>
        </w:rPr>
      </w:pPr>
      <w:r w:rsidRPr="00B30FA0">
        <w:rPr>
          <w:rFonts w:eastAsia="Times New Roman" w:cs="Times New Roman"/>
          <w:color w:val="000000"/>
        </w:rPr>
        <w:t>CN APM. (2015). Master Plan al Portului Constanța. Contract nr. 4122, din 03.02.2014</w:t>
      </w:r>
    </w:p>
    <w:p w14:paraId="13DED8C8" w14:textId="77777777" w:rsidR="00935E16" w:rsidRPr="00B30FA0" w:rsidRDefault="00935E16" w:rsidP="00935E16">
      <w:pPr>
        <w:pStyle w:val="ListParagraph"/>
        <w:numPr>
          <w:ilvl w:val="3"/>
          <w:numId w:val="3"/>
        </w:numPr>
        <w:spacing w:before="0"/>
        <w:ind w:left="992" w:hanging="357"/>
        <w:rPr>
          <w:lang w:val="ro-RO"/>
        </w:rPr>
      </w:pPr>
      <w:r w:rsidRPr="00B30FA0">
        <w:rPr>
          <w:rFonts w:eastAsia="Times New Roman" w:cs="Times New Roman"/>
          <w:color w:val="000000"/>
        </w:rPr>
        <w:t>Commission of the European Communities. 2001. European Governance, A White Paper COM (2001), 428 final</w:t>
      </w:r>
    </w:p>
    <w:p w14:paraId="672F3D15" w14:textId="77777777" w:rsidR="00935E16" w:rsidRPr="00B30FA0" w:rsidRDefault="00935E16" w:rsidP="00935E16">
      <w:pPr>
        <w:pStyle w:val="ListParagraph"/>
        <w:numPr>
          <w:ilvl w:val="3"/>
          <w:numId w:val="3"/>
        </w:numPr>
        <w:spacing w:before="0"/>
        <w:ind w:left="992" w:hanging="357"/>
        <w:rPr>
          <w:lang w:val="ro-RO"/>
        </w:rPr>
      </w:pPr>
      <w:r w:rsidRPr="00B30FA0">
        <w:rPr>
          <w:rFonts w:eastAsia="Times New Roman" w:cs="Times New Roman"/>
          <w:color w:val="000000"/>
        </w:rPr>
        <w:t>Consiliul Județean Constanța. (2021). Strategia Județeană de dezvoltare durabilă a județului Constanța 2021-2027. Proiect „Soluții administrative moderne – dezvoltarea și implementarea de proceduri și mecanisme simplificate în sprijinul cetățenilor în cadrul Consiliului Județean Tulcea” cod SIPOCA 686, cod MYSMIS 129688</w:t>
      </w:r>
    </w:p>
    <w:p w14:paraId="1A473E76" w14:textId="77777777" w:rsidR="00935E16" w:rsidRPr="00B30FA0" w:rsidRDefault="00935E16" w:rsidP="00935E16">
      <w:pPr>
        <w:pStyle w:val="ListParagraph"/>
        <w:numPr>
          <w:ilvl w:val="3"/>
          <w:numId w:val="3"/>
        </w:numPr>
        <w:spacing w:before="0"/>
        <w:ind w:left="992" w:hanging="357"/>
        <w:rPr>
          <w:lang w:val="ro-RO"/>
        </w:rPr>
      </w:pPr>
      <w:r w:rsidRPr="00B30FA0">
        <w:rPr>
          <w:rFonts w:eastAsia="Times New Roman" w:cs="Times New Roman"/>
          <w:color w:val="000000"/>
        </w:rPr>
        <w:t>Consiliul Județean Tulcea. (2021). Strategia Județeană de dezvoltare durabilă a județului Tulcea 2021 - 2027. Proiect „Soluții administrative moderne – dezvoltarea și implementarea de proceduri și mecanisme simplificate în sprijinul cetățenilor în cadrul Consiliului Județean Tulcea” cod SIPOCA 686, cod MYSMIS 129688</w:t>
      </w:r>
    </w:p>
    <w:p w14:paraId="3A33FF59" w14:textId="77777777" w:rsidR="00935E16" w:rsidRDefault="00935E16" w:rsidP="00935E16">
      <w:pPr>
        <w:pStyle w:val="ListParagraph"/>
        <w:numPr>
          <w:ilvl w:val="3"/>
          <w:numId w:val="3"/>
        </w:numPr>
        <w:spacing w:before="0"/>
        <w:ind w:left="992" w:hanging="357"/>
        <w:rPr>
          <w:lang w:val="ro-RO"/>
        </w:rPr>
      </w:pPr>
      <w:r w:rsidRPr="00B30FA0">
        <w:rPr>
          <w:lang w:val="ro-RO"/>
        </w:rPr>
        <w:t xml:space="preserve">D'Andrimont, R., Verhegghen, A., Lemoine, G., Kempeneers, P., Meroni, M. and Van Der Velde, M., (2021). From parcel to continental scale - A first European crop type map based on Sentinel-1 and LUCAS Copernicus in-situ observations, </w:t>
      </w:r>
      <w:r w:rsidRPr="00B30FA0">
        <w:rPr>
          <w:lang w:val="ro-RO"/>
        </w:rPr>
        <w:lastRenderedPageBreak/>
        <w:t>REMOTE SENSING OF ENVIRONMENT, ISSN 0034-4257 (online), 112708 (266), 2021, p. 112708, JRC125369.</w:t>
      </w:r>
    </w:p>
    <w:p w14:paraId="77D7C1EF" w14:textId="77777777" w:rsidR="00935E16" w:rsidRPr="00B30FA0" w:rsidRDefault="00935E16" w:rsidP="00935E16">
      <w:pPr>
        <w:pStyle w:val="ListParagraph"/>
        <w:numPr>
          <w:ilvl w:val="3"/>
          <w:numId w:val="3"/>
        </w:numPr>
        <w:spacing w:before="0"/>
        <w:ind w:left="992" w:hanging="357"/>
        <w:rPr>
          <w:lang w:val="ro-RO"/>
        </w:rPr>
      </w:pPr>
      <w:r w:rsidRPr="00B30FA0">
        <w:rPr>
          <w:rFonts w:eastAsia="Times New Roman" w:cs="Times New Roman"/>
          <w:color w:val="000000"/>
        </w:rPr>
        <w:t>Drăgănescu, A. (1976). Constructional to Corpuscular Spongalgal, Algal and Coralgal Facies in the Upper Jurasic Carbanate Formation of Central Dobrogea (the Casimcea Formation), in: Carbonate Rocks and Evaporites Guidebook, Patrulius, D. și colab.. Inst. Geolog., 13-42.</w:t>
      </w:r>
    </w:p>
    <w:p w14:paraId="2B37EE67" w14:textId="77777777" w:rsidR="00935E16" w:rsidRPr="00B30FA0" w:rsidRDefault="00935E16" w:rsidP="00935E16">
      <w:pPr>
        <w:pStyle w:val="ListParagraph"/>
        <w:numPr>
          <w:ilvl w:val="3"/>
          <w:numId w:val="3"/>
        </w:numPr>
        <w:spacing w:before="0"/>
        <w:ind w:left="992" w:hanging="357"/>
        <w:rPr>
          <w:lang w:val="ro-RO"/>
        </w:rPr>
      </w:pPr>
      <w:r w:rsidRPr="00B30FA0">
        <w:rPr>
          <w:rFonts w:eastAsia="Times New Roman" w:cs="Times New Roman"/>
          <w:color w:val="000000"/>
        </w:rPr>
        <w:t>Direcția județeană de Statistică, Constanța, Capacitatea de cazare turistică și utilizarea acesteia pe localități, 2021</w:t>
      </w:r>
    </w:p>
    <w:p w14:paraId="1BC1B392" w14:textId="77777777" w:rsidR="00935E16" w:rsidRPr="00B30FA0" w:rsidRDefault="00935E16" w:rsidP="00935E16">
      <w:pPr>
        <w:pStyle w:val="ListParagraph"/>
        <w:numPr>
          <w:ilvl w:val="3"/>
          <w:numId w:val="3"/>
        </w:numPr>
        <w:spacing w:before="0"/>
        <w:ind w:left="992" w:hanging="357"/>
        <w:rPr>
          <w:lang w:val="ro-RO"/>
        </w:rPr>
      </w:pPr>
      <w:r w:rsidRPr="00B30FA0">
        <w:rPr>
          <w:rFonts w:eastAsia="Times New Roman" w:cs="Times New Roman"/>
          <w:color w:val="000000"/>
        </w:rPr>
        <w:t>European Commission. (1999). Towards a European Integrated Coastal Zone Management (ICZM) Strategy: General Principles and Policy Options. Luxembourg: Office for Official Publications of the European Communities, 32 pp. ISBN 92-828-6463-4.</w:t>
      </w:r>
    </w:p>
    <w:p w14:paraId="7112ACD2" w14:textId="77777777" w:rsidR="00935E16" w:rsidRDefault="00935E16" w:rsidP="00935E16">
      <w:pPr>
        <w:pStyle w:val="ListParagraph"/>
        <w:numPr>
          <w:ilvl w:val="3"/>
          <w:numId w:val="3"/>
        </w:numPr>
        <w:spacing w:before="0"/>
        <w:ind w:left="992" w:hanging="357"/>
        <w:rPr>
          <w:lang w:val="ro-RO"/>
        </w:rPr>
      </w:pPr>
      <w:r w:rsidRPr="00B30FA0">
        <w:rPr>
          <w:lang w:val="ro-RO"/>
        </w:rPr>
        <w:t>Făgăraş, M., Gomoiu, M.T., Jianu, L., Skolka, M., Anastasiu, P., Cogălniceanu, D., (2008). Strategia privind conservarea biodiversității costiere a Dobrogei, Edit. Ex Ponto, Constanţa, 91 pp., ISBN 978-973-644-841-6.</w:t>
      </w:r>
    </w:p>
    <w:p w14:paraId="747CEABF" w14:textId="77777777" w:rsidR="00935E16" w:rsidRDefault="00935E16" w:rsidP="00935E16">
      <w:pPr>
        <w:pStyle w:val="ListParagraph"/>
        <w:numPr>
          <w:ilvl w:val="3"/>
          <w:numId w:val="3"/>
        </w:numPr>
        <w:spacing w:before="0"/>
        <w:ind w:left="992" w:hanging="357"/>
        <w:rPr>
          <w:lang w:val="ro-RO"/>
        </w:rPr>
      </w:pPr>
      <w:r w:rsidRPr="00B30FA0">
        <w:rPr>
          <w:lang w:val="ro-RO"/>
        </w:rPr>
        <w:t>Gomoiu, M.-T., Skolka, M. (1998). Evaluation of marine and coastal biological diversity at the Romanian littoral – a workbook for the Black Sea ecological diversity, “Ovidius” University Annals of Natural Science, Biology-Ecology series, Vol. 2, Supl., 167 pp, ISSN 1453 – 1267.</w:t>
      </w:r>
    </w:p>
    <w:p w14:paraId="7746A854" w14:textId="77777777" w:rsidR="00935E16" w:rsidRDefault="00935E16" w:rsidP="00935E16">
      <w:pPr>
        <w:pStyle w:val="ListParagraph"/>
        <w:numPr>
          <w:ilvl w:val="3"/>
          <w:numId w:val="3"/>
        </w:numPr>
        <w:spacing w:before="0"/>
        <w:ind w:left="992" w:hanging="357"/>
        <w:rPr>
          <w:lang w:val="ro-RO"/>
        </w:rPr>
      </w:pPr>
      <w:r w:rsidRPr="00B30FA0">
        <w:rPr>
          <w:lang w:val="ro-RO"/>
        </w:rPr>
        <w:t>INCDM. (2021). Raport privind starea mediului marin şi costier în anul 2020, … pp.</w:t>
      </w:r>
    </w:p>
    <w:p w14:paraId="6CB4A3F6" w14:textId="77777777" w:rsidR="00935E16" w:rsidRDefault="00935E16" w:rsidP="00935E16">
      <w:pPr>
        <w:pStyle w:val="ListParagraph"/>
        <w:numPr>
          <w:ilvl w:val="3"/>
          <w:numId w:val="3"/>
        </w:numPr>
        <w:spacing w:before="0"/>
        <w:ind w:left="992" w:hanging="357"/>
        <w:rPr>
          <w:lang w:val="ro-RO"/>
        </w:rPr>
      </w:pPr>
      <w:r w:rsidRPr="00B30FA0">
        <w:rPr>
          <w:lang w:val="ro-RO"/>
        </w:rPr>
        <w:t>INCDM. (2022). Raport privind starea mediului marin şi costier în anul 2021, 159 pp.</w:t>
      </w:r>
    </w:p>
    <w:p w14:paraId="69030189" w14:textId="77777777" w:rsidR="00935E16" w:rsidRDefault="00935E16" w:rsidP="00935E16">
      <w:pPr>
        <w:pStyle w:val="ListParagraph"/>
        <w:numPr>
          <w:ilvl w:val="3"/>
          <w:numId w:val="3"/>
        </w:numPr>
        <w:spacing w:before="0"/>
        <w:ind w:left="992" w:hanging="357"/>
        <w:rPr>
          <w:lang w:val="ro-RO"/>
        </w:rPr>
      </w:pPr>
      <w:r w:rsidRPr="00B30FA0">
        <w:rPr>
          <w:lang w:val="ro-RO"/>
        </w:rPr>
        <w:t>Inspectoratul pentru Situații de Urgență „DOBROGEA” al județului Constanța. (2018). Planul de Analiză şi Acoperire a Riscurilor al judeţului Constanţa – ediţia 2018, 315 pp.</w:t>
      </w:r>
    </w:p>
    <w:p w14:paraId="335ED7A3" w14:textId="77777777" w:rsidR="00935E16" w:rsidRDefault="00935E16" w:rsidP="00935E16">
      <w:pPr>
        <w:pStyle w:val="ListParagraph"/>
        <w:numPr>
          <w:ilvl w:val="3"/>
          <w:numId w:val="3"/>
        </w:numPr>
        <w:spacing w:before="0"/>
        <w:ind w:left="992" w:hanging="357"/>
        <w:rPr>
          <w:lang w:val="ro-RO"/>
        </w:rPr>
      </w:pPr>
      <w:r w:rsidRPr="00B30FA0">
        <w:rPr>
          <w:lang w:val="ro-RO"/>
        </w:rPr>
        <w:t xml:space="preserve">Institutul Național de Statistică (I.N.S.) (2023). Tempo online. http://statistici.insse.ro/shop/index.jsp?page=tempo2&amp;lang=ro&amp;context=63 </w:t>
      </w:r>
    </w:p>
    <w:p w14:paraId="58834D26" w14:textId="77777777" w:rsidR="00935E16" w:rsidRDefault="00935E16" w:rsidP="00935E16">
      <w:pPr>
        <w:pStyle w:val="ListParagraph"/>
        <w:numPr>
          <w:ilvl w:val="3"/>
          <w:numId w:val="3"/>
        </w:numPr>
        <w:spacing w:before="0"/>
        <w:ind w:left="992" w:hanging="357"/>
        <w:rPr>
          <w:lang w:val="ro-RO"/>
        </w:rPr>
      </w:pPr>
      <w:r w:rsidRPr="00B30FA0">
        <w:rPr>
          <w:lang w:val="ro-RO"/>
        </w:rPr>
        <w:t xml:space="preserve">IOC-UNESCO. 2006. A Handbook for measuring the progress and outcomes of integrated coastal and ocean management. IOC Manuals and guides, 46; ICAM Dossier, 2, Paris, UNESCO http://unesdoc.unesco.org/images/0014/001473/147313e.pdf </w:t>
      </w:r>
    </w:p>
    <w:p w14:paraId="403388D7" w14:textId="77777777" w:rsidR="00935E16" w:rsidRDefault="00935E16" w:rsidP="00935E16">
      <w:pPr>
        <w:pStyle w:val="ListParagraph"/>
        <w:numPr>
          <w:ilvl w:val="3"/>
          <w:numId w:val="3"/>
        </w:numPr>
        <w:spacing w:before="0"/>
        <w:ind w:left="992" w:hanging="357"/>
        <w:rPr>
          <w:lang w:val="ro-RO"/>
        </w:rPr>
      </w:pPr>
      <w:r w:rsidRPr="00B30FA0">
        <w:rPr>
          <w:lang w:val="ro-RO"/>
        </w:rPr>
        <w:t xml:space="preserve">Iosipescu, R., Iosipescu, S. (2013). La protection du patrimoine culturel subaquatique en Roumanie. Quelques remarques préliminaires, în The Institute of Turcology and Central Asian Studies, Contemporary Researches in Turcology and eurasian Studies, In Honor of professor Tahsin Gemil the occasion of his 70th Birthday, Cluj, p. 903-918 </w:t>
      </w:r>
    </w:p>
    <w:p w14:paraId="14157860" w14:textId="77777777" w:rsidR="00935E16" w:rsidRDefault="00935E16" w:rsidP="00935E16">
      <w:pPr>
        <w:pStyle w:val="ListParagraph"/>
        <w:numPr>
          <w:ilvl w:val="3"/>
          <w:numId w:val="3"/>
        </w:numPr>
        <w:spacing w:before="0"/>
        <w:ind w:left="992" w:hanging="357"/>
        <w:rPr>
          <w:lang w:val="ro-RO"/>
        </w:rPr>
      </w:pPr>
      <w:r w:rsidRPr="00B30FA0">
        <w:rPr>
          <w:lang w:val="ro-RO"/>
        </w:rPr>
        <w:t>Ketchum, B.H (Ed). (1972) The water's edge: critical problems of the coastal zone. The MIT Press, Cambridge, Massachusetts.</w:t>
      </w:r>
    </w:p>
    <w:p w14:paraId="16B7AD4E" w14:textId="77777777" w:rsidR="00935E16" w:rsidRDefault="00935E16" w:rsidP="00935E16">
      <w:pPr>
        <w:pStyle w:val="ListParagraph"/>
        <w:numPr>
          <w:ilvl w:val="3"/>
          <w:numId w:val="3"/>
        </w:numPr>
        <w:spacing w:before="0"/>
        <w:ind w:left="992" w:hanging="357"/>
        <w:rPr>
          <w:lang w:val="ro-RO"/>
        </w:rPr>
      </w:pPr>
      <w:r w:rsidRPr="00B30FA0">
        <w:rPr>
          <w:lang w:val="ro-RO"/>
        </w:rPr>
        <w:t>KMG International NV, Rompetrol Rafinare SA, Rompetrol Well Services SA, Rominserv SRL. (2021). Raport de Sustenabilitate. www.rompetrol.com/ro/sustenavilitate/</w:t>
      </w:r>
    </w:p>
    <w:p w14:paraId="1F80462E" w14:textId="77777777" w:rsidR="00935E16" w:rsidRDefault="00935E16" w:rsidP="00935E16">
      <w:pPr>
        <w:pStyle w:val="ListParagraph"/>
        <w:numPr>
          <w:ilvl w:val="3"/>
          <w:numId w:val="3"/>
        </w:numPr>
        <w:spacing w:before="0"/>
        <w:ind w:left="992" w:hanging="357"/>
        <w:rPr>
          <w:lang w:val="ro-RO"/>
        </w:rPr>
      </w:pPr>
      <w:r w:rsidRPr="00B30FA0">
        <w:rPr>
          <w:lang w:val="ro-RO"/>
        </w:rPr>
        <w:t xml:space="preserve">Ministerul Antreprenorialului și Turismului-MAT, Lista localităților atestate ca stațiuni turistice de interes național și local, actualizare 16.01.2023 https://turism.gov.ro/web/wp-content/uploads/2023/01/Lista-statiuni-ian-2023.pdf </w:t>
      </w:r>
    </w:p>
    <w:p w14:paraId="17111912" w14:textId="77777777" w:rsidR="00935E16" w:rsidRDefault="00935E16" w:rsidP="00935E16">
      <w:pPr>
        <w:pStyle w:val="ListParagraph"/>
        <w:numPr>
          <w:ilvl w:val="3"/>
          <w:numId w:val="3"/>
        </w:numPr>
        <w:spacing w:before="0"/>
        <w:ind w:left="992" w:hanging="357"/>
        <w:rPr>
          <w:lang w:val="ro-RO"/>
        </w:rPr>
      </w:pPr>
      <w:r w:rsidRPr="00112D50">
        <w:rPr>
          <w:lang w:val="ro-RO"/>
        </w:rPr>
        <w:lastRenderedPageBreak/>
        <w:t>Ministerul Dezvoltării Regionale și Administrației Publice. (2014). Landscape Atlas, 104 pp.</w:t>
      </w:r>
    </w:p>
    <w:p w14:paraId="05FB9086" w14:textId="77777777" w:rsidR="00935E16" w:rsidRDefault="00935E16" w:rsidP="00935E16">
      <w:pPr>
        <w:pStyle w:val="ListParagraph"/>
        <w:numPr>
          <w:ilvl w:val="3"/>
          <w:numId w:val="3"/>
        </w:numPr>
        <w:spacing w:before="0"/>
        <w:ind w:left="992" w:hanging="357"/>
        <w:rPr>
          <w:lang w:val="ro-RO"/>
        </w:rPr>
      </w:pPr>
      <w:r w:rsidRPr="00112D50">
        <w:rPr>
          <w:lang w:val="ro-RO"/>
        </w:rPr>
        <w:t xml:space="preserve">MSFD Technical Subgroup on Marine Litter. (2013). A guidance document within the Common Implementation Strategy for the Marine Strategy Framework Directive. Luxembourg: Publications Office of the European Union, 2013. doi:10.2788/99475 </w:t>
      </w:r>
    </w:p>
    <w:p w14:paraId="1EE41503" w14:textId="77777777" w:rsidR="00935E16" w:rsidRDefault="00935E16" w:rsidP="00935E16">
      <w:pPr>
        <w:pStyle w:val="ListParagraph"/>
        <w:numPr>
          <w:ilvl w:val="3"/>
          <w:numId w:val="3"/>
        </w:numPr>
        <w:spacing w:before="0"/>
        <w:ind w:left="992" w:hanging="357"/>
        <w:rPr>
          <w:lang w:val="ro-RO"/>
        </w:rPr>
      </w:pPr>
      <w:r w:rsidRPr="00112D50">
        <w:rPr>
          <w:lang w:val="ro-RO"/>
        </w:rPr>
        <w:t>Murgoci, G. (1914). Cercetări geologice în Dobrogea nordică cu privire specială asupra Paleozoicului și tectonicei. An. Inst. Geol. Rom., V, 2, București.</w:t>
      </w:r>
    </w:p>
    <w:p w14:paraId="2F06CDA3" w14:textId="77777777" w:rsidR="00935E16" w:rsidRDefault="00935E16" w:rsidP="00935E16">
      <w:pPr>
        <w:pStyle w:val="ListParagraph"/>
        <w:numPr>
          <w:ilvl w:val="3"/>
          <w:numId w:val="3"/>
        </w:numPr>
        <w:spacing w:before="0"/>
        <w:ind w:left="992" w:hanging="357"/>
        <w:rPr>
          <w:lang w:val="ro-RO"/>
        </w:rPr>
      </w:pPr>
      <w:r w:rsidRPr="00112D50">
        <w:rPr>
          <w:lang w:val="ro-RO"/>
        </w:rPr>
        <w:t>Mutihac, V. 2007. Geologie României. editura Didactică și Pedagogică, București, 252 pp.</w:t>
      </w:r>
    </w:p>
    <w:p w14:paraId="330BACE0" w14:textId="77777777" w:rsidR="00935E16" w:rsidRDefault="00935E16" w:rsidP="00935E16">
      <w:pPr>
        <w:pStyle w:val="ListParagraph"/>
        <w:numPr>
          <w:ilvl w:val="3"/>
          <w:numId w:val="3"/>
        </w:numPr>
        <w:spacing w:before="0"/>
        <w:ind w:left="992" w:hanging="357"/>
        <w:rPr>
          <w:lang w:val="ro-RO"/>
        </w:rPr>
      </w:pPr>
      <w:r w:rsidRPr="00112D50">
        <w:rPr>
          <w:lang w:val="ro-RO"/>
        </w:rPr>
        <w:t>Panin N. (1989). Danube Delta. Genesis, evolution and sedimentology. Revue Roumaine Géologie, Géophysique, Géographie, Série Géographie, 33, 25-36.</w:t>
      </w:r>
    </w:p>
    <w:p w14:paraId="61F3CBDD" w14:textId="77777777" w:rsidR="00935E16" w:rsidRPr="00112D50" w:rsidRDefault="00935E16" w:rsidP="00935E16">
      <w:pPr>
        <w:pStyle w:val="ListParagraph"/>
        <w:numPr>
          <w:ilvl w:val="3"/>
          <w:numId w:val="3"/>
        </w:numPr>
        <w:spacing w:before="0"/>
        <w:ind w:left="992" w:hanging="357"/>
        <w:rPr>
          <w:lang w:val="ro-RO"/>
        </w:rPr>
      </w:pPr>
      <w:r w:rsidRPr="00112D50">
        <w:rPr>
          <w:lang w:val="ro-RO"/>
        </w:rPr>
        <w:t>Panin, N. 1996. Danube Delta. Genesis, evolution, geological setting and sedimentology. Geo-Eco-Marina, 1, 7-23</w:t>
      </w:r>
    </w:p>
    <w:p w14:paraId="60E0C9DB" w14:textId="77777777" w:rsidR="00935E16" w:rsidRDefault="00935E16" w:rsidP="00935E16">
      <w:pPr>
        <w:pStyle w:val="ListParagraph"/>
        <w:numPr>
          <w:ilvl w:val="3"/>
          <w:numId w:val="3"/>
        </w:numPr>
        <w:spacing w:before="0"/>
        <w:ind w:left="992" w:hanging="357"/>
        <w:rPr>
          <w:lang w:val="ro-RO"/>
        </w:rPr>
      </w:pPr>
      <w:r w:rsidRPr="00112D50">
        <w:rPr>
          <w:lang w:val="ro-RO"/>
        </w:rPr>
        <w:t>Petran A., Apas M., Bodeanu N., Bologa A. S., Dumitrache C., Moldoveanu M., Radu G., Ţigănuş V. (1999). Status and evolution of the Romanian Black Sea coastal ecosystem. Environmental degradation of the Black Sea: Challenges and Remedies. Kluwer Academic Publishers, 175- 195.</w:t>
      </w:r>
    </w:p>
    <w:p w14:paraId="2AACB7F8" w14:textId="77777777" w:rsidR="00935E16" w:rsidRDefault="00935E16" w:rsidP="00935E16">
      <w:pPr>
        <w:pStyle w:val="ListParagraph"/>
        <w:numPr>
          <w:ilvl w:val="3"/>
          <w:numId w:val="3"/>
        </w:numPr>
        <w:spacing w:before="0"/>
        <w:ind w:left="992" w:hanging="357"/>
        <w:rPr>
          <w:lang w:val="ro-RO"/>
        </w:rPr>
      </w:pPr>
      <w:r w:rsidRPr="00112D50">
        <w:rPr>
          <w:lang w:val="ro-RO"/>
        </w:rPr>
        <w:t>Planul de Management actualizat al fluviului Dunărea, Deltei Dunării, spațiului hidrografic Dobrogea (2022-2027), aprobat prin HG 392/2023, https://dobrogea-li</w:t>
      </w:r>
      <w:r>
        <w:rPr>
          <w:lang w:val="ro-RO"/>
        </w:rPr>
        <w:t xml:space="preserve">toral.rowater.ro/?page_id=469  </w:t>
      </w:r>
    </w:p>
    <w:p w14:paraId="3F1A5DAA" w14:textId="77777777" w:rsidR="00935E16" w:rsidRDefault="00935E16" w:rsidP="00935E16">
      <w:pPr>
        <w:pStyle w:val="ListParagraph"/>
        <w:numPr>
          <w:ilvl w:val="3"/>
          <w:numId w:val="3"/>
        </w:numPr>
        <w:spacing w:before="0"/>
        <w:ind w:left="992" w:hanging="357"/>
        <w:rPr>
          <w:lang w:val="ro-RO"/>
        </w:rPr>
      </w:pPr>
      <w:r w:rsidRPr="00112D50">
        <w:rPr>
          <w:lang w:val="ro-RO"/>
        </w:rPr>
        <w:t>Skolka M., Făgăraş M., Paraschiv G. (2005). Biodiversitatea Dobrogei, Ovidius University Pr</w:t>
      </w:r>
      <w:r>
        <w:rPr>
          <w:lang w:val="ro-RO"/>
        </w:rPr>
        <w:t>ess, 396 pp, ISBN 973-614-232-9</w:t>
      </w:r>
    </w:p>
    <w:p w14:paraId="718821EA" w14:textId="77777777" w:rsidR="00935E16" w:rsidRPr="00112D50" w:rsidRDefault="00935E16" w:rsidP="00935E16">
      <w:pPr>
        <w:pStyle w:val="ListParagraph"/>
        <w:numPr>
          <w:ilvl w:val="3"/>
          <w:numId w:val="3"/>
        </w:numPr>
        <w:spacing w:before="0"/>
        <w:ind w:left="992" w:hanging="357"/>
        <w:rPr>
          <w:lang w:val="ro-RO"/>
        </w:rPr>
      </w:pPr>
      <w:r w:rsidRPr="00112D50">
        <w:rPr>
          <w:rFonts w:eastAsia="Times New Roman" w:cs="Times New Roman"/>
          <w:color w:val="000000"/>
        </w:rPr>
        <w:t>Teacă, A., Begun, T., Gomoiu, M.-T. (2013). Assessment of soft bottom mussel community structure on the Romanian Black Sea continental shelf. Rapp. Comm. Int. Mer Médit., 40. 628.</w:t>
      </w:r>
    </w:p>
    <w:p w14:paraId="0E8A0213" w14:textId="77777777" w:rsidR="00935E16" w:rsidRPr="00112D50" w:rsidRDefault="00935E16" w:rsidP="00935E16">
      <w:pPr>
        <w:pStyle w:val="ListParagraph"/>
        <w:numPr>
          <w:ilvl w:val="3"/>
          <w:numId w:val="3"/>
        </w:numPr>
        <w:spacing w:before="0"/>
        <w:ind w:left="992" w:hanging="357"/>
        <w:rPr>
          <w:lang w:val="ro-RO"/>
        </w:rPr>
      </w:pPr>
      <w:r w:rsidRPr="00112D50">
        <w:rPr>
          <w:rFonts w:eastAsia="Times New Roman" w:cs="Times New Roman"/>
          <w:color w:val="000000"/>
        </w:rPr>
        <w:t xml:space="preserve">Teacă, A., Begun, T., Muresan, M. (2021). Annelid invaders in the Black Sea region: The distribution of Streblospio gynobranchiata and first occurrence of Laonome xeprovala. Global Ecology and Conservation 32, DOI:10.1016/j.gecco.2021.e01920 </w:t>
      </w:r>
    </w:p>
    <w:p w14:paraId="5F7E5450" w14:textId="77777777" w:rsidR="00935E16" w:rsidRDefault="00935E16" w:rsidP="00935E16">
      <w:pPr>
        <w:pStyle w:val="ListParagraph"/>
        <w:numPr>
          <w:ilvl w:val="3"/>
          <w:numId w:val="3"/>
        </w:numPr>
        <w:spacing w:before="0"/>
        <w:ind w:left="992" w:hanging="357"/>
        <w:rPr>
          <w:lang w:val="ro-RO"/>
        </w:rPr>
      </w:pPr>
      <w:r w:rsidRPr="00112D50">
        <w:rPr>
          <w:lang w:val="ro-RO"/>
        </w:rPr>
        <w:t>Tiron, L. (2010). Delta du Danube - Bras de St. George. Mobilite morphologique et dynamique hydro-sédimentaire depuis 150 ans. Geo-Eco-Marina. Special Publication no. 4, 280 pp.</w:t>
      </w:r>
    </w:p>
    <w:p w14:paraId="0C7570DC" w14:textId="77777777" w:rsidR="00935E16" w:rsidRDefault="00935E16" w:rsidP="00935E16">
      <w:pPr>
        <w:pStyle w:val="ListParagraph"/>
        <w:numPr>
          <w:ilvl w:val="3"/>
          <w:numId w:val="3"/>
        </w:numPr>
        <w:spacing w:before="0"/>
        <w:ind w:left="992" w:hanging="357"/>
        <w:rPr>
          <w:lang w:val="ro-RO"/>
        </w:rPr>
      </w:pPr>
      <w:r w:rsidRPr="00112D50">
        <w:rPr>
          <w:lang w:val="ro-RO"/>
        </w:rPr>
        <w:t>Tomlinson, D.L., Wilson, J.G., Harris, C.R., Jeffrey, D.W. 1980. Problems in the assessment of heavy-metal levels in estuaries and the formation of a pollution index. Helgoländer Meeresuntersuchungen, 33, 566–575.</w:t>
      </w:r>
    </w:p>
    <w:p w14:paraId="10775BB3" w14:textId="77777777" w:rsidR="00935E16" w:rsidRDefault="00935E16" w:rsidP="00935E16">
      <w:pPr>
        <w:pStyle w:val="ListParagraph"/>
        <w:numPr>
          <w:ilvl w:val="3"/>
          <w:numId w:val="3"/>
        </w:numPr>
        <w:spacing w:before="0"/>
        <w:ind w:left="992" w:hanging="357"/>
        <w:rPr>
          <w:lang w:val="ro-RO"/>
        </w:rPr>
      </w:pPr>
      <w:r w:rsidRPr="00112D50">
        <w:rPr>
          <w:lang w:val="ro-RO"/>
        </w:rPr>
        <w:t>Van Loon, W., Hanke, G., Fleet, D., Werner, S., Barry, J., Strand, J., Eriksson, J., Galgani, F., Gräwe, D., Schulz, M., Vlachogianni, T., Press, M., Blidberg, E., Walvoort, D. (2020). A European Threshold Value and Assessment Method for Macro Litter on Coastlines. Luxembourg, Publications Office of the European Union, 25pp. (EUR 30347 EN; JRC121707) DOI:10.2760/54369).</w:t>
      </w:r>
    </w:p>
    <w:p w14:paraId="4E05A935" w14:textId="77777777" w:rsidR="00935E16" w:rsidRDefault="00935E16" w:rsidP="00935E16">
      <w:pPr>
        <w:pStyle w:val="ListParagraph"/>
        <w:numPr>
          <w:ilvl w:val="3"/>
          <w:numId w:val="3"/>
        </w:numPr>
        <w:spacing w:before="0"/>
        <w:ind w:left="992" w:hanging="357"/>
        <w:rPr>
          <w:lang w:val="ro-RO"/>
        </w:rPr>
      </w:pPr>
      <w:r w:rsidRPr="00112D50">
        <w:rPr>
          <w:lang w:val="ro-RO"/>
        </w:rPr>
        <w:t xml:space="preserve">Varenik, A., Konovalov, S., Stanichny, S. (2015). Quantifying importance and scaling effects of atmospheric deposition of inorganic fixed nitrogen for the eutrophic Black Sea, Biogeosciences, 12, 6479–6491, https://doi.org/10.5194/bg-12-6479-2015 </w:t>
      </w:r>
    </w:p>
    <w:p w14:paraId="4A394586" w14:textId="77777777" w:rsidR="00935E16" w:rsidRDefault="00935E16" w:rsidP="00935E16">
      <w:pPr>
        <w:pStyle w:val="ListParagraph"/>
        <w:numPr>
          <w:ilvl w:val="3"/>
          <w:numId w:val="3"/>
        </w:numPr>
        <w:spacing w:before="0"/>
        <w:ind w:left="992" w:hanging="357"/>
        <w:rPr>
          <w:lang w:val="ro-RO"/>
        </w:rPr>
      </w:pPr>
      <w:r w:rsidRPr="00112D50">
        <w:rPr>
          <w:lang w:val="ro-RO"/>
        </w:rPr>
        <w:lastRenderedPageBreak/>
        <w:t>Vasiliu, D., Bucșe, A., Lupașcu, N., Ispas, B.A., Gheablău, C., Stănescu I. (2020). Assessment of the metal pollution in surface sediments of coastal Tasaul Lake (Romania). Environmental Monitoring and Assessment, 192, 12.</w:t>
      </w:r>
    </w:p>
    <w:p w14:paraId="122CF568" w14:textId="77777777" w:rsidR="00935E16" w:rsidRDefault="00935E16" w:rsidP="00935E16">
      <w:pPr>
        <w:pStyle w:val="ListParagraph"/>
        <w:numPr>
          <w:ilvl w:val="3"/>
          <w:numId w:val="3"/>
        </w:numPr>
        <w:spacing w:before="0"/>
        <w:ind w:left="992" w:hanging="357"/>
        <w:rPr>
          <w:lang w:val="ro-RO"/>
        </w:rPr>
      </w:pPr>
      <w:r w:rsidRPr="00112D50">
        <w:rPr>
          <w:lang w:val="ro-RO"/>
        </w:rPr>
        <w:t>Zaharia, T., Niță, V., Nenciu, M.I. (2017). Background of Romanian Aquaculture (in Romanian). Bucharest, CD Press Publishing, ISBN 978-606-528-393-0, 273 pp.</w:t>
      </w:r>
    </w:p>
    <w:p w14:paraId="61CF5472" w14:textId="77777777" w:rsidR="00935E16" w:rsidRDefault="00935E16" w:rsidP="00935E16">
      <w:pPr>
        <w:pStyle w:val="ListParagraph"/>
        <w:numPr>
          <w:ilvl w:val="3"/>
          <w:numId w:val="3"/>
        </w:numPr>
        <w:spacing w:before="0"/>
        <w:ind w:left="992" w:hanging="357"/>
        <w:rPr>
          <w:lang w:val="ro-RO"/>
        </w:rPr>
      </w:pPr>
      <w:r w:rsidRPr="00112D50">
        <w:rPr>
          <w:lang w:val="ro-RO"/>
        </w:rPr>
        <w:t>xxx - Rapoarte din Programul Naţional pentru Colectarea Datelor din Sectorul Pescăresc al României, ANPA, 2020-2022.</w:t>
      </w:r>
    </w:p>
    <w:p w14:paraId="69E7860F" w14:textId="77777777" w:rsidR="00935E16" w:rsidRDefault="00935E16" w:rsidP="00935E16">
      <w:pPr>
        <w:pStyle w:val="ListParagraph"/>
        <w:numPr>
          <w:ilvl w:val="3"/>
          <w:numId w:val="3"/>
        </w:numPr>
        <w:spacing w:before="0"/>
        <w:ind w:left="992" w:hanging="357"/>
        <w:rPr>
          <w:lang w:val="ro-RO"/>
        </w:rPr>
      </w:pPr>
      <w:r w:rsidRPr="00112D50">
        <w:rPr>
          <w:lang w:val="ro-RO"/>
        </w:rPr>
        <w:t>xxx - Programul pentru Acvacultură și Pescuit, Ministerul Agri</w:t>
      </w:r>
      <w:r>
        <w:rPr>
          <w:lang w:val="ro-RO"/>
        </w:rPr>
        <w:t>culturii şi Dezvoltării Rurale,</w:t>
      </w:r>
    </w:p>
    <w:p w14:paraId="720ED5D2" w14:textId="77777777" w:rsidR="00935E16" w:rsidRDefault="00935E16" w:rsidP="00935E16">
      <w:pPr>
        <w:pStyle w:val="ListParagraph"/>
        <w:numPr>
          <w:ilvl w:val="3"/>
          <w:numId w:val="3"/>
        </w:numPr>
        <w:spacing w:before="0"/>
        <w:ind w:left="992" w:hanging="357"/>
        <w:rPr>
          <w:lang w:val="ro-RO"/>
        </w:rPr>
      </w:pPr>
      <w:r w:rsidRPr="00112D50">
        <w:rPr>
          <w:lang w:val="ro-RO"/>
        </w:rPr>
        <w:t>http://www.mmediu.ro/app/webroot/uploads/files/2021-12-27_Proiect%20PAP%20-%20dec%202021.pdf, 2021-2027</w:t>
      </w:r>
    </w:p>
    <w:p w14:paraId="3E2DDA77" w14:textId="77777777" w:rsidR="00935E16" w:rsidRDefault="00935E16" w:rsidP="00935E16">
      <w:pPr>
        <w:pStyle w:val="ListParagraph"/>
        <w:numPr>
          <w:ilvl w:val="3"/>
          <w:numId w:val="3"/>
        </w:numPr>
        <w:spacing w:before="0"/>
        <w:ind w:left="992" w:hanging="357"/>
        <w:rPr>
          <w:lang w:val="ro-RO"/>
        </w:rPr>
      </w:pPr>
      <w:r w:rsidRPr="00112D50">
        <w:rPr>
          <w:lang w:val="ro-RO"/>
        </w:rPr>
        <w:t xml:space="preserve">https://www.recensamantromania.ro/rezultate-rpl-2021/rezultate-definitive-caracteristici-demografice/ </w:t>
      </w:r>
    </w:p>
    <w:p w14:paraId="379D8E8F" w14:textId="3AD078C7" w:rsidR="00B30FA0" w:rsidRPr="00935E16" w:rsidRDefault="00000000" w:rsidP="00935E16">
      <w:pPr>
        <w:pStyle w:val="ListParagraph"/>
        <w:numPr>
          <w:ilvl w:val="3"/>
          <w:numId w:val="3"/>
        </w:numPr>
        <w:spacing w:before="0"/>
        <w:ind w:left="992" w:hanging="357"/>
        <w:rPr>
          <w:lang w:val="ro-RO"/>
        </w:rPr>
        <w:sectPr w:rsidR="00B30FA0" w:rsidRPr="00935E16" w:rsidSect="00935E16">
          <w:pgSz w:w="11906" w:h="16838"/>
          <w:pgMar w:top="1440" w:right="1440" w:bottom="1440" w:left="1440" w:header="0" w:footer="0" w:gutter="0"/>
          <w:cols w:space="708"/>
          <w:docGrid w:linePitch="326"/>
        </w:sectPr>
      </w:pPr>
      <w:hyperlink r:id="rId76" w:history="1">
        <w:r w:rsidR="00935E16" w:rsidRPr="00112D50">
          <w:rPr>
            <w:rStyle w:val="Hyperlink"/>
            <w:lang w:val="ro-RO"/>
          </w:rPr>
          <w:t>http://www.statistici.insse.ro</w:t>
        </w:r>
      </w:hyperlink>
    </w:p>
    <w:p w14:paraId="6F0ACC9E" w14:textId="77777777" w:rsidR="00B50691" w:rsidRPr="00B50691" w:rsidRDefault="00B50691" w:rsidP="00112D50">
      <w:pPr>
        <w:ind w:firstLine="0"/>
        <w:rPr>
          <w:lang w:val="ro-RO"/>
        </w:rPr>
      </w:pPr>
    </w:p>
    <w:p w14:paraId="0C58AD22" w14:textId="77777777" w:rsidR="00B50691" w:rsidRPr="00B50691" w:rsidRDefault="00B50691" w:rsidP="00344FCE">
      <w:pPr>
        <w:pStyle w:val="Heading2"/>
      </w:pPr>
      <w:bookmarkStart w:id="158" w:name="_heading=h.4i7ojhp" w:colFirst="0" w:colLast="0"/>
      <w:bookmarkStart w:id="159" w:name="_Toc150247023"/>
      <w:bookmarkStart w:id="160" w:name="_Toc169625159"/>
      <w:bookmarkEnd w:id="158"/>
      <w:r w:rsidRPr="00B50691">
        <w:t>Anexa 1</w:t>
      </w:r>
      <w:bookmarkEnd w:id="159"/>
      <w:bookmarkEnd w:id="160"/>
    </w:p>
    <w:tbl>
      <w:tblPr>
        <w:tblW w:w="15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87"/>
        <w:gridCol w:w="1999"/>
        <w:gridCol w:w="1559"/>
        <w:gridCol w:w="2127"/>
        <w:gridCol w:w="2409"/>
        <w:gridCol w:w="2268"/>
        <w:gridCol w:w="1985"/>
      </w:tblGrid>
      <w:tr w:rsidR="00344FCE" w:rsidRPr="00344FCE" w14:paraId="79B01005" w14:textId="77777777" w:rsidTr="00563FA0">
        <w:trPr>
          <w:trHeight w:val="20"/>
        </w:trPr>
        <w:tc>
          <w:tcPr>
            <w:tcW w:w="2787" w:type="dxa"/>
            <w:tcBorders>
              <w:bottom w:val="single" w:sz="4" w:space="0" w:color="000000"/>
            </w:tcBorders>
            <w:shd w:val="clear" w:color="auto" w:fill="auto"/>
            <w:vAlign w:val="center"/>
          </w:tcPr>
          <w:p w14:paraId="40F69BD6" w14:textId="77777777" w:rsidR="00344FCE" w:rsidRPr="00344FCE" w:rsidRDefault="00344FCE" w:rsidP="00344FCE">
            <w:pPr>
              <w:spacing w:before="0" w:after="0" w:line="252" w:lineRule="auto"/>
              <w:ind w:firstLine="0"/>
              <w:jc w:val="center"/>
              <w:rPr>
                <w:rFonts w:eastAsia="Times New Roman" w:cs="Times New Roman"/>
                <w:b/>
                <w:kern w:val="0"/>
                <w:sz w:val="22"/>
                <w:szCs w:val="22"/>
                <w:lang w:val="ro-RO"/>
              </w:rPr>
            </w:pPr>
            <w:bookmarkStart w:id="161" w:name="_heading=h.3whwml4" w:colFirst="0" w:colLast="0"/>
            <w:bookmarkEnd w:id="161"/>
            <w:r w:rsidRPr="00344FCE">
              <w:rPr>
                <w:rFonts w:eastAsia="Times New Roman" w:cs="Times New Roman"/>
                <w:b/>
                <w:kern w:val="0"/>
                <w:sz w:val="22"/>
                <w:szCs w:val="22"/>
                <w:lang w:val="ro-RO"/>
              </w:rPr>
              <w:t>Acțiune</w:t>
            </w:r>
          </w:p>
        </w:tc>
        <w:tc>
          <w:tcPr>
            <w:tcW w:w="1999" w:type="dxa"/>
            <w:tcBorders>
              <w:bottom w:val="single" w:sz="4" w:space="0" w:color="000000"/>
            </w:tcBorders>
            <w:shd w:val="clear" w:color="auto" w:fill="auto"/>
            <w:vAlign w:val="center"/>
          </w:tcPr>
          <w:p w14:paraId="4FC53A35" w14:textId="77777777" w:rsidR="00344FCE" w:rsidRPr="00344FCE" w:rsidRDefault="00344FCE" w:rsidP="00344FCE">
            <w:pPr>
              <w:spacing w:before="0" w:after="0" w:line="252" w:lineRule="auto"/>
              <w:ind w:firstLine="0"/>
              <w:jc w:val="center"/>
              <w:rPr>
                <w:rFonts w:eastAsia="Times New Roman" w:cs="Times New Roman"/>
                <w:b/>
                <w:kern w:val="0"/>
                <w:sz w:val="22"/>
                <w:szCs w:val="22"/>
                <w:lang w:val="ro-RO"/>
              </w:rPr>
            </w:pPr>
            <w:r w:rsidRPr="00344FCE">
              <w:rPr>
                <w:rFonts w:eastAsia="Times New Roman" w:cs="Times New Roman"/>
                <w:b/>
                <w:kern w:val="0"/>
                <w:sz w:val="22"/>
                <w:szCs w:val="22"/>
                <w:lang w:val="ro-RO"/>
              </w:rPr>
              <w:t>Instituții responsabile</w:t>
            </w:r>
          </w:p>
        </w:tc>
        <w:tc>
          <w:tcPr>
            <w:tcW w:w="1559" w:type="dxa"/>
            <w:tcBorders>
              <w:bottom w:val="single" w:sz="4" w:space="0" w:color="000000"/>
            </w:tcBorders>
            <w:shd w:val="clear" w:color="auto" w:fill="auto"/>
            <w:vAlign w:val="center"/>
          </w:tcPr>
          <w:p w14:paraId="5C56D872" w14:textId="77777777" w:rsidR="00344FCE" w:rsidRPr="00344FCE" w:rsidRDefault="00344FCE" w:rsidP="00344FCE">
            <w:pPr>
              <w:spacing w:before="0" w:after="0" w:line="252" w:lineRule="auto"/>
              <w:ind w:firstLine="0"/>
              <w:jc w:val="center"/>
              <w:rPr>
                <w:rFonts w:eastAsia="Times New Roman" w:cs="Times New Roman"/>
                <w:b/>
                <w:kern w:val="0"/>
                <w:sz w:val="22"/>
                <w:szCs w:val="22"/>
                <w:lang w:val="ro-RO"/>
              </w:rPr>
            </w:pPr>
            <w:r w:rsidRPr="00344FCE">
              <w:rPr>
                <w:rFonts w:eastAsia="Times New Roman" w:cs="Times New Roman"/>
                <w:b/>
                <w:kern w:val="0"/>
                <w:sz w:val="22"/>
                <w:szCs w:val="22"/>
                <w:lang w:val="ro-RO"/>
              </w:rPr>
              <w:t>Termen de implementare</w:t>
            </w:r>
          </w:p>
        </w:tc>
        <w:tc>
          <w:tcPr>
            <w:tcW w:w="2127" w:type="dxa"/>
            <w:tcBorders>
              <w:bottom w:val="single" w:sz="4" w:space="0" w:color="000000"/>
            </w:tcBorders>
            <w:shd w:val="clear" w:color="auto" w:fill="auto"/>
            <w:vAlign w:val="center"/>
          </w:tcPr>
          <w:p w14:paraId="0ABA7B6A" w14:textId="77777777" w:rsidR="00344FCE" w:rsidRPr="00344FCE" w:rsidRDefault="00344FCE" w:rsidP="00344FCE">
            <w:pPr>
              <w:spacing w:before="0" w:after="0" w:line="252" w:lineRule="auto"/>
              <w:ind w:firstLine="0"/>
              <w:jc w:val="center"/>
              <w:rPr>
                <w:rFonts w:eastAsia="Times New Roman" w:cs="Times New Roman"/>
                <w:b/>
                <w:kern w:val="0"/>
                <w:sz w:val="22"/>
                <w:szCs w:val="22"/>
                <w:lang w:val="ro-RO"/>
              </w:rPr>
            </w:pPr>
            <w:r w:rsidRPr="00344FCE">
              <w:rPr>
                <w:rFonts w:eastAsia="Times New Roman" w:cs="Times New Roman"/>
                <w:b/>
                <w:kern w:val="0"/>
                <w:sz w:val="22"/>
                <w:szCs w:val="22"/>
                <w:lang w:val="ro-RO"/>
              </w:rPr>
              <w:t>Rezultate așteptate</w:t>
            </w:r>
          </w:p>
        </w:tc>
        <w:tc>
          <w:tcPr>
            <w:tcW w:w="2409" w:type="dxa"/>
            <w:tcBorders>
              <w:bottom w:val="single" w:sz="4" w:space="0" w:color="000000"/>
            </w:tcBorders>
            <w:shd w:val="clear" w:color="auto" w:fill="auto"/>
            <w:vAlign w:val="center"/>
          </w:tcPr>
          <w:p w14:paraId="2F1D377F" w14:textId="77777777" w:rsidR="00344FCE" w:rsidRPr="00344FCE" w:rsidRDefault="00344FCE" w:rsidP="00344FCE">
            <w:pPr>
              <w:spacing w:before="0" w:after="0" w:line="252" w:lineRule="auto"/>
              <w:ind w:firstLine="0"/>
              <w:jc w:val="center"/>
              <w:rPr>
                <w:rFonts w:eastAsia="Times New Roman" w:cs="Times New Roman"/>
                <w:b/>
                <w:kern w:val="0"/>
                <w:sz w:val="22"/>
                <w:szCs w:val="22"/>
                <w:lang w:val="ro-RO"/>
              </w:rPr>
            </w:pPr>
            <w:r w:rsidRPr="00344FCE">
              <w:rPr>
                <w:rFonts w:eastAsia="Times New Roman" w:cs="Times New Roman"/>
                <w:b/>
                <w:kern w:val="0"/>
                <w:sz w:val="22"/>
                <w:szCs w:val="22"/>
                <w:lang w:val="ro-RO"/>
              </w:rPr>
              <w:t>Indicatori de monitorizare</w:t>
            </w:r>
          </w:p>
        </w:tc>
        <w:tc>
          <w:tcPr>
            <w:tcW w:w="2268" w:type="dxa"/>
            <w:tcBorders>
              <w:bottom w:val="single" w:sz="4" w:space="0" w:color="000000"/>
            </w:tcBorders>
            <w:shd w:val="clear" w:color="auto" w:fill="auto"/>
            <w:vAlign w:val="center"/>
          </w:tcPr>
          <w:p w14:paraId="0EE6E080" w14:textId="77777777" w:rsidR="00344FCE" w:rsidRPr="00344FCE" w:rsidRDefault="00344FCE" w:rsidP="00344FCE">
            <w:pPr>
              <w:spacing w:before="0" w:after="0" w:line="252" w:lineRule="auto"/>
              <w:ind w:firstLine="0"/>
              <w:jc w:val="center"/>
              <w:rPr>
                <w:rFonts w:eastAsia="Times New Roman" w:cs="Times New Roman"/>
                <w:b/>
                <w:kern w:val="0"/>
                <w:sz w:val="22"/>
                <w:szCs w:val="22"/>
                <w:lang w:val="ro-RO"/>
              </w:rPr>
            </w:pPr>
            <w:r w:rsidRPr="00344FCE">
              <w:rPr>
                <w:rFonts w:eastAsia="Times New Roman" w:cs="Times New Roman"/>
                <w:b/>
                <w:kern w:val="0"/>
                <w:sz w:val="22"/>
                <w:szCs w:val="22"/>
                <w:lang w:val="ro-RO"/>
              </w:rPr>
              <w:t>Parametrii măsurați</w:t>
            </w:r>
          </w:p>
        </w:tc>
        <w:tc>
          <w:tcPr>
            <w:tcW w:w="1985" w:type="dxa"/>
            <w:tcBorders>
              <w:bottom w:val="single" w:sz="4" w:space="0" w:color="000000"/>
            </w:tcBorders>
            <w:shd w:val="clear" w:color="auto" w:fill="auto"/>
            <w:vAlign w:val="center"/>
          </w:tcPr>
          <w:p w14:paraId="4A3F4E6A" w14:textId="77777777" w:rsidR="00344FCE" w:rsidRPr="00344FCE" w:rsidRDefault="00344FCE" w:rsidP="00344FCE">
            <w:pPr>
              <w:spacing w:before="0" w:after="0" w:line="252" w:lineRule="auto"/>
              <w:ind w:firstLine="0"/>
              <w:jc w:val="center"/>
              <w:rPr>
                <w:rFonts w:eastAsia="Times New Roman" w:cs="Times New Roman"/>
                <w:b/>
                <w:kern w:val="0"/>
                <w:sz w:val="22"/>
                <w:szCs w:val="22"/>
                <w:lang w:val="ro-RO"/>
              </w:rPr>
            </w:pPr>
            <w:r w:rsidRPr="00344FCE">
              <w:rPr>
                <w:rFonts w:eastAsia="Times New Roman" w:cs="Times New Roman"/>
                <w:b/>
                <w:kern w:val="0"/>
                <w:sz w:val="22"/>
                <w:szCs w:val="22"/>
                <w:lang w:val="ro-RO"/>
              </w:rPr>
              <w:t>Evaluare</w:t>
            </w:r>
          </w:p>
        </w:tc>
      </w:tr>
      <w:tr w:rsidR="00344FCE" w:rsidRPr="00344FCE" w14:paraId="267A4B94" w14:textId="77777777" w:rsidTr="00563FA0">
        <w:trPr>
          <w:trHeight w:val="20"/>
        </w:trPr>
        <w:tc>
          <w:tcPr>
            <w:tcW w:w="2787" w:type="dxa"/>
            <w:vMerge w:val="restart"/>
            <w:shd w:val="clear" w:color="auto" w:fill="F2F2F2"/>
            <w:vAlign w:val="center"/>
          </w:tcPr>
          <w:p w14:paraId="72639603"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A.1 Alcătuirea cadastrului monumentelor și siturilor arheologice</w:t>
            </w:r>
          </w:p>
        </w:tc>
        <w:tc>
          <w:tcPr>
            <w:tcW w:w="1999" w:type="dxa"/>
            <w:vMerge w:val="restart"/>
            <w:shd w:val="clear" w:color="auto" w:fill="F2F2F2"/>
            <w:vAlign w:val="center"/>
          </w:tcPr>
          <w:p w14:paraId="717ED737"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MC (IN</w:t>
            </w:r>
            <w:r w:rsidR="00BA1C09">
              <w:rPr>
                <w:rFonts w:eastAsia="Times New Roman" w:cs="Times New Roman"/>
                <w:kern w:val="0"/>
                <w:sz w:val="22"/>
                <w:szCs w:val="22"/>
                <w:lang w:val="ro-RO"/>
              </w:rPr>
              <w:t>P), CJ Constanța (MINAC</w:t>
            </w:r>
            <w:r w:rsidRPr="00344FCE">
              <w:rPr>
                <w:rFonts w:eastAsia="Times New Roman" w:cs="Times New Roman"/>
                <w:kern w:val="0"/>
                <w:sz w:val="22"/>
                <w:szCs w:val="22"/>
                <w:lang w:val="ro-RO"/>
              </w:rPr>
              <w:t xml:space="preserve">), CJ Tulcea </w:t>
            </w:r>
            <w:r w:rsidR="00BA1C09">
              <w:rPr>
                <w:rFonts w:eastAsia="Times New Roman" w:cs="Times New Roman"/>
                <w:kern w:val="0"/>
                <w:sz w:val="22"/>
                <w:szCs w:val="22"/>
                <w:lang w:val="ro-RO"/>
              </w:rPr>
              <w:t>(ICEM Gavrilă Simion)</w:t>
            </w:r>
            <w:r w:rsidRPr="00344FCE">
              <w:rPr>
                <w:rFonts w:eastAsia="Times New Roman" w:cs="Times New Roman"/>
                <w:kern w:val="0"/>
                <w:sz w:val="22"/>
                <w:szCs w:val="22"/>
                <w:lang w:val="ro-RO"/>
              </w:rPr>
              <w:t>, MDLPA, MCID (INCD GeoEcoMar)</w:t>
            </w:r>
          </w:p>
        </w:tc>
        <w:tc>
          <w:tcPr>
            <w:tcW w:w="1559" w:type="dxa"/>
            <w:vMerge w:val="restart"/>
            <w:shd w:val="clear" w:color="auto" w:fill="F2F2F2"/>
            <w:vAlign w:val="center"/>
          </w:tcPr>
          <w:p w14:paraId="2A134900" w14:textId="77777777" w:rsidR="00344FCE" w:rsidRPr="00344FCE" w:rsidRDefault="00344FCE" w:rsidP="00563FA0">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vMerge w:val="restart"/>
            <w:shd w:val="clear" w:color="auto" w:fill="F2F2F2"/>
            <w:vAlign w:val="center"/>
          </w:tcPr>
          <w:p w14:paraId="40E44DC1"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Înscrierea tuturor obiectivelor în baza de date geospațială a monumentelor și siturilor arheologice</w:t>
            </w:r>
          </w:p>
          <w:p w14:paraId="1187CD44"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Realizarea unui atlas al elementelor de patrimoniu construit din Lista  Monumentelor Istorice din zona costieră</w:t>
            </w:r>
          </w:p>
        </w:tc>
        <w:tc>
          <w:tcPr>
            <w:tcW w:w="2409" w:type="dxa"/>
            <w:vMerge w:val="restart"/>
            <w:shd w:val="clear" w:color="auto" w:fill="F2F2F2"/>
            <w:vAlign w:val="center"/>
          </w:tcPr>
          <w:p w14:paraId="21DA6F9D"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53F89F91"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040E6D19"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Protejarea patrimoniului cultural</w:t>
            </w:r>
          </w:p>
        </w:tc>
        <w:tc>
          <w:tcPr>
            <w:tcW w:w="2268" w:type="dxa"/>
            <w:shd w:val="clear" w:color="auto" w:fill="F2F2F2"/>
            <w:vAlign w:val="center"/>
          </w:tcPr>
          <w:p w14:paraId="387C0F61"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monumente istorice și situri arheologice cu zone de protecție georeferențiate</w:t>
            </w:r>
          </w:p>
        </w:tc>
        <w:tc>
          <w:tcPr>
            <w:tcW w:w="1985" w:type="dxa"/>
            <w:vMerge w:val="restart"/>
            <w:shd w:val="clear" w:color="auto" w:fill="F2F2F2"/>
            <w:vAlign w:val="center"/>
          </w:tcPr>
          <w:p w14:paraId="0A66D807"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344FCE" w:rsidRPr="00344FCE" w14:paraId="19E5EAB2" w14:textId="77777777" w:rsidTr="00563FA0">
        <w:trPr>
          <w:trHeight w:val="20"/>
        </w:trPr>
        <w:tc>
          <w:tcPr>
            <w:tcW w:w="2787" w:type="dxa"/>
            <w:vMerge/>
            <w:shd w:val="clear" w:color="auto" w:fill="F2F2F2"/>
            <w:vAlign w:val="center"/>
          </w:tcPr>
          <w:p w14:paraId="3CB227BC"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F2F2F2"/>
            <w:vAlign w:val="center"/>
          </w:tcPr>
          <w:p w14:paraId="19AB2F44"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F2F2F2"/>
            <w:vAlign w:val="center"/>
          </w:tcPr>
          <w:p w14:paraId="5741009E" w14:textId="77777777" w:rsidR="00344FCE" w:rsidRPr="00344FCE" w:rsidRDefault="00344FCE" w:rsidP="00563FA0">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73C1A116" w14:textId="77777777" w:rsidR="00344FCE" w:rsidRPr="00344FCE" w:rsidRDefault="00344FCE" w:rsidP="00563FA0">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664DB436"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F2F2F2"/>
            <w:vAlign w:val="center"/>
          </w:tcPr>
          <w:p w14:paraId="4E07791F"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monumente istorice și situri cadastrate</w:t>
            </w:r>
          </w:p>
        </w:tc>
        <w:tc>
          <w:tcPr>
            <w:tcW w:w="1985" w:type="dxa"/>
            <w:vMerge/>
            <w:shd w:val="clear" w:color="auto" w:fill="F2F2F2"/>
            <w:vAlign w:val="center"/>
          </w:tcPr>
          <w:p w14:paraId="0FBE7D9F"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21944793" w14:textId="77777777" w:rsidTr="00563FA0">
        <w:trPr>
          <w:trHeight w:val="20"/>
        </w:trPr>
        <w:tc>
          <w:tcPr>
            <w:tcW w:w="2787" w:type="dxa"/>
            <w:vMerge w:val="restart"/>
            <w:shd w:val="clear" w:color="auto" w:fill="F2F2F2"/>
            <w:vAlign w:val="center"/>
          </w:tcPr>
          <w:p w14:paraId="24696F67"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A.2 Inițierea și implementarea programelor de dezvoltare de proiecte pentru protecția, conservarea și restaurarea patrimoniului cultural existent de interes național (monumente istorice, situri, imobile sau amenajări cu valoare arhitectural urbanistică, precum și peisajele din zona costieră)</w:t>
            </w:r>
          </w:p>
        </w:tc>
        <w:tc>
          <w:tcPr>
            <w:tcW w:w="1999" w:type="dxa"/>
            <w:vMerge w:val="restart"/>
            <w:shd w:val="clear" w:color="auto" w:fill="F2F2F2"/>
            <w:vAlign w:val="center"/>
          </w:tcPr>
          <w:p w14:paraId="7BE399DB"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MC, autorități locale (CJ Constanța, CJ Tulcea, Consiliile locale), MDLPA, MCID, MEAT.</w:t>
            </w:r>
          </w:p>
        </w:tc>
        <w:tc>
          <w:tcPr>
            <w:tcW w:w="1559" w:type="dxa"/>
            <w:vMerge w:val="restart"/>
            <w:shd w:val="clear" w:color="auto" w:fill="F2F2F2"/>
            <w:vAlign w:val="center"/>
          </w:tcPr>
          <w:p w14:paraId="659265C9" w14:textId="77777777" w:rsidR="00344FCE" w:rsidRPr="00344FCE" w:rsidRDefault="00344FCE" w:rsidP="00563FA0">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vMerge w:val="restart"/>
            <w:shd w:val="clear" w:color="auto" w:fill="F2F2F2"/>
            <w:vAlign w:val="center"/>
          </w:tcPr>
          <w:p w14:paraId="3C57BA58"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numărului de monumente cu valoare arhitecturală  restaurate / reabilitate</w:t>
            </w:r>
          </w:p>
          <w:p w14:paraId="0C949225"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numărului planurilor de peisaj elaborate</w:t>
            </w:r>
          </w:p>
        </w:tc>
        <w:tc>
          <w:tcPr>
            <w:tcW w:w="2409" w:type="dxa"/>
            <w:vMerge w:val="restart"/>
            <w:shd w:val="clear" w:color="auto" w:fill="F2F2F2"/>
            <w:vAlign w:val="center"/>
          </w:tcPr>
          <w:p w14:paraId="3AB7568E"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Protejarea patrimoniului cultural</w:t>
            </w:r>
          </w:p>
        </w:tc>
        <w:tc>
          <w:tcPr>
            <w:tcW w:w="2268" w:type="dxa"/>
            <w:shd w:val="clear" w:color="auto" w:fill="F2F2F2"/>
            <w:vAlign w:val="center"/>
          </w:tcPr>
          <w:p w14:paraId="26805982"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Monumente istorice și situri arheologice protejate/conservate/restaurate</w:t>
            </w:r>
          </w:p>
        </w:tc>
        <w:tc>
          <w:tcPr>
            <w:tcW w:w="1985" w:type="dxa"/>
            <w:vMerge w:val="restart"/>
            <w:shd w:val="clear" w:color="auto" w:fill="F2F2F2"/>
            <w:vAlign w:val="center"/>
          </w:tcPr>
          <w:p w14:paraId="24F6947D"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22AB4518"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1F8680B6"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p w14:paraId="06049B8A"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79CFB34E"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2034</w:t>
            </w:r>
          </w:p>
          <w:p w14:paraId="301E9DB0"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r>
      <w:tr w:rsidR="00344FCE" w:rsidRPr="00344FCE" w14:paraId="0C091EA4" w14:textId="77777777" w:rsidTr="00563FA0">
        <w:trPr>
          <w:trHeight w:val="20"/>
        </w:trPr>
        <w:tc>
          <w:tcPr>
            <w:tcW w:w="2787" w:type="dxa"/>
            <w:vMerge/>
            <w:shd w:val="clear" w:color="auto" w:fill="F2F2F2"/>
            <w:vAlign w:val="center"/>
          </w:tcPr>
          <w:p w14:paraId="508A95B0"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F2F2F2"/>
            <w:vAlign w:val="center"/>
          </w:tcPr>
          <w:p w14:paraId="6F9D5F1F"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F2F2F2"/>
            <w:vAlign w:val="center"/>
          </w:tcPr>
          <w:p w14:paraId="03570E78" w14:textId="77777777" w:rsidR="00344FCE" w:rsidRPr="00344FCE" w:rsidRDefault="00344FCE" w:rsidP="00563FA0">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3DD2BBC7" w14:textId="77777777" w:rsidR="00344FCE" w:rsidRPr="00344FCE" w:rsidRDefault="00344FCE" w:rsidP="00563FA0">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587AA53F"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F2F2F2"/>
            <w:vAlign w:val="center"/>
          </w:tcPr>
          <w:p w14:paraId="74224790"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planuri de peisaj elaborate</w:t>
            </w:r>
          </w:p>
        </w:tc>
        <w:tc>
          <w:tcPr>
            <w:tcW w:w="1985" w:type="dxa"/>
            <w:vMerge/>
            <w:shd w:val="clear" w:color="auto" w:fill="F2F2F2"/>
            <w:vAlign w:val="center"/>
          </w:tcPr>
          <w:p w14:paraId="62204BCF"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2CBB3331" w14:textId="77777777" w:rsidTr="00563FA0">
        <w:trPr>
          <w:trHeight w:val="20"/>
        </w:trPr>
        <w:tc>
          <w:tcPr>
            <w:tcW w:w="2787" w:type="dxa"/>
            <w:shd w:val="clear" w:color="auto" w:fill="F2F2F2"/>
            <w:vAlign w:val="center"/>
          </w:tcPr>
          <w:p w14:paraId="54E93645"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A.3 Realizarea unui program național de cercetare, inventariere și punere în </w:t>
            </w:r>
            <w:r w:rsidRPr="00344FCE">
              <w:rPr>
                <w:rFonts w:eastAsia="Times New Roman" w:cs="Times New Roman"/>
                <w:kern w:val="0"/>
                <w:sz w:val="22"/>
                <w:szCs w:val="22"/>
                <w:lang w:val="ro-RO"/>
              </w:rPr>
              <w:lastRenderedPageBreak/>
              <w:t>valoare a patrimoniului arheologic subacvatic din zona costieră</w:t>
            </w:r>
          </w:p>
        </w:tc>
        <w:tc>
          <w:tcPr>
            <w:tcW w:w="1999" w:type="dxa"/>
            <w:shd w:val="clear" w:color="auto" w:fill="F2F2F2"/>
            <w:vAlign w:val="center"/>
          </w:tcPr>
          <w:p w14:paraId="11D3D3DB"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lastRenderedPageBreak/>
              <w:t xml:space="preserve">MC (INP), MCID (INCD GeoEcoMar), și </w:t>
            </w:r>
            <w:r w:rsidRPr="00344FCE">
              <w:rPr>
                <w:rFonts w:eastAsia="Times New Roman" w:cs="Times New Roman"/>
                <w:kern w:val="0"/>
                <w:sz w:val="22"/>
                <w:szCs w:val="22"/>
                <w:lang w:val="ro-RO"/>
              </w:rPr>
              <w:lastRenderedPageBreak/>
              <w:t>autoritățile locale (CJ Constanța și Tulcea)</w:t>
            </w:r>
          </w:p>
        </w:tc>
        <w:tc>
          <w:tcPr>
            <w:tcW w:w="1559" w:type="dxa"/>
            <w:shd w:val="clear" w:color="auto" w:fill="F2F2F2"/>
            <w:vAlign w:val="center"/>
          </w:tcPr>
          <w:p w14:paraId="0673236C" w14:textId="77777777" w:rsidR="00344FCE" w:rsidRPr="00344FCE" w:rsidRDefault="00344FCE" w:rsidP="00563FA0">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lastRenderedPageBreak/>
              <w:t>2040</w:t>
            </w:r>
          </w:p>
        </w:tc>
        <w:tc>
          <w:tcPr>
            <w:tcW w:w="2127" w:type="dxa"/>
            <w:shd w:val="clear" w:color="auto" w:fill="F2F2F2"/>
            <w:vAlign w:val="center"/>
          </w:tcPr>
          <w:p w14:paraId="0A2295D1"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Realizarea unei baze de date ce cuprinde informații istorice, </w:t>
            </w:r>
            <w:r w:rsidRPr="00344FCE">
              <w:rPr>
                <w:rFonts w:eastAsia="Times New Roman" w:cs="Times New Roman"/>
                <w:kern w:val="0"/>
                <w:sz w:val="22"/>
                <w:szCs w:val="22"/>
                <w:lang w:val="ro-RO"/>
              </w:rPr>
              <w:lastRenderedPageBreak/>
              <w:t>descriptive și spațiale privitoare la patrimoniul cultural subacvatic</w:t>
            </w:r>
          </w:p>
        </w:tc>
        <w:tc>
          <w:tcPr>
            <w:tcW w:w="2409" w:type="dxa"/>
            <w:shd w:val="clear" w:color="auto" w:fill="F2F2F2"/>
            <w:vAlign w:val="center"/>
          </w:tcPr>
          <w:p w14:paraId="6BDA3383"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lastRenderedPageBreak/>
              <w:t>Protejarea patrimoniului cultural</w:t>
            </w:r>
          </w:p>
        </w:tc>
        <w:tc>
          <w:tcPr>
            <w:tcW w:w="2268" w:type="dxa"/>
            <w:shd w:val="clear" w:color="auto" w:fill="F2F2F2"/>
            <w:vAlign w:val="center"/>
          </w:tcPr>
          <w:p w14:paraId="2CF71876"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situri subacvatice inventariate</w:t>
            </w:r>
          </w:p>
        </w:tc>
        <w:tc>
          <w:tcPr>
            <w:tcW w:w="1985" w:type="dxa"/>
            <w:shd w:val="clear" w:color="auto" w:fill="F2F2F2"/>
            <w:vAlign w:val="center"/>
          </w:tcPr>
          <w:p w14:paraId="1E7221B0"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1B8326F8"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p w14:paraId="117ABD41"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2034</w:t>
            </w:r>
          </w:p>
        </w:tc>
      </w:tr>
      <w:tr w:rsidR="00344FCE" w:rsidRPr="00344FCE" w14:paraId="0BB6188B" w14:textId="77777777" w:rsidTr="00563FA0">
        <w:trPr>
          <w:trHeight w:val="20"/>
        </w:trPr>
        <w:tc>
          <w:tcPr>
            <w:tcW w:w="2787" w:type="dxa"/>
            <w:shd w:val="clear" w:color="auto" w:fill="F2F2F2"/>
            <w:vAlign w:val="center"/>
          </w:tcPr>
          <w:p w14:paraId="24A7AAB5"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A.4 Inventarierea și evaluarea peisajului în zona costieră în vederea susținerii proceselor de elaborarea a activităților de planificare spațială a teritoriului, precum și a programelor de conservare / restaurare / reabilitare / valorificare a peisajului costier</w:t>
            </w:r>
          </w:p>
        </w:tc>
        <w:tc>
          <w:tcPr>
            <w:tcW w:w="1999" w:type="dxa"/>
            <w:shd w:val="clear" w:color="auto" w:fill="F2F2F2"/>
            <w:vAlign w:val="center"/>
          </w:tcPr>
          <w:p w14:paraId="4F4C954E"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MDLPA</w:t>
            </w:r>
          </w:p>
        </w:tc>
        <w:tc>
          <w:tcPr>
            <w:tcW w:w="1559" w:type="dxa"/>
            <w:shd w:val="clear" w:color="auto" w:fill="F2F2F2"/>
            <w:vAlign w:val="center"/>
          </w:tcPr>
          <w:p w14:paraId="4808A9FA" w14:textId="77777777" w:rsidR="00344FCE" w:rsidRPr="00344FCE" w:rsidRDefault="00344FCE" w:rsidP="00563FA0">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tc>
        <w:tc>
          <w:tcPr>
            <w:tcW w:w="2127" w:type="dxa"/>
            <w:shd w:val="clear" w:color="auto" w:fill="F2F2F2"/>
            <w:vAlign w:val="center"/>
          </w:tcPr>
          <w:p w14:paraId="0F6DB118"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Realizarea Atlasului peisajului costier (inventar al peisajelor identificate)</w:t>
            </w:r>
          </w:p>
        </w:tc>
        <w:tc>
          <w:tcPr>
            <w:tcW w:w="2409" w:type="dxa"/>
            <w:shd w:val="clear" w:color="auto" w:fill="F2F2F2"/>
            <w:vAlign w:val="center"/>
          </w:tcPr>
          <w:p w14:paraId="7E2F8DF4"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Protejarea patrimoniului cultural</w:t>
            </w:r>
          </w:p>
        </w:tc>
        <w:tc>
          <w:tcPr>
            <w:tcW w:w="2268" w:type="dxa"/>
            <w:tcBorders>
              <w:bottom w:val="single" w:sz="4" w:space="0" w:color="000000"/>
            </w:tcBorders>
            <w:shd w:val="clear" w:color="auto" w:fill="F2F2F2"/>
            <w:vAlign w:val="center"/>
          </w:tcPr>
          <w:p w14:paraId="0165B83D"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planuri de peisaj elaborate</w:t>
            </w:r>
          </w:p>
        </w:tc>
        <w:tc>
          <w:tcPr>
            <w:tcW w:w="1985" w:type="dxa"/>
            <w:shd w:val="clear" w:color="auto" w:fill="F2F2F2"/>
            <w:vAlign w:val="center"/>
          </w:tcPr>
          <w:p w14:paraId="3659B388"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2A494B2A"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58D558A2"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tc>
      </w:tr>
      <w:tr w:rsidR="00344FCE" w:rsidRPr="00344FCE" w14:paraId="6F30551B" w14:textId="77777777" w:rsidTr="00563FA0">
        <w:trPr>
          <w:trHeight w:val="20"/>
        </w:trPr>
        <w:tc>
          <w:tcPr>
            <w:tcW w:w="2787" w:type="dxa"/>
            <w:vMerge w:val="restart"/>
            <w:shd w:val="clear" w:color="auto" w:fill="F2F2F2"/>
            <w:vAlign w:val="center"/>
          </w:tcPr>
          <w:p w14:paraId="63D8503B"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A.5 Asigurarea conservării biodiversității în conformitate cu obligațiile prevăzute de legislația europeană</w:t>
            </w:r>
          </w:p>
        </w:tc>
        <w:tc>
          <w:tcPr>
            <w:tcW w:w="1999" w:type="dxa"/>
            <w:vMerge w:val="restart"/>
            <w:shd w:val="clear" w:color="auto" w:fill="F2F2F2"/>
            <w:vAlign w:val="center"/>
          </w:tcPr>
          <w:p w14:paraId="7C8AC910"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MMAP (prin ANANP, ARBDD), MCID (Academia Română, INCD GeoEcoMar, INCDM Grigore Antipa, INCDDD), ME (UOC, UB, UAIC).</w:t>
            </w:r>
          </w:p>
        </w:tc>
        <w:tc>
          <w:tcPr>
            <w:tcW w:w="1559" w:type="dxa"/>
            <w:vMerge w:val="restart"/>
            <w:shd w:val="clear" w:color="auto" w:fill="F2F2F2"/>
            <w:vAlign w:val="center"/>
          </w:tcPr>
          <w:p w14:paraId="73505EA6" w14:textId="77777777" w:rsidR="00344FCE" w:rsidRPr="00344FCE" w:rsidRDefault="00344FCE" w:rsidP="00563FA0">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vMerge w:val="restart"/>
            <w:shd w:val="clear" w:color="auto" w:fill="F2F2F2"/>
            <w:vAlign w:val="center"/>
          </w:tcPr>
          <w:p w14:paraId="6D4BFF9C"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procentului de habitate și specii aflate în stare de conservare nefavorabilă care ating o stare favorabilă sau cel puțin prezintă o tendință pozitivă;</w:t>
            </w:r>
          </w:p>
          <w:p w14:paraId="179A06E0"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suprafeței ariilor protejate se află sub protecție strictă;</w:t>
            </w:r>
          </w:p>
          <w:p w14:paraId="0B0674F4"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Creșterea procentului de habitate pelagice și bentale cu rol în combaterea efectelor schimbărilor </w:t>
            </w:r>
            <w:r w:rsidRPr="00344FCE">
              <w:rPr>
                <w:rFonts w:eastAsia="Times New Roman" w:cs="Times New Roman"/>
                <w:kern w:val="0"/>
                <w:sz w:val="22"/>
                <w:szCs w:val="22"/>
                <w:lang w:val="ro-RO"/>
              </w:rPr>
              <w:lastRenderedPageBreak/>
              <w:t>climatice sunt protejate;</w:t>
            </w:r>
          </w:p>
          <w:p w14:paraId="11C16340"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Planuri de management actualizate pentru toate ariile protejate</w:t>
            </w:r>
          </w:p>
        </w:tc>
        <w:tc>
          <w:tcPr>
            <w:tcW w:w="2409" w:type="dxa"/>
            <w:vMerge w:val="restart"/>
            <w:shd w:val="clear" w:color="auto" w:fill="F2F2F2"/>
            <w:vAlign w:val="center"/>
          </w:tcPr>
          <w:p w14:paraId="430940FA"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550E8F89"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2AA55702"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2407B235"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564C63DC"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4B9FC923"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4BF411DD"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Management eficient al ariilor protejate</w:t>
            </w:r>
          </w:p>
          <w:p w14:paraId="6D5E366E"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525B106C"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tc>
        <w:tc>
          <w:tcPr>
            <w:tcW w:w="2268" w:type="dxa"/>
            <w:shd w:val="clear" w:color="auto" w:fill="F2F2F2"/>
            <w:vAlign w:val="center"/>
          </w:tcPr>
          <w:p w14:paraId="0A91DFD2"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Suprafața totală și ponderea zonelor degradate din ariile protejate în urma desfășurării de activității umane</w:t>
            </w:r>
          </w:p>
        </w:tc>
        <w:tc>
          <w:tcPr>
            <w:tcW w:w="1985" w:type="dxa"/>
            <w:vMerge w:val="restart"/>
            <w:shd w:val="clear" w:color="auto" w:fill="F2F2F2"/>
            <w:vAlign w:val="center"/>
          </w:tcPr>
          <w:p w14:paraId="194433F0"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68893DF3"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741A8338"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3828E36C"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p w14:paraId="13A96541"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649E18DF"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202D0DF0"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7B7C6B61"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2034</w:t>
            </w:r>
          </w:p>
        </w:tc>
      </w:tr>
      <w:tr w:rsidR="00344FCE" w:rsidRPr="00344FCE" w14:paraId="6DDC1919" w14:textId="77777777" w:rsidTr="00563FA0">
        <w:trPr>
          <w:trHeight w:val="20"/>
        </w:trPr>
        <w:tc>
          <w:tcPr>
            <w:tcW w:w="2787" w:type="dxa"/>
            <w:vMerge/>
            <w:shd w:val="clear" w:color="auto" w:fill="F2F2F2"/>
            <w:vAlign w:val="center"/>
          </w:tcPr>
          <w:p w14:paraId="2C3DEA2A"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5E4D22C0"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503B0341"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02F8B6D9" w14:textId="77777777" w:rsidR="00344FCE" w:rsidRPr="00344FCE" w:rsidRDefault="00344FCE" w:rsidP="00563FA0">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1A8B5B55"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F2F2F2"/>
            <w:vAlign w:val="center"/>
          </w:tcPr>
          <w:p w14:paraId="6F3B7DB5"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Rata pierderii sau deteriorării ariilor protejate</w:t>
            </w:r>
          </w:p>
        </w:tc>
        <w:tc>
          <w:tcPr>
            <w:tcW w:w="1985" w:type="dxa"/>
            <w:vMerge/>
            <w:shd w:val="clear" w:color="auto" w:fill="F2F2F2"/>
            <w:vAlign w:val="center"/>
          </w:tcPr>
          <w:p w14:paraId="58527194"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54F52E49" w14:textId="77777777" w:rsidTr="00563FA0">
        <w:trPr>
          <w:trHeight w:val="20"/>
        </w:trPr>
        <w:tc>
          <w:tcPr>
            <w:tcW w:w="2787" w:type="dxa"/>
            <w:vMerge/>
            <w:shd w:val="clear" w:color="auto" w:fill="F2F2F2"/>
            <w:vAlign w:val="center"/>
          </w:tcPr>
          <w:p w14:paraId="2FBBC839"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51FCFB29"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713C4688"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306ACC2A" w14:textId="77777777" w:rsidR="00344FCE" w:rsidRPr="00344FCE" w:rsidRDefault="00344FCE" w:rsidP="00563FA0">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0C272B5F"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F2F2F2"/>
            <w:vAlign w:val="center"/>
          </w:tcPr>
          <w:p w14:paraId="55B79342"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măsuri incluse în planurile de management care sa corespunda dezideratului de conservare a ariilor protejate, a habitatelor naturale și a biodiversității</w:t>
            </w:r>
          </w:p>
        </w:tc>
        <w:tc>
          <w:tcPr>
            <w:tcW w:w="1985" w:type="dxa"/>
            <w:vMerge/>
            <w:shd w:val="clear" w:color="auto" w:fill="F2F2F2"/>
            <w:vAlign w:val="center"/>
          </w:tcPr>
          <w:p w14:paraId="7E992A35"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56DFBB19" w14:textId="77777777" w:rsidTr="00563FA0">
        <w:trPr>
          <w:trHeight w:val="20"/>
        </w:trPr>
        <w:tc>
          <w:tcPr>
            <w:tcW w:w="2787" w:type="dxa"/>
            <w:vMerge/>
            <w:shd w:val="clear" w:color="auto" w:fill="F2F2F2"/>
            <w:vAlign w:val="center"/>
          </w:tcPr>
          <w:p w14:paraId="5CFD8A3F"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05AD8A07"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6D94DAAC"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0295F82B" w14:textId="77777777" w:rsidR="00344FCE" w:rsidRPr="00344FCE" w:rsidRDefault="00344FCE" w:rsidP="00563FA0">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4E5E2A84"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F2F2F2"/>
            <w:vAlign w:val="center"/>
          </w:tcPr>
          <w:p w14:paraId="0D91D9D5"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Număr de planuri de management elaborate </w:t>
            </w:r>
            <w:r w:rsidRPr="00344FCE">
              <w:rPr>
                <w:rFonts w:eastAsia="Times New Roman" w:cs="Times New Roman"/>
                <w:kern w:val="0"/>
                <w:sz w:val="22"/>
                <w:szCs w:val="22"/>
                <w:lang w:val="ro-RO"/>
              </w:rPr>
              <w:lastRenderedPageBreak/>
              <w:t>/ revizuite / implementate</w:t>
            </w:r>
          </w:p>
        </w:tc>
        <w:tc>
          <w:tcPr>
            <w:tcW w:w="1985" w:type="dxa"/>
            <w:vMerge/>
            <w:shd w:val="clear" w:color="auto" w:fill="F2F2F2"/>
            <w:vAlign w:val="center"/>
          </w:tcPr>
          <w:p w14:paraId="2F5E7C9F"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6927421A" w14:textId="77777777" w:rsidTr="00563FA0">
        <w:trPr>
          <w:trHeight w:val="20"/>
        </w:trPr>
        <w:tc>
          <w:tcPr>
            <w:tcW w:w="2787" w:type="dxa"/>
            <w:vMerge/>
            <w:shd w:val="clear" w:color="auto" w:fill="F2F2F2"/>
            <w:vAlign w:val="center"/>
          </w:tcPr>
          <w:p w14:paraId="60199807"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50EA3E9A"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45706FAA"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05789ECF" w14:textId="77777777" w:rsidR="00344FCE" w:rsidRPr="00344FCE" w:rsidRDefault="00344FCE" w:rsidP="00563FA0">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val="restart"/>
            <w:shd w:val="clear" w:color="auto" w:fill="F2F2F2"/>
            <w:vAlign w:val="center"/>
          </w:tcPr>
          <w:p w14:paraId="7F711AB3"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Modificări în importanța speciilor și habitatelor din zona costieră</w:t>
            </w:r>
          </w:p>
        </w:tc>
        <w:tc>
          <w:tcPr>
            <w:tcW w:w="2268" w:type="dxa"/>
            <w:shd w:val="clear" w:color="auto" w:fill="F2F2F2"/>
            <w:vAlign w:val="center"/>
          </w:tcPr>
          <w:p w14:paraId="311A4B60"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Tendința speciilor și habitatelor costiere</w:t>
            </w:r>
          </w:p>
        </w:tc>
        <w:tc>
          <w:tcPr>
            <w:tcW w:w="1985" w:type="dxa"/>
            <w:vMerge/>
            <w:shd w:val="clear" w:color="auto" w:fill="F2F2F2"/>
            <w:vAlign w:val="center"/>
          </w:tcPr>
          <w:p w14:paraId="58CA6F93"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6C9E2F3C" w14:textId="77777777" w:rsidTr="00563FA0">
        <w:trPr>
          <w:trHeight w:val="20"/>
        </w:trPr>
        <w:tc>
          <w:tcPr>
            <w:tcW w:w="2787" w:type="dxa"/>
            <w:vMerge/>
            <w:shd w:val="clear" w:color="auto" w:fill="F2F2F2"/>
            <w:vAlign w:val="center"/>
          </w:tcPr>
          <w:p w14:paraId="221FC846"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3852DD54"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5E01A652"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00568A95" w14:textId="77777777" w:rsidR="00344FCE" w:rsidRPr="00344FCE" w:rsidRDefault="00344FCE" w:rsidP="00563FA0">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130F3419"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F2F2F2"/>
            <w:vAlign w:val="center"/>
          </w:tcPr>
          <w:p w14:paraId="494E5EE0"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specii  per tip de habitat</w:t>
            </w:r>
          </w:p>
        </w:tc>
        <w:tc>
          <w:tcPr>
            <w:tcW w:w="1985" w:type="dxa"/>
            <w:vMerge/>
            <w:shd w:val="clear" w:color="auto" w:fill="F2F2F2"/>
            <w:vAlign w:val="center"/>
          </w:tcPr>
          <w:p w14:paraId="5E9A9DA2"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2ACB8DFF" w14:textId="77777777" w:rsidTr="00563FA0">
        <w:trPr>
          <w:trHeight w:val="20"/>
        </w:trPr>
        <w:tc>
          <w:tcPr>
            <w:tcW w:w="2787" w:type="dxa"/>
            <w:vMerge/>
            <w:shd w:val="clear" w:color="auto" w:fill="F2F2F2"/>
            <w:vAlign w:val="center"/>
          </w:tcPr>
          <w:p w14:paraId="0B86F368"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533491C1"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22C88310"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0158D083" w14:textId="77777777" w:rsidR="00344FCE" w:rsidRPr="00344FCE" w:rsidRDefault="00344FCE" w:rsidP="00563FA0">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4743E0F2"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tcBorders>
              <w:bottom w:val="single" w:sz="4" w:space="0" w:color="000000"/>
            </w:tcBorders>
            <w:shd w:val="clear" w:color="auto" w:fill="F2F2F2"/>
            <w:vAlign w:val="center"/>
          </w:tcPr>
          <w:p w14:paraId="121975F7"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specii din Lista Roșie</w:t>
            </w:r>
          </w:p>
        </w:tc>
        <w:tc>
          <w:tcPr>
            <w:tcW w:w="1985" w:type="dxa"/>
            <w:vMerge/>
            <w:shd w:val="clear" w:color="auto" w:fill="F2F2F2"/>
            <w:vAlign w:val="center"/>
          </w:tcPr>
          <w:p w14:paraId="75CF3FB2"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4E0209B8" w14:textId="77777777" w:rsidTr="00563FA0">
        <w:trPr>
          <w:trHeight w:val="20"/>
        </w:trPr>
        <w:tc>
          <w:tcPr>
            <w:tcW w:w="2787" w:type="dxa"/>
            <w:vMerge w:val="restart"/>
            <w:shd w:val="clear" w:color="auto" w:fill="F2F2F2"/>
            <w:vAlign w:val="center"/>
          </w:tcPr>
          <w:p w14:paraId="5E132CB4"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A.6 Dezvoltarea unor programe pentru restabilirea/refacerea și utilizarea sustenabilă a ecosistemelor costiere utilizând soluțiile bazate pe natură</w:t>
            </w:r>
          </w:p>
        </w:tc>
        <w:tc>
          <w:tcPr>
            <w:tcW w:w="1999" w:type="dxa"/>
            <w:vMerge w:val="restart"/>
            <w:shd w:val="clear" w:color="auto" w:fill="F2F2F2"/>
            <w:vAlign w:val="center"/>
          </w:tcPr>
          <w:p w14:paraId="20A6D0A8"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MMAP, MADR (prin ANPA), MCID (Academia Română, INCD GeoEcoMar, INCDM Grigore Antipa, INCDDD), ME (UOC)</w:t>
            </w:r>
          </w:p>
        </w:tc>
        <w:tc>
          <w:tcPr>
            <w:tcW w:w="1559" w:type="dxa"/>
            <w:vMerge w:val="restart"/>
            <w:shd w:val="clear" w:color="auto" w:fill="F2F2F2"/>
            <w:vAlign w:val="center"/>
          </w:tcPr>
          <w:p w14:paraId="3A9F79A6"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tc>
        <w:tc>
          <w:tcPr>
            <w:tcW w:w="2127" w:type="dxa"/>
            <w:vMerge w:val="restart"/>
            <w:shd w:val="clear" w:color="auto" w:fill="F2F2F2"/>
            <w:vAlign w:val="center"/>
          </w:tcPr>
          <w:p w14:paraId="130AAD20"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procentului din suprafața fiecărui grup de tipuri de habitate enumerate în Directiva Habitate care nu se află în stare bună pe care se aplică măsuri de refacere folosind NBS</w:t>
            </w:r>
          </w:p>
        </w:tc>
        <w:tc>
          <w:tcPr>
            <w:tcW w:w="2409" w:type="dxa"/>
            <w:vMerge w:val="restart"/>
            <w:shd w:val="clear" w:color="auto" w:fill="F2F2F2"/>
            <w:vAlign w:val="center"/>
          </w:tcPr>
          <w:p w14:paraId="1BA0539C"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Refacerea habitatelor folosind soluții bazate pe natură (NBs)</w:t>
            </w:r>
          </w:p>
        </w:tc>
        <w:tc>
          <w:tcPr>
            <w:tcW w:w="2268" w:type="dxa"/>
            <w:shd w:val="clear" w:color="auto" w:fill="F2F2F2"/>
            <w:vAlign w:val="center"/>
          </w:tcPr>
          <w:p w14:paraId="70B436E0"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Plan de refacere a habitatelor și de prevenire și reducere a impactului dezastrelor naturale.</w:t>
            </w:r>
          </w:p>
        </w:tc>
        <w:tc>
          <w:tcPr>
            <w:tcW w:w="1985" w:type="dxa"/>
            <w:vMerge w:val="restart"/>
            <w:shd w:val="clear" w:color="auto" w:fill="F2F2F2"/>
            <w:vAlign w:val="center"/>
          </w:tcPr>
          <w:p w14:paraId="4CAA19D9"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34AE7805"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243F17A8"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237B5895"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r>
      <w:tr w:rsidR="00344FCE" w:rsidRPr="00344FCE" w14:paraId="2E7852FB" w14:textId="77777777" w:rsidTr="00563FA0">
        <w:trPr>
          <w:trHeight w:val="20"/>
        </w:trPr>
        <w:tc>
          <w:tcPr>
            <w:tcW w:w="2787" w:type="dxa"/>
            <w:vMerge/>
            <w:shd w:val="clear" w:color="auto" w:fill="F2F2F2"/>
            <w:vAlign w:val="center"/>
          </w:tcPr>
          <w:p w14:paraId="3F3BBD86"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F2F2F2"/>
            <w:vAlign w:val="center"/>
          </w:tcPr>
          <w:p w14:paraId="71E283CF"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F2F2F2"/>
            <w:vAlign w:val="center"/>
          </w:tcPr>
          <w:p w14:paraId="19E79D01"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657EEC21" w14:textId="77777777" w:rsidR="00344FCE" w:rsidRPr="00344FCE" w:rsidRDefault="00344FCE" w:rsidP="00563FA0">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513593BD"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F2F2F2"/>
            <w:vAlign w:val="center"/>
          </w:tcPr>
          <w:p w14:paraId="0F71AD21"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Suprafața habitatelor supuse procesului de refacere, raportată la suprafața totala a habitatelor de același tip din zona costieră</w:t>
            </w:r>
          </w:p>
        </w:tc>
        <w:tc>
          <w:tcPr>
            <w:tcW w:w="1985" w:type="dxa"/>
            <w:vMerge/>
            <w:shd w:val="clear" w:color="auto" w:fill="F2F2F2"/>
            <w:vAlign w:val="center"/>
          </w:tcPr>
          <w:p w14:paraId="170B7AF2"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73D4326F" w14:textId="77777777" w:rsidTr="00563FA0">
        <w:trPr>
          <w:trHeight w:val="20"/>
        </w:trPr>
        <w:tc>
          <w:tcPr>
            <w:tcW w:w="2787" w:type="dxa"/>
            <w:shd w:val="clear" w:color="auto" w:fill="F2F2F2"/>
            <w:vAlign w:val="center"/>
          </w:tcPr>
          <w:p w14:paraId="59144272"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A.7 Identificarea, catalogarea și monitorizarea serviciilor ecosistemice</w:t>
            </w:r>
          </w:p>
        </w:tc>
        <w:tc>
          <w:tcPr>
            <w:tcW w:w="1999" w:type="dxa"/>
            <w:shd w:val="clear" w:color="auto" w:fill="F2F2F2"/>
            <w:vAlign w:val="center"/>
          </w:tcPr>
          <w:p w14:paraId="7945F264"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MMAP, MCID (INCD GeoEcoMar, INCDM Grigore Antipa, INCDDD), ME (UOC, UB, UAIC)</w:t>
            </w:r>
          </w:p>
        </w:tc>
        <w:tc>
          <w:tcPr>
            <w:tcW w:w="1559" w:type="dxa"/>
            <w:shd w:val="clear" w:color="auto" w:fill="F2F2F2"/>
            <w:vAlign w:val="center"/>
          </w:tcPr>
          <w:p w14:paraId="0B70E483"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tc>
        <w:tc>
          <w:tcPr>
            <w:tcW w:w="2127" w:type="dxa"/>
            <w:shd w:val="clear" w:color="auto" w:fill="F2F2F2"/>
            <w:vAlign w:val="center"/>
          </w:tcPr>
          <w:p w14:paraId="04FB2493"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Realizarea Catalogului serviciilor ecosistemice marine și costiere (aferente zonei costiere)</w:t>
            </w:r>
          </w:p>
        </w:tc>
        <w:tc>
          <w:tcPr>
            <w:tcW w:w="2409" w:type="dxa"/>
            <w:shd w:val="clear" w:color="auto" w:fill="F2F2F2"/>
            <w:vAlign w:val="center"/>
          </w:tcPr>
          <w:p w14:paraId="31B6CA9C"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Valorizarea serviciilor ecosistemice din zona costieră</w:t>
            </w:r>
          </w:p>
        </w:tc>
        <w:tc>
          <w:tcPr>
            <w:tcW w:w="2268" w:type="dxa"/>
            <w:shd w:val="clear" w:color="auto" w:fill="F2F2F2"/>
            <w:vAlign w:val="center"/>
          </w:tcPr>
          <w:p w14:paraId="4C8786C8"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servicii ecosistemice identificate și evaluate în zona costieră.</w:t>
            </w:r>
          </w:p>
        </w:tc>
        <w:tc>
          <w:tcPr>
            <w:tcW w:w="1985" w:type="dxa"/>
            <w:shd w:val="clear" w:color="auto" w:fill="F2F2F2"/>
            <w:vAlign w:val="center"/>
          </w:tcPr>
          <w:p w14:paraId="064A84C5"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344FCE" w:rsidRPr="00344FCE" w14:paraId="0C2C3C31" w14:textId="77777777" w:rsidTr="00563FA0">
        <w:trPr>
          <w:trHeight w:val="20"/>
        </w:trPr>
        <w:tc>
          <w:tcPr>
            <w:tcW w:w="2787" w:type="dxa"/>
            <w:shd w:val="clear" w:color="auto" w:fill="F2F2F2"/>
            <w:vAlign w:val="center"/>
          </w:tcPr>
          <w:p w14:paraId="2E9FC75C"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A.8 Stabilirea instrumentelor pentru valorizarea monetară și non-monetară a serviciilor ecosistemice în concordanță cu obiectivele de protecție și conservare a speciilor și habitatelor</w:t>
            </w:r>
          </w:p>
        </w:tc>
        <w:tc>
          <w:tcPr>
            <w:tcW w:w="1999" w:type="dxa"/>
            <w:shd w:val="clear" w:color="auto" w:fill="F2F2F2"/>
            <w:vAlign w:val="center"/>
          </w:tcPr>
          <w:p w14:paraId="42AFD1CA"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MMAP, MCID (INCD GeoEcoMar, INCDM Grigore Antipa, INCDDD), ME (UOC, UB, UAICI)</w:t>
            </w:r>
          </w:p>
        </w:tc>
        <w:tc>
          <w:tcPr>
            <w:tcW w:w="1559" w:type="dxa"/>
            <w:shd w:val="clear" w:color="auto" w:fill="F2F2F2"/>
            <w:vAlign w:val="center"/>
          </w:tcPr>
          <w:p w14:paraId="6E100327"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tc>
        <w:tc>
          <w:tcPr>
            <w:tcW w:w="2127" w:type="dxa"/>
            <w:shd w:val="clear" w:color="auto" w:fill="F2F2F2"/>
            <w:vAlign w:val="center"/>
          </w:tcPr>
          <w:p w14:paraId="7755E806"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Realizarea ghidului metodologic privind monetizarea serviciilor ecosistemice</w:t>
            </w:r>
          </w:p>
        </w:tc>
        <w:tc>
          <w:tcPr>
            <w:tcW w:w="2409" w:type="dxa"/>
            <w:shd w:val="clear" w:color="auto" w:fill="F2F2F2"/>
            <w:vAlign w:val="center"/>
          </w:tcPr>
          <w:p w14:paraId="35B32DEF"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Valorizarea serviciilor ecosistemice din zona costieră</w:t>
            </w:r>
          </w:p>
        </w:tc>
        <w:tc>
          <w:tcPr>
            <w:tcW w:w="2268" w:type="dxa"/>
            <w:shd w:val="clear" w:color="auto" w:fill="F2F2F2"/>
            <w:vAlign w:val="center"/>
          </w:tcPr>
          <w:p w14:paraId="35F5F820"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servicii ecosistemice valorizate prin instrumente economice</w:t>
            </w:r>
          </w:p>
        </w:tc>
        <w:tc>
          <w:tcPr>
            <w:tcW w:w="1985" w:type="dxa"/>
            <w:shd w:val="clear" w:color="auto" w:fill="F2F2F2"/>
            <w:vAlign w:val="center"/>
          </w:tcPr>
          <w:p w14:paraId="383CB659"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344FCE" w:rsidRPr="00344FCE" w14:paraId="10714274" w14:textId="77777777" w:rsidTr="00563FA0">
        <w:trPr>
          <w:trHeight w:val="20"/>
        </w:trPr>
        <w:tc>
          <w:tcPr>
            <w:tcW w:w="2787" w:type="dxa"/>
            <w:vMerge w:val="restart"/>
            <w:shd w:val="clear" w:color="auto" w:fill="F2F2F2"/>
            <w:vAlign w:val="center"/>
          </w:tcPr>
          <w:p w14:paraId="180DDEB2"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A.9 Elaborarea instrumentelor de </w:t>
            </w:r>
            <w:r w:rsidRPr="00344FCE">
              <w:rPr>
                <w:rFonts w:eastAsia="Times New Roman" w:cs="Times New Roman"/>
                <w:kern w:val="0"/>
                <w:sz w:val="22"/>
                <w:szCs w:val="22"/>
                <w:lang w:val="ro-RO"/>
              </w:rPr>
              <w:lastRenderedPageBreak/>
              <w:t>reglementare pentru direcționarea investițiilor către fondul destinat proiectelor de reconstrucție ecologică și renaturare</w:t>
            </w:r>
          </w:p>
        </w:tc>
        <w:tc>
          <w:tcPr>
            <w:tcW w:w="1999" w:type="dxa"/>
            <w:vMerge w:val="restart"/>
            <w:shd w:val="clear" w:color="auto" w:fill="F2F2F2"/>
            <w:vAlign w:val="center"/>
          </w:tcPr>
          <w:p w14:paraId="672523A9"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lastRenderedPageBreak/>
              <w:t xml:space="preserve">MMAP, MCID (INCD GeoEcoMar, </w:t>
            </w:r>
            <w:r w:rsidRPr="00344FCE">
              <w:rPr>
                <w:rFonts w:eastAsia="Times New Roman" w:cs="Times New Roman"/>
                <w:kern w:val="0"/>
                <w:sz w:val="22"/>
                <w:szCs w:val="22"/>
                <w:lang w:val="ro-RO"/>
              </w:rPr>
              <w:lastRenderedPageBreak/>
              <w:t>INCDM Grigore Antipa, INCDDD), ME (UOC, UB, UAIC)</w:t>
            </w:r>
          </w:p>
        </w:tc>
        <w:tc>
          <w:tcPr>
            <w:tcW w:w="1559" w:type="dxa"/>
            <w:vMerge w:val="restart"/>
            <w:shd w:val="clear" w:color="auto" w:fill="F2F2F2"/>
            <w:vAlign w:val="center"/>
          </w:tcPr>
          <w:p w14:paraId="16D5F1CC"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lastRenderedPageBreak/>
              <w:t>2040</w:t>
            </w:r>
          </w:p>
        </w:tc>
        <w:tc>
          <w:tcPr>
            <w:tcW w:w="2127" w:type="dxa"/>
            <w:vMerge w:val="restart"/>
            <w:shd w:val="clear" w:color="auto" w:fill="F2F2F2"/>
            <w:vAlign w:val="center"/>
          </w:tcPr>
          <w:p w14:paraId="28A9EC10"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Creșterea numărului de proiecte de </w:t>
            </w:r>
            <w:r w:rsidRPr="00344FCE">
              <w:rPr>
                <w:rFonts w:eastAsia="Times New Roman" w:cs="Times New Roman"/>
                <w:kern w:val="0"/>
                <w:sz w:val="22"/>
                <w:szCs w:val="22"/>
                <w:lang w:val="ro-RO"/>
              </w:rPr>
              <w:lastRenderedPageBreak/>
              <w:t>reconstrucție ecologică și renaturare finanțate</w:t>
            </w:r>
          </w:p>
        </w:tc>
        <w:tc>
          <w:tcPr>
            <w:tcW w:w="2409" w:type="dxa"/>
            <w:vMerge w:val="restart"/>
            <w:shd w:val="clear" w:color="auto" w:fill="F2F2F2"/>
            <w:vAlign w:val="center"/>
          </w:tcPr>
          <w:p w14:paraId="19D1EA32"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lastRenderedPageBreak/>
              <w:t>Management eficient al ariilor protejate</w:t>
            </w:r>
          </w:p>
        </w:tc>
        <w:tc>
          <w:tcPr>
            <w:tcW w:w="2268" w:type="dxa"/>
            <w:shd w:val="clear" w:color="auto" w:fill="F2F2F2"/>
            <w:vAlign w:val="center"/>
          </w:tcPr>
          <w:p w14:paraId="2512457A"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Suprafața totală și ponderea zonelor </w:t>
            </w:r>
            <w:r w:rsidRPr="00344FCE">
              <w:rPr>
                <w:rFonts w:eastAsia="Times New Roman" w:cs="Times New Roman"/>
                <w:kern w:val="0"/>
                <w:sz w:val="22"/>
                <w:szCs w:val="22"/>
                <w:lang w:val="ro-RO"/>
              </w:rPr>
              <w:lastRenderedPageBreak/>
              <w:t>degradate din ariile protejate în urma desfășurării de activității umane</w:t>
            </w:r>
          </w:p>
        </w:tc>
        <w:tc>
          <w:tcPr>
            <w:tcW w:w="1985" w:type="dxa"/>
            <w:vMerge w:val="restart"/>
            <w:shd w:val="clear" w:color="auto" w:fill="F2F2F2"/>
            <w:vAlign w:val="center"/>
          </w:tcPr>
          <w:p w14:paraId="49000D78"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lastRenderedPageBreak/>
              <w:t>2027</w:t>
            </w:r>
          </w:p>
          <w:p w14:paraId="22119E9F"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18FEEE10"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06FFAD6A"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p w14:paraId="19AC6791"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060DF807"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60F0C98E"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2034</w:t>
            </w:r>
          </w:p>
        </w:tc>
      </w:tr>
      <w:tr w:rsidR="00344FCE" w:rsidRPr="00344FCE" w14:paraId="643C9F5C" w14:textId="77777777" w:rsidTr="00563FA0">
        <w:trPr>
          <w:trHeight w:val="20"/>
        </w:trPr>
        <w:tc>
          <w:tcPr>
            <w:tcW w:w="2787" w:type="dxa"/>
            <w:vMerge/>
            <w:shd w:val="clear" w:color="auto" w:fill="F2F2F2"/>
            <w:vAlign w:val="center"/>
          </w:tcPr>
          <w:p w14:paraId="640F04E6"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2F3BE491"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27BC4F91"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7E452CB0" w14:textId="77777777" w:rsidR="00344FCE" w:rsidRPr="00344FCE" w:rsidRDefault="00344FCE" w:rsidP="00563FA0">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3ED052ED"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F2F2F2"/>
            <w:vAlign w:val="center"/>
          </w:tcPr>
          <w:p w14:paraId="590A12A8"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Rata pierderii sau deteriorării ariilor protejate</w:t>
            </w:r>
          </w:p>
        </w:tc>
        <w:tc>
          <w:tcPr>
            <w:tcW w:w="1985" w:type="dxa"/>
            <w:vMerge/>
            <w:shd w:val="clear" w:color="auto" w:fill="F2F2F2"/>
            <w:vAlign w:val="center"/>
          </w:tcPr>
          <w:p w14:paraId="727A9896"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121FE9E8" w14:textId="77777777" w:rsidTr="00563FA0">
        <w:trPr>
          <w:trHeight w:val="20"/>
        </w:trPr>
        <w:tc>
          <w:tcPr>
            <w:tcW w:w="2787" w:type="dxa"/>
            <w:vMerge/>
            <w:shd w:val="clear" w:color="auto" w:fill="F2F2F2"/>
            <w:vAlign w:val="center"/>
          </w:tcPr>
          <w:p w14:paraId="04BA89C8"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03446CB7"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730B5EA7"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163B1306" w14:textId="77777777" w:rsidR="00344FCE" w:rsidRPr="00344FCE" w:rsidRDefault="00344FCE" w:rsidP="00563FA0">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73559C60"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F2F2F2"/>
            <w:vAlign w:val="center"/>
          </w:tcPr>
          <w:p w14:paraId="365D0EDA"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măsuri incluse în planurile de management care să corespundă dezideratului de conservare a ariilor protejate, a habitatelor naturale și a biodiversității</w:t>
            </w:r>
          </w:p>
        </w:tc>
        <w:tc>
          <w:tcPr>
            <w:tcW w:w="1985" w:type="dxa"/>
            <w:vMerge/>
            <w:shd w:val="clear" w:color="auto" w:fill="F2F2F2"/>
            <w:vAlign w:val="center"/>
          </w:tcPr>
          <w:p w14:paraId="2B0FA454"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06D56775" w14:textId="77777777" w:rsidTr="00563FA0">
        <w:trPr>
          <w:trHeight w:val="20"/>
        </w:trPr>
        <w:tc>
          <w:tcPr>
            <w:tcW w:w="2787" w:type="dxa"/>
            <w:vMerge/>
            <w:shd w:val="clear" w:color="auto" w:fill="F2F2F2"/>
            <w:vAlign w:val="center"/>
          </w:tcPr>
          <w:p w14:paraId="6D5D3661"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2BFC23EC"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02FAD1CE"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6B4F80BC" w14:textId="77777777" w:rsidR="00344FCE" w:rsidRPr="00344FCE" w:rsidRDefault="00344FCE" w:rsidP="00563FA0">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640A8F47"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F2F2F2"/>
            <w:vAlign w:val="center"/>
          </w:tcPr>
          <w:p w14:paraId="0427859E"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planuri de management elaborate / revizuite / implementate</w:t>
            </w:r>
          </w:p>
        </w:tc>
        <w:tc>
          <w:tcPr>
            <w:tcW w:w="1985" w:type="dxa"/>
            <w:vMerge/>
            <w:shd w:val="clear" w:color="auto" w:fill="F2F2F2"/>
            <w:vAlign w:val="center"/>
          </w:tcPr>
          <w:p w14:paraId="7B3DA44F"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60BBEA54" w14:textId="77777777" w:rsidTr="00563FA0">
        <w:trPr>
          <w:trHeight w:val="20"/>
        </w:trPr>
        <w:tc>
          <w:tcPr>
            <w:tcW w:w="2787" w:type="dxa"/>
            <w:vMerge/>
            <w:shd w:val="clear" w:color="auto" w:fill="F2F2F2"/>
            <w:vAlign w:val="center"/>
          </w:tcPr>
          <w:p w14:paraId="43EEB79D"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3806E025"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7AD1CAAC"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5D592384" w14:textId="77777777" w:rsidR="00344FCE" w:rsidRPr="00344FCE" w:rsidRDefault="00344FCE" w:rsidP="00563FA0">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val="restart"/>
            <w:shd w:val="clear" w:color="auto" w:fill="F2F2F2"/>
            <w:vAlign w:val="center"/>
          </w:tcPr>
          <w:p w14:paraId="3FB462AF"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Refacerea habitatelor folosind soluții bazate pe natură (nature-based solutions)</w:t>
            </w:r>
          </w:p>
        </w:tc>
        <w:tc>
          <w:tcPr>
            <w:tcW w:w="2268" w:type="dxa"/>
            <w:shd w:val="clear" w:color="auto" w:fill="F2F2F2"/>
            <w:vAlign w:val="center"/>
          </w:tcPr>
          <w:p w14:paraId="063AA45A"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Plan de refacere a habitatelor și de prevenire și reducere a impactului dezastrelor naturale.</w:t>
            </w:r>
          </w:p>
        </w:tc>
        <w:tc>
          <w:tcPr>
            <w:tcW w:w="1985" w:type="dxa"/>
            <w:vMerge/>
            <w:shd w:val="clear" w:color="auto" w:fill="F2F2F2"/>
            <w:vAlign w:val="center"/>
          </w:tcPr>
          <w:p w14:paraId="12BFBCD5"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477F25D2" w14:textId="77777777" w:rsidTr="00563FA0">
        <w:trPr>
          <w:trHeight w:val="20"/>
        </w:trPr>
        <w:tc>
          <w:tcPr>
            <w:tcW w:w="2787" w:type="dxa"/>
            <w:vMerge/>
            <w:shd w:val="clear" w:color="auto" w:fill="F2F2F2"/>
            <w:vAlign w:val="center"/>
          </w:tcPr>
          <w:p w14:paraId="24198623"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023BBC98"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48BEB875"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57B744E9" w14:textId="77777777" w:rsidR="00344FCE" w:rsidRPr="00344FCE" w:rsidRDefault="00344FCE" w:rsidP="00563FA0">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2CDB7869"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F2F2F2"/>
            <w:vAlign w:val="center"/>
          </w:tcPr>
          <w:p w14:paraId="7AA71ED8"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Suprafața habitatelor supuse procesului de refacere, raportată la suprafața totală a habitatelor de același tip din zona costiera</w:t>
            </w:r>
          </w:p>
        </w:tc>
        <w:tc>
          <w:tcPr>
            <w:tcW w:w="1985" w:type="dxa"/>
            <w:vMerge/>
            <w:shd w:val="clear" w:color="auto" w:fill="F2F2F2"/>
            <w:vAlign w:val="center"/>
          </w:tcPr>
          <w:p w14:paraId="78574857"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55AAE2FB" w14:textId="77777777" w:rsidTr="00563FA0">
        <w:trPr>
          <w:trHeight w:val="20"/>
        </w:trPr>
        <w:tc>
          <w:tcPr>
            <w:tcW w:w="2787" w:type="dxa"/>
            <w:vMerge w:val="restart"/>
            <w:shd w:val="clear" w:color="auto" w:fill="F2F2F2"/>
            <w:vAlign w:val="center"/>
          </w:tcPr>
          <w:p w14:paraId="73DAB8A3" w14:textId="77777777" w:rsidR="00344FCE" w:rsidRPr="00344FCE" w:rsidRDefault="00344FCE" w:rsidP="00563FA0">
            <w:pPr>
              <w:spacing w:before="0" w:after="0" w:line="240" w:lineRule="auto"/>
              <w:ind w:firstLine="0"/>
              <w:jc w:val="left"/>
              <w:rPr>
                <w:rFonts w:eastAsia="Times New Roman" w:cs="Times New Roman"/>
                <w:kern w:val="0"/>
                <w:sz w:val="22"/>
                <w:szCs w:val="22"/>
                <w:lang w:val="ro-RO"/>
              </w:rPr>
            </w:pPr>
            <w:r w:rsidRPr="00344FCE">
              <w:rPr>
                <w:rFonts w:eastAsia="Times New Roman" w:cs="Times New Roman"/>
                <w:kern w:val="0"/>
                <w:sz w:val="22"/>
                <w:szCs w:val="22"/>
                <w:lang w:val="ro-RO"/>
              </w:rPr>
              <w:t xml:space="preserve">A.10 Managementul speciilor invazive prin programe de monitorizare a vectorilor și a posibilelor căi </w:t>
            </w:r>
            <w:r w:rsidRPr="00344FCE">
              <w:rPr>
                <w:rFonts w:eastAsia="Times New Roman" w:cs="Times New Roman"/>
                <w:kern w:val="0"/>
                <w:sz w:val="22"/>
                <w:szCs w:val="22"/>
                <w:lang w:val="ro-RO"/>
              </w:rPr>
              <w:lastRenderedPageBreak/>
              <w:t>de pătrundere, precum și prin măsuri de prevenire a răspândirii acestora (detectare rapidă, inclusiv prin metode eDNA)</w:t>
            </w:r>
          </w:p>
        </w:tc>
        <w:tc>
          <w:tcPr>
            <w:tcW w:w="1999" w:type="dxa"/>
            <w:vMerge w:val="restart"/>
            <w:shd w:val="clear" w:color="auto" w:fill="F2F2F2"/>
            <w:vAlign w:val="center"/>
          </w:tcPr>
          <w:p w14:paraId="28EA2CC4" w14:textId="77777777" w:rsidR="00344FCE" w:rsidRPr="00344FCE" w:rsidRDefault="00344FCE" w:rsidP="00563FA0">
            <w:pPr>
              <w:spacing w:before="0" w:after="0" w:line="240" w:lineRule="auto"/>
              <w:ind w:firstLine="0"/>
              <w:jc w:val="left"/>
              <w:rPr>
                <w:rFonts w:eastAsia="Times New Roman" w:cs="Times New Roman"/>
                <w:kern w:val="0"/>
                <w:sz w:val="22"/>
                <w:szCs w:val="22"/>
                <w:lang w:val="ro-RO"/>
              </w:rPr>
            </w:pPr>
            <w:r w:rsidRPr="00344FCE">
              <w:rPr>
                <w:rFonts w:eastAsia="Times New Roman" w:cs="Times New Roman"/>
                <w:kern w:val="0"/>
                <w:sz w:val="22"/>
                <w:szCs w:val="22"/>
                <w:lang w:val="ro-RO"/>
              </w:rPr>
              <w:lastRenderedPageBreak/>
              <w:t xml:space="preserve">MMAP, MCID (INCD GeoEcoMar, INCDM Grigore </w:t>
            </w:r>
            <w:r w:rsidRPr="00344FCE">
              <w:rPr>
                <w:rFonts w:eastAsia="Times New Roman" w:cs="Times New Roman"/>
                <w:kern w:val="0"/>
                <w:sz w:val="22"/>
                <w:szCs w:val="22"/>
                <w:lang w:val="ro-RO"/>
              </w:rPr>
              <w:lastRenderedPageBreak/>
              <w:t>Antipa, INCDDD), ME (UOC, UB, UAIC)</w:t>
            </w:r>
          </w:p>
        </w:tc>
        <w:tc>
          <w:tcPr>
            <w:tcW w:w="1559" w:type="dxa"/>
            <w:vMerge w:val="restart"/>
            <w:shd w:val="clear" w:color="auto" w:fill="F2F2F2"/>
            <w:vAlign w:val="center"/>
          </w:tcPr>
          <w:p w14:paraId="3AC4363E"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lastRenderedPageBreak/>
              <w:t>2040</w:t>
            </w:r>
          </w:p>
        </w:tc>
        <w:tc>
          <w:tcPr>
            <w:tcW w:w="2127" w:type="dxa"/>
            <w:vMerge w:val="restart"/>
            <w:shd w:val="clear" w:color="auto" w:fill="F2F2F2"/>
            <w:vAlign w:val="center"/>
          </w:tcPr>
          <w:p w14:paraId="1461B69A"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Reducerea numărului de specii de pe Lista Roșie care sunt </w:t>
            </w:r>
            <w:r w:rsidRPr="00344FCE">
              <w:rPr>
                <w:rFonts w:eastAsia="Times New Roman" w:cs="Times New Roman"/>
                <w:kern w:val="0"/>
                <w:sz w:val="22"/>
                <w:szCs w:val="22"/>
                <w:lang w:val="ro-RO"/>
              </w:rPr>
              <w:lastRenderedPageBreak/>
              <w:t>amenințate de speciile invazive</w:t>
            </w:r>
          </w:p>
          <w:p w14:paraId="03A6EFC4"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Atingerea Stării Ecologice Bune pentru Descriptorul 2 – Specii non-indigene, conform DCSM</w:t>
            </w:r>
          </w:p>
          <w:p w14:paraId="3648E00F" w14:textId="77777777" w:rsidR="00344FCE" w:rsidRPr="00344FCE" w:rsidRDefault="00344FCE" w:rsidP="00563FA0">
            <w:pPr>
              <w:spacing w:before="0" w:line="240" w:lineRule="auto"/>
              <w:ind w:firstLine="0"/>
              <w:rPr>
                <w:rFonts w:eastAsia="Times New Roman" w:cs="Times New Roman"/>
                <w:kern w:val="0"/>
                <w:sz w:val="22"/>
                <w:szCs w:val="22"/>
                <w:lang w:val="ro-RO"/>
              </w:rPr>
            </w:pPr>
          </w:p>
        </w:tc>
        <w:tc>
          <w:tcPr>
            <w:tcW w:w="2409" w:type="dxa"/>
            <w:vMerge w:val="restart"/>
            <w:shd w:val="clear" w:color="auto" w:fill="F2F2F2"/>
            <w:vAlign w:val="center"/>
          </w:tcPr>
          <w:p w14:paraId="24C87F96"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3AD352B1"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581828CA"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31E1BB14"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3BD2C51C"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1FE08AA8"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Specii invazive</w:t>
            </w:r>
          </w:p>
        </w:tc>
        <w:tc>
          <w:tcPr>
            <w:tcW w:w="2268" w:type="dxa"/>
            <w:shd w:val="clear" w:color="auto" w:fill="F2F2F2"/>
            <w:vAlign w:val="center"/>
          </w:tcPr>
          <w:p w14:paraId="04340D73"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lastRenderedPageBreak/>
              <w:t xml:space="preserve">Numărul de specii alogene invazive pentru care s-au prevăzut măsuri de </w:t>
            </w:r>
            <w:r w:rsidRPr="00344FCE">
              <w:rPr>
                <w:rFonts w:eastAsia="Times New Roman" w:cs="Times New Roman"/>
                <w:kern w:val="0"/>
                <w:sz w:val="22"/>
                <w:szCs w:val="22"/>
                <w:lang w:val="ro-RO"/>
              </w:rPr>
              <w:lastRenderedPageBreak/>
              <w:t>eradicare/ limitare /control al populațiilor</w:t>
            </w:r>
          </w:p>
        </w:tc>
        <w:tc>
          <w:tcPr>
            <w:tcW w:w="1985" w:type="dxa"/>
            <w:vMerge w:val="restart"/>
            <w:shd w:val="clear" w:color="auto" w:fill="F2F2F2"/>
            <w:vAlign w:val="center"/>
          </w:tcPr>
          <w:p w14:paraId="5BF4B404"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lastRenderedPageBreak/>
              <w:t>Anual</w:t>
            </w:r>
          </w:p>
        </w:tc>
      </w:tr>
      <w:tr w:rsidR="00344FCE" w:rsidRPr="00344FCE" w14:paraId="2C65354C" w14:textId="77777777" w:rsidTr="00563FA0">
        <w:trPr>
          <w:trHeight w:val="20"/>
        </w:trPr>
        <w:tc>
          <w:tcPr>
            <w:tcW w:w="2787" w:type="dxa"/>
            <w:vMerge/>
            <w:shd w:val="clear" w:color="auto" w:fill="F2F2F2"/>
            <w:vAlign w:val="center"/>
          </w:tcPr>
          <w:p w14:paraId="17D295BF"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04C77CB5"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7407E7B2"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6E507D7D"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20EB1EEC"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F2F2F2"/>
            <w:vAlign w:val="center"/>
          </w:tcPr>
          <w:p w14:paraId="770DF69C"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specii alohtone/invazive introduse prin activități umane (acvacultură, transport naval, comerț, etc)</w:t>
            </w:r>
          </w:p>
        </w:tc>
        <w:tc>
          <w:tcPr>
            <w:tcW w:w="1985" w:type="dxa"/>
            <w:vMerge/>
            <w:shd w:val="clear" w:color="auto" w:fill="F2F2F2"/>
            <w:vAlign w:val="center"/>
          </w:tcPr>
          <w:p w14:paraId="6DBAA552"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174A6233" w14:textId="77777777" w:rsidTr="00563FA0">
        <w:trPr>
          <w:trHeight w:val="20"/>
        </w:trPr>
        <w:tc>
          <w:tcPr>
            <w:tcW w:w="2787" w:type="dxa"/>
            <w:vMerge/>
            <w:shd w:val="clear" w:color="auto" w:fill="F2F2F2"/>
            <w:vAlign w:val="center"/>
          </w:tcPr>
          <w:p w14:paraId="41BA7DD9"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2A7AD47C"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45366D0B"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54020A39"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6D4F14A1"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F2F2F2"/>
            <w:vAlign w:val="center"/>
          </w:tcPr>
          <w:p w14:paraId="0DD76239"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specii alohtone potențial invazive în zona costiera</w:t>
            </w:r>
          </w:p>
        </w:tc>
        <w:tc>
          <w:tcPr>
            <w:tcW w:w="1985" w:type="dxa"/>
            <w:vMerge/>
            <w:shd w:val="clear" w:color="auto" w:fill="F2F2F2"/>
            <w:vAlign w:val="center"/>
          </w:tcPr>
          <w:p w14:paraId="1ADFD065"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0B6873F8" w14:textId="77777777" w:rsidTr="00563FA0">
        <w:trPr>
          <w:trHeight w:val="20"/>
        </w:trPr>
        <w:tc>
          <w:tcPr>
            <w:tcW w:w="2787" w:type="dxa"/>
            <w:vMerge w:val="restart"/>
            <w:shd w:val="clear" w:color="auto" w:fill="auto"/>
            <w:vAlign w:val="center"/>
          </w:tcPr>
          <w:p w14:paraId="1BA5F826"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B.1 Inițierea și implementarea programelor pentru îndepărtarea deșeurilor marine, din coloana de apă și de pe fundul mării</w:t>
            </w:r>
          </w:p>
        </w:tc>
        <w:tc>
          <w:tcPr>
            <w:tcW w:w="1999" w:type="dxa"/>
            <w:vMerge w:val="restart"/>
            <w:shd w:val="clear" w:color="auto" w:fill="auto"/>
            <w:vAlign w:val="center"/>
          </w:tcPr>
          <w:p w14:paraId="492D976E" w14:textId="2C7723AB"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MMAP, MADR</w:t>
            </w:r>
            <w:r w:rsidR="007E381E">
              <w:rPr>
                <w:rFonts w:eastAsia="Times New Roman" w:cs="Times New Roman"/>
                <w:kern w:val="0"/>
                <w:sz w:val="22"/>
                <w:szCs w:val="22"/>
                <w:lang w:val="ro-RO"/>
              </w:rPr>
              <w:t xml:space="preserve"> </w:t>
            </w:r>
            <w:r w:rsidRPr="00344FCE">
              <w:rPr>
                <w:rFonts w:eastAsia="Times New Roman" w:cs="Times New Roman"/>
                <w:kern w:val="0"/>
                <w:sz w:val="22"/>
                <w:szCs w:val="22"/>
                <w:lang w:val="ro-RO"/>
              </w:rPr>
              <w:t>(prin ANPA), MCID (INCD GeoEcoMar și INCDM Grigore Antipa)</w:t>
            </w:r>
          </w:p>
        </w:tc>
        <w:tc>
          <w:tcPr>
            <w:tcW w:w="1559" w:type="dxa"/>
            <w:vMerge w:val="restart"/>
            <w:shd w:val="clear" w:color="auto" w:fill="auto"/>
            <w:vAlign w:val="center"/>
          </w:tcPr>
          <w:p w14:paraId="751737B1"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2036</w:t>
            </w:r>
          </w:p>
        </w:tc>
        <w:tc>
          <w:tcPr>
            <w:tcW w:w="2127" w:type="dxa"/>
            <w:vMerge w:val="restart"/>
            <w:shd w:val="clear" w:color="auto" w:fill="auto"/>
            <w:vAlign w:val="center"/>
          </w:tcPr>
          <w:p w14:paraId="16C06E40"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Atingerea Stării Ecologice Bune pentru Descriptorul 10 – Deșeuri Marine, conform DCSM</w:t>
            </w:r>
          </w:p>
        </w:tc>
        <w:tc>
          <w:tcPr>
            <w:tcW w:w="2409" w:type="dxa"/>
            <w:vMerge w:val="restart"/>
            <w:shd w:val="clear" w:color="auto" w:fill="auto"/>
            <w:vAlign w:val="center"/>
          </w:tcPr>
          <w:p w14:paraId="6F5244EB"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422AEA00"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035FDAF2"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Cantitatea de deșeuri</w:t>
            </w:r>
          </w:p>
          <w:p w14:paraId="0F5F1A55"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4E81ECFE"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Cantitatea de deșeuri de pe plaje</w:t>
            </w:r>
          </w:p>
        </w:tc>
        <w:tc>
          <w:tcPr>
            <w:tcW w:w="1985" w:type="dxa"/>
            <w:vMerge w:val="restart"/>
            <w:shd w:val="clear" w:color="auto" w:fill="auto"/>
            <w:vAlign w:val="center"/>
          </w:tcPr>
          <w:p w14:paraId="696DBC5D"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31E031CC"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00E33C2D"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28882E64"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tc>
      </w:tr>
      <w:tr w:rsidR="00344FCE" w:rsidRPr="00344FCE" w14:paraId="23371D3A" w14:textId="77777777" w:rsidTr="00563FA0">
        <w:trPr>
          <w:trHeight w:val="20"/>
        </w:trPr>
        <w:tc>
          <w:tcPr>
            <w:tcW w:w="2787" w:type="dxa"/>
            <w:vMerge/>
            <w:shd w:val="clear" w:color="auto" w:fill="auto"/>
            <w:vAlign w:val="center"/>
          </w:tcPr>
          <w:p w14:paraId="4135B491"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445CFB1A"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3E19DD20"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0144F5D0" w14:textId="77777777" w:rsidR="00344FCE" w:rsidRPr="00344FCE" w:rsidRDefault="00344FCE" w:rsidP="00563FA0">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auto"/>
            <w:vAlign w:val="center"/>
          </w:tcPr>
          <w:p w14:paraId="4D96D03A"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2DBF2C98"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Cantitatea de deșeuri plutitoare și scufundate în mare</w:t>
            </w:r>
          </w:p>
        </w:tc>
        <w:tc>
          <w:tcPr>
            <w:tcW w:w="1985" w:type="dxa"/>
            <w:vMerge/>
            <w:shd w:val="clear" w:color="auto" w:fill="auto"/>
            <w:vAlign w:val="center"/>
          </w:tcPr>
          <w:p w14:paraId="1A1E9B43"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68564CCD" w14:textId="77777777" w:rsidTr="00563FA0">
        <w:trPr>
          <w:trHeight w:val="20"/>
        </w:trPr>
        <w:tc>
          <w:tcPr>
            <w:tcW w:w="2787" w:type="dxa"/>
            <w:vMerge/>
            <w:shd w:val="clear" w:color="auto" w:fill="auto"/>
            <w:vAlign w:val="center"/>
          </w:tcPr>
          <w:p w14:paraId="4031FF1E"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5914EBC7"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12A60EE2"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0795A290" w14:textId="77777777" w:rsidR="00344FCE" w:rsidRPr="00344FCE" w:rsidRDefault="00344FCE" w:rsidP="00563FA0">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auto"/>
            <w:vAlign w:val="center"/>
          </w:tcPr>
          <w:p w14:paraId="128A131B"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560BAD67"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Distribuția spațială, extinderea temporală și nivelurile de sunet antropic continuu de joasă frecvență</w:t>
            </w:r>
          </w:p>
        </w:tc>
        <w:tc>
          <w:tcPr>
            <w:tcW w:w="1985" w:type="dxa"/>
            <w:vMerge/>
            <w:shd w:val="clear" w:color="auto" w:fill="auto"/>
            <w:vAlign w:val="center"/>
          </w:tcPr>
          <w:p w14:paraId="190823E8"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71A9F211" w14:textId="77777777" w:rsidTr="00563FA0">
        <w:trPr>
          <w:trHeight w:val="20"/>
        </w:trPr>
        <w:tc>
          <w:tcPr>
            <w:tcW w:w="2787" w:type="dxa"/>
            <w:vMerge w:val="restart"/>
            <w:shd w:val="clear" w:color="auto" w:fill="auto"/>
            <w:vAlign w:val="center"/>
          </w:tcPr>
          <w:p w14:paraId="51CD464A" w14:textId="02BAA898"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B.</w:t>
            </w:r>
            <w:r w:rsidR="00D96C25">
              <w:rPr>
                <w:rFonts w:eastAsia="Times New Roman" w:cs="Times New Roman"/>
                <w:kern w:val="0"/>
                <w:sz w:val="22"/>
                <w:szCs w:val="22"/>
                <w:lang w:val="ro-RO"/>
              </w:rPr>
              <w:t>2</w:t>
            </w:r>
            <w:r w:rsidRPr="00344FCE">
              <w:rPr>
                <w:rFonts w:eastAsia="Times New Roman" w:cs="Times New Roman"/>
                <w:kern w:val="0"/>
                <w:sz w:val="22"/>
                <w:szCs w:val="22"/>
                <w:lang w:val="ro-RO"/>
              </w:rPr>
              <w:t xml:space="preserve"> Îmbunătățirea capacității  de monitorizare a </w:t>
            </w:r>
            <w:r w:rsidR="00D96C25">
              <w:rPr>
                <w:rFonts w:eastAsia="Times New Roman" w:cs="Times New Roman"/>
                <w:kern w:val="0"/>
                <w:sz w:val="22"/>
                <w:szCs w:val="22"/>
                <w:lang w:val="ro-RO"/>
              </w:rPr>
              <w:t>calității aerului</w:t>
            </w:r>
            <w:r w:rsidRPr="00344FCE">
              <w:rPr>
                <w:rFonts w:eastAsia="Times New Roman" w:cs="Times New Roman"/>
                <w:kern w:val="0"/>
                <w:sz w:val="22"/>
                <w:szCs w:val="22"/>
                <w:lang w:val="ro-RO"/>
              </w:rPr>
              <w:t>, precum și a depunerilor atmosferice</w:t>
            </w:r>
          </w:p>
        </w:tc>
        <w:tc>
          <w:tcPr>
            <w:tcW w:w="1999" w:type="dxa"/>
            <w:vMerge w:val="restart"/>
            <w:shd w:val="clear" w:color="auto" w:fill="auto"/>
            <w:vAlign w:val="center"/>
          </w:tcPr>
          <w:p w14:paraId="4B0E5B5A" w14:textId="71D96053"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MMAP </w:t>
            </w:r>
          </w:p>
        </w:tc>
        <w:tc>
          <w:tcPr>
            <w:tcW w:w="1559" w:type="dxa"/>
            <w:vMerge w:val="restart"/>
            <w:shd w:val="clear" w:color="auto" w:fill="auto"/>
            <w:vAlign w:val="center"/>
          </w:tcPr>
          <w:p w14:paraId="00D356B4"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vMerge w:val="restart"/>
            <w:shd w:val="clear" w:color="auto" w:fill="auto"/>
            <w:vAlign w:val="center"/>
          </w:tcPr>
          <w:p w14:paraId="46B1E40C"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numărului de stații de monitorizare a calității aerului;</w:t>
            </w:r>
          </w:p>
          <w:p w14:paraId="31868417"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Menținerea concentrațiilor parametrilor monitorizați în limitele admise, conform legislației în vigoare (Legea nr.104/2011)</w:t>
            </w:r>
          </w:p>
          <w:p w14:paraId="10864298"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lastRenderedPageBreak/>
              <w:t>Reducerea poluării ecosistemelor acvatice și solului din depunerile atmosferice</w:t>
            </w:r>
          </w:p>
        </w:tc>
        <w:tc>
          <w:tcPr>
            <w:tcW w:w="2409" w:type="dxa"/>
            <w:vMerge w:val="restart"/>
            <w:shd w:val="clear" w:color="auto" w:fill="auto"/>
            <w:vAlign w:val="center"/>
          </w:tcPr>
          <w:p w14:paraId="09B58BB3"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14BD1AA3"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Calitatea aerului</w:t>
            </w:r>
          </w:p>
          <w:p w14:paraId="35B39311"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451DC153"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Concentrațiile poluanților atmosferici (valori orare, la 8 ore, zilnice)</w:t>
            </w:r>
          </w:p>
        </w:tc>
        <w:tc>
          <w:tcPr>
            <w:tcW w:w="1985" w:type="dxa"/>
            <w:vMerge w:val="restart"/>
            <w:shd w:val="clear" w:color="auto" w:fill="auto"/>
            <w:vAlign w:val="center"/>
          </w:tcPr>
          <w:p w14:paraId="218E784D"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344FCE" w:rsidRPr="00344FCE" w14:paraId="35D940CC" w14:textId="77777777" w:rsidTr="00563FA0">
        <w:trPr>
          <w:trHeight w:val="20"/>
        </w:trPr>
        <w:tc>
          <w:tcPr>
            <w:tcW w:w="2787" w:type="dxa"/>
            <w:vMerge/>
            <w:shd w:val="clear" w:color="auto" w:fill="auto"/>
            <w:vAlign w:val="center"/>
          </w:tcPr>
          <w:p w14:paraId="1FB87D0D"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03A20D67"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7AE8EC4D"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54BE358A" w14:textId="77777777" w:rsidR="00344FCE" w:rsidRPr="00344FCE" w:rsidRDefault="00344FCE" w:rsidP="00563FA0">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auto"/>
            <w:vAlign w:val="center"/>
          </w:tcPr>
          <w:p w14:paraId="2018DACF"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748EEB59"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Modele de dispersie a poluanților atmosferici</w:t>
            </w:r>
          </w:p>
        </w:tc>
        <w:tc>
          <w:tcPr>
            <w:tcW w:w="1985" w:type="dxa"/>
            <w:vMerge/>
            <w:shd w:val="clear" w:color="auto" w:fill="auto"/>
            <w:vAlign w:val="center"/>
          </w:tcPr>
          <w:p w14:paraId="29E79F5B"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75191793" w14:textId="77777777" w:rsidTr="00563FA0">
        <w:trPr>
          <w:trHeight w:val="20"/>
        </w:trPr>
        <w:tc>
          <w:tcPr>
            <w:tcW w:w="2787" w:type="dxa"/>
            <w:vMerge/>
            <w:shd w:val="clear" w:color="auto" w:fill="auto"/>
            <w:vAlign w:val="center"/>
          </w:tcPr>
          <w:p w14:paraId="6A97AAAC"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577B7D26"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377CED87"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4EB11BE6" w14:textId="77777777" w:rsidR="00344FCE" w:rsidRPr="00344FCE" w:rsidRDefault="00344FCE" w:rsidP="00563FA0">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shd w:val="clear" w:color="auto" w:fill="auto"/>
            <w:vAlign w:val="center"/>
          </w:tcPr>
          <w:p w14:paraId="7B8827CF"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Introducerea de nutrienți în mediul acvatic</w:t>
            </w:r>
          </w:p>
          <w:p w14:paraId="316C2790"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1D36806D"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Cantitate de azot și fosfor introdusă în mediul acvatic din surse difuze</w:t>
            </w:r>
          </w:p>
        </w:tc>
        <w:tc>
          <w:tcPr>
            <w:tcW w:w="1985" w:type="dxa"/>
            <w:vMerge/>
            <w:shd w:val="clear" w:color="auto" w:fill="auto"/>
            <w:vAlign w:val="center"/>
          </w:tcPr>
          <w:p w14:paraId="4EE9A984"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6988E543" w14:textId="77777777" w:rsidTr="00563FA0">
        <w:trPr>
          <w:trHeight w:val="20"/>
        </w:trPr>
        <w:tc>
          <w:tcPr>
            <w:tcW w:w="2787" w:type="dxa"/>
            <w:vMerge/>
            <w:shd w:val="clear" w:color="auto" w:fill="auto"/>
            <w:vAlign w:val="center"/>
          </w:tcPr>
          <w:p w14:paraId="5EAA4E73"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469068EB"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2D15E2BA"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3BA7CDDD" w14:textId="77777777" w:rsidR="00344FCE" w:rsidRPr="00344FCE" w:rsidRDefault="00344FCE" w:rsidP="00563FA0">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shd w:val="clear" w:color="auto" w:fill="auto"/>
            <w:vAlign w:val="center"/>
          </w:tcPr>
          <w:p w14:paraId="2F917E63"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Poluare cu substanțe periculoase</w:t>
            </w:r>
          </w:p>
        </w:tc>
        <w:tc>
          <w:tcPr>
            <w:tcW w:w="2268" w:type="dxa"/>
            <w:shd w:val="clear" w:color="auto" w:fill="auto"/>
            <w:vAlign w:val="center"/>
          </w:tcPr>
          <w:p w14:paraId="7BAA7367"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Valorile modelate ale emisiilor de substanțe </w:t>
            </w:r>
            <w:r w:rsidRPr="00344FCE">
              <w:rPr>
                <w:rFonts w:eastAsia="Times New Roman" w:cs="Times New Roman"/>
                <w:kern w:val="0"/>
                <w:sz w:val="22"/>
                <w:szCs w:val="22"/>
                <w:lang w:val="ro-RO"/>
              </w:rPr>
              <w:lastRenderedPageBreak/>
              <w:t>periculoase din surse difuze</w:t>
            </w:r>
          </w:p>
        </w:tc>
        <w:tc>
          <w:tcPr>
            <w:tcW w:w="1985" w:type="dxa"/>
            <w:vMerge/>
            <w:shd w:val="clear" w:color="auto" w:fill="auto"/>
            <w:vAlign w:val="center"/>
          </w:tcPr>
          <w:p w14:paraId="551A35A5"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587A06AB" w14:textId="77777777" w:rsidTr="00563FA0">
        <w:trPr>
          <w:trHeight w:val="20"/>
        </w:trPr>
        <w:tc>
          <w:tcPr>
            <w:tcW w:w="2787" w:type="dxa"/>
            <w:vMerge w:val="restart"/>
            <w:vAlign w:val="center"/>
          </w:tcPr>
          <w:p w14:paraId="43D031E0" w14:textId="07BC6152"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B.</w:t>
            </w:r>
            <w:r w:rsidR="00D96C25">
              <w:rPr>
                <w:rFonts w:eastAsia="Times New Roman" w:cs="Times New Roman"/>
                <w:kern w:val="0"/>
                <w:sz w:val="22"/>
                <w:szCs w:val="22"/>
                <w:lang w:val="ro-RO"/>
              </w:rPr>
              <w:t>3</w:t>
            </w:r>
            <w:r w:rsidRPr="00344FCE">
              <w:rPr>
                <w:rFonts w:eastAsia="Times New Roman" w:cs="Times New Roman"/>
                <w:kern w:val="0"/>
                <w:sz w:val="22"/>
                <w:szCs w:val="22"/>
                <w:lang w:val="ro-RO"/>
              </w:rPr>
              <w:t xml:space="preserve"> Extinderea și modernizarea infrastructurii de canalizare și epurare în partea nordică a zonei costiere, aferentă Deltei Dunării</w:t>
            </w:r>
          </w:p>
        </w:tc>
        <w:tc>
          <w:tcPr>
            <w:tcW w:w="1999" w:type="dxa"/>
            <w:vMerge w:val="restart"/>
            <w:vAlign w:val="center"/>
          </w:tcPr>
          <w:p w14:paraId="251645DA"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MDLPA, autorități locale (CJ Constanța și Tulcea), MMAP.</w:t>
            </w:r>
          </w:p>
        </w:tc>
        <w:tc>
          <w:tcPr>
            <w:tcW w:w="1559" w:type="dxa"/>
            <w:vMerge w:val="restart"/>
            <w:vAlign w:val="center"/>
          </w:tcPr>
          <w:p w14:paraId="6282901D"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vMerge w:val="restart"/>
            <w:vAlign w:val="center"/>
          </w:tcPr>
          <w:p w14:paraId="45DF9328"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gradului de conectare la rețeaua de canalizare în partea nordică a zonei costiere;</w:t>
            </w:r>
          </w:p>
          <w:p w14:paraId="2D1D5194"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sarcinii colectată și intrată în stațiile de epurare raportat la sarcina generată</w:t>
            </w:r>
          </w:p>
          <w:p w14:paraId="58CF71C2"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Reducerea descărcărilor de N și P din aglomerări umane în sistemele acvatice</w:t>
            </w:r>
          </w:p>
          <w:p w14:paraId="294BF4E6"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Reducerea descărcărilor de poluanți din aglomerări umane în sistemele acvatice</w:t>
            </w:r>
          </w:p>
          <w:p w14:paraId="61FED1BA" w14:textId="77777777" w:rsidR="00344FCE" w:rsidRPr="00344FCE" w:rsidRDefault="00344FCE" w:rsidP="00563FA0">
            <w:pPr>
              <w:spacing w:before="0" w:line="240" w:lineRule="auto"/>
              <w:ind w:firstLine="0"/>
              <w:rPr>
                <w:rFonts w:eastAsia="Times New Roman" w:cs="Times New Roman"/>
                <w:kern w:val="0"/>
                <w:sz w:val="22"/>
                <w:szCs w:val="22"/>
                <w:lang w:val="ro-RO"/>
              </w:rPr>
            </w:pPr>
          </w:p>
        </w:tc>
        <w:tc>
          <w:tcPr>
            <w:tcW w:w="2409" w:type="dxa"/>
            <w:shd w:val="clear" w:color="auto" w:fill="auto"/>
            <w:vAlign w:val="center"/>
          </w:tcPr>
          <w:p w14:paraId="07C0B2ED"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Introducerea de nutrienți în mediul acvatic</w:t>
            </w:r>
          </w:p>
          <w:p w14:paraId="069CE639"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4C38CE0E"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Cantitate de azot și fosfor introdusă în mediul acvatic din surse punctiforme</w:t>
            </w:r>
          </w:p>
        </w:tc>
        <w:tc>
          <w:tcPr>
            <w:tcW w:w="1985" w:type="dxa"/>
            <w:vMerge w:val="restart"/>
            <w:vAlign w:val="center"/>
          </w:tcPr>
          <w:p w14:paraId="3A45D583"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241CE80B"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03FEC597"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5FEEF24B"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p w14:paraId="6CD2092D"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50B6ECB2"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14A3517E"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2034</w:t>
            </w:r>
          </w:p>
        </w:tc>
      </w:tr>
      <w:tr w:rsidR="00344FCE" w:rsidRPr="00344FCE" w14:paraId="282A34D5" w14:textId="77777777" w:rsidTr="00563FA0">
        <w:trPr>
          <w:trHeight w:val="20"/>
        </w:trPr>
        <w:tc>
          <w:tcPr>
            <w:tcW w:w="2787" w:type="dxa"/>
            <w:vMerge/>
            <w:shd w:val="clear" w:color="auto" w:fill="auto"/>
            <w:vAlign w:val="center"/>
          </w:tcPr>
          <w:p w14:paraId="5C5EBB4A"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3943F8AC"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7FA7C2CF"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61E987B8"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val="restart"/>
            <w:shd w:val="clear" w:color="auto" w:fill="auto"/>
            <w:vAlign w:val="center"/>
          </w:tcPr>
          <w:p w14:paraId="570875E2"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7A9F4959"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4BCDCAE6"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Poluare cu substanțe periculoase</w:t>
            </w:r>
          </w:p>
          <w:p w14:paraId="30EDC53A"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2CB41C96"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Evacuări de substanțe periculoase în mediul acvatic din surse punctiforme</w:t>
            </w:r>
          </w:p>
        </w:tc>
        <w:tc>
          <w:tcPr>
            <w:tcW w:w="1985" w:type="dxa"/>
            <w:vMerge/>
            <w:shd w:val="clear" w:color="auto" w:fill="auto"/>
            <w:vAlign w:val="center"/>
          </w:tcPr>
          <w:p w14:paraId="14B96A28"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2B272076" w14:textId="77777777" w:rsidTr="00563FA0">
        <w:trPr>
          <w:trHeight w:val="20"/>
        </w:trPr>
        <w:tc>
          <w:tcPr>
            <w:tcW w:w="2787" w:type="dxa"/>
            <w:vMerge/>
            <w:shd w:val="clear" w:color="auto" w:fill="auto"/>
            <w:vAlign w:val="center"/>
          </w:tcPr>
          <w:p w14:paraId="7639A0F9"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1BE1693E"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318F41DF"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5FDED363"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026072D5"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auto"/>
            <w:vAlign w:val="center"/>
          </w:tcPr>
          <w:p w14:paraId="4921FE24"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Concentrații ale substanțelor periculoase în apele costiere, tranzitorii și marine</w:t>
            </w:r>
          </w:p>
        </w:tc>
        <w:tc>
          <w:tcPr>
            <w:tcW w:w="1985" w:type="dxa"/>
            <w:vMerge/>
            <w:shd w:val="clear" w:color="auto" w:fill="auto"/>
            <w:vAlign w:val="center"/>
          </w:tcPr>
          <w:p w14:paraId="381F7DBA"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4AC1A9B7" w14:textId="77777777" w:rsidTr="00563FA0">
        <w:trPr>
          <w:trHeight w:val="20"/>
        </w:trPr>
        <w:tc>
          <w:tcPr>
            <w:tcW w:w="2787" w:type="dxa"/>
            <w:vMerge/>
            <w:shd w:val="clear" w:color="auto" w:fill="auto"/>
            <w:vAlign w:val="center"/>
          </w:tcPr>
          <w:p w14:paraId="17152B2F"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22265529"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339DCA61"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4769C5D4"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3FD720A5"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auto"/>
            <w:vAlign w:val="center"/>
          </w:tcPr>
          <w:p w14:paraId="3B0C307C"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Concentrații ale substanțelor periculoase în sedimentele din mediul marin</w:t>
            </w:r>
          </w:p>
        </w:tc>
        <w:tc>
          <w:tcPr>
            <w:tcW w:w="1985" w:type="dxa"/>
            <w:vMerge/>
            <w:shd w:val="clear" w:color="auto" w:fill="auto"/>
            <w:vAlign w:val="center"/>
          </w:tcPr>
          <w:p w14:paraId="5DACD704"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04E3A3A5" w14:textId="77777777" w:rsidTr="00563FA0">
        <w:trPr>
          <w:trHeight w:val="20"/>
        </w:trPr>
        <w:tc>
          <w:tcPr>
            <w:tcW w:w="2787" w:type="dxa"/>
            <w:vMerge/>
            <w:shd w:val="clear" w:color="auto" w:fill="auto"/>
            <w:vAlign w:val="center"/>
          </w:tcPr>
          <w:p w14:paraId="0298B597"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377B08BE"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060B4549"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796DA6FB"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7EABE47D"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auto"/>
            <w:vAlign w:val="center"/>
          </w:tcPr>
          <w:p w14:paraId="2369929D"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Concentrații ale substanțelor periculoase în apele interioare (Dunăre, lacuri)</w:t>
            </w:r>
          </w:p>
        </w:tc>
        <w:tc>
          <w:tcPr>
            <w:tcW w:w="1985" w:type="dxa"/>
            <w:vMerge/>
            <w:shd w:val="clear" w:color="auto" w:fill="auto"/>
            <w:vAlign w:val="center"/>
          </w:tcPr>
          <w:p w14:paraId="242A469C"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60F94E19" w14:textId="77777777" w:rsidTr="00563FA0">
        <w:trPr>
          <w:trHeight w:val="20"/>
        </w:trPr>
        <w:tc>
          <w:tcPr>
            <w:tcW w:w="2787" w:type="dxa"/>
            <w:vMerge/>
            <w:shd w:val="clear" w:color="auto" w:fill="auto"/>
            <w:vAlign w:val="center"/>
          </w:tcPr>
          <w:p w14:paraId="2C09A3AB"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08D8AFD7"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7BDE80FA"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2206E7AA"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7DF22D82"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auto"/>
            <w:vAlign w:val="center"/>
          </w:tcPr>
          <w:p w14:paraId="4EC8E2BD"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Concentrații ale substanțelor periculoase în sedimentele din mediul dulcicol</w:t>
            </w:r>
          </w:p>
        </w:tc>
        <w:tc>
          <w:tcPr>
            <w:tcW w:w="1985" w:type="dxa"/>
            <w:vMerge/>
            <w:shd w:val="clear" w:color="auto" w:fill="auto"/>
            <w:vAlign w:val="center"/>
          </w:tcPr>
          <w:p w14:paraId="0BAF5916"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074440F9" w14:textId="77777777" w:rsidTr="00563FA0">
        <w:trPr>
          <w:trHeight w:val="20"/>
        </w:trPr>
        <w:tc>
          <w:tcPr>
            <w:tcW w:w="2787" w:type="dxa"/>
            <w:vMerge/>
            <w:shd w:val="clear" w:color="auto" w:fill="auto"/>
            <w:vAlign w:val="center"/>
          </w:tcPr>
          <w:p w14:paraId="5735FC42"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4D1B4E63"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2B9B00B6"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74770A4D"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15D3110E"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auto"/>
            <w:vAlign w:val="center"/>
          </w:tcPr>
          <w:p w14:paraId="5D41FAE9"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Concentrații ale substanțelor periculoase în soluri</w:t>
            </w:r>
          </w:p>
        </w:tc>
        <w:tc>
          <w:tcPr>
            <w:tcW w:w="1985" w:type="dxa"/>
            <w:vMerge/>
            <w:shd w:val="clear" w:color="auto" w:fill="auto"/>
            <w:vAlign w:val="center"/>
          </w:tcPr>
          <w:p w14:paraId="474398A8"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0D4832FA" w14:textId="77777777" w:rsidTr="00563FA0">
        <w:trPr>
          <w:trHeight w:val="20"/>
        </w:trPr>
        <w:tc>
          <w:tcPr>
            <w:tcW w:w="2787" w:type="dxa"/>
            <w:vMerge/>
            <w:shd w:val="clear" w:color="auto" w:fill="auto"/>
            <w:vAlign w:val="center"/>
          </w:tcPr>
          <w:p w14:paraId="607D3F10"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3FE921E7"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6DC673A1"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714EEA16"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shd w:val="clear" w:color="auto" w:fill="auto"/>
            <w:vAlign w:val="center"/>
          </w:tcPr>
          <w:p w14:paraId="7B773EE8"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Calitatea apelor subterane</w:t>
            </w:r>
          </w:p>
        </w:tc>
        <w:tc>
          <w:tcPr>
            <w:tcW w:w="2268" w:type="dxa"/>
            <w:shd w:val="clear" w:color="auto" w:fill="auto"/>
            <w:vAlign w:val="center"/>
          </w:tcPr>
          <w:p w14:paraId="28B5404C"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Numărul de corpuri de apă subterană aflată în stare chimică proastă</w:t>
            </w:r>
          </w:p>
        </w:tc>
        <w:tc>
          <w:tcPr>
            <w:tcW w:w="1985" w:type="dxa"/>
            <w:vMerge/>
            <w:shd w:val="clear" w:color="auto" w:fill="auto"/>
            <w:vAlign w:val="center"/>
          </w:tcPr>
          <w:p w14:paraId="4C705A62"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7630E794" w14:textId="77777777" w:rsidTr="00563FA0">
        <w:trPr>
          <w:trHeight w:val="20"/>
        </w:trPr>
        <w:tc>
          <w:tcPr>
            <w:tcW w:w="2787" w:type="dxa"/>
            <w:vMerge w:val="restart"/>
            <w:shd w:val="clear" w:color="auto" w:fill="auto"/>
            <w:vAlign w:val="center"/>
          </w:tcPr>
          <w:p w14:paraId="25D85E57" w14:textId="30ED1578"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B.</w:t>
            </w:r>
            <w:r w:rsidR="00D96C25">
              <w:rPr>
                <w:rFonts w:eastAsia="Times New Roman" w:cs="Times New Roman"/>
                <w:kern w:val="0"/>
                <w:sz w:val="22"/>
                <w:szCs w:val="22"/>
                <w:lang w:val="ro-RO"/>
              </w:rPr>
              <w:t>4</w:t>
            </w:r>
            <w:r w:rsidRPr="00344FCE">
              <w:rPr>
                <w:rFonts w:eastAsia="Times New Roman" w:cs="Times New Roman"/>
                <w:kern w:val="0"/>
                <w:sz w:val="22"/>
                <w:szCs w:val="22"/>
                <w:lang w:val="ro-RO"/>
              </w:rPr>
              <w:t xml:space="preserve"> Dezvoltarea unui program pentru studierea principalelor surse, căi de transport și impactului contaminanților emergenți asupra faunei și omului, precum și dezvoltarea  unui program de monitorizare a acestora</w:t>
            </w:r>
          </w:p>
        </w:tc>
        <w:tc>
          <w:tcPr>
            <w:tcW w:w="1999" w:type="dxa"/>
            <w:vMerge w:val="restart"/>
            <w:shd w:val="clear" w:color="auto" w:fill="auto"/>
            <w:vAlign w:val="center"/>
          </w:tcPr>
          <w:p w14:paraId="78A7E7F3"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MCID (Academia Română, INCD GeoEcoMar, INCDM Grigore Antipa, INCDDD)</w:t>
            </w:r>
          </w:p>
        </w:tc>
        <w:tc>
          <w:tcPr>
            <w:tcW w:w="1559" w:type="dxa"/>
            <w:vMerge w:val="restart"/>
            <w:shd w:val="clear" w:color="auto" w:fill="auto"/>
            <w:vAlign w:val="center"/>
          </w:tcPr>
          <w:p w14:paraId="5C7A45E5"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22030</w:t>
            </w:r>
          </w:p>
        </w:tc>
        <w:tc>
          <w:tcPr>
            <w:tcW w:w="2127" w:type="dxa"/>
            <w:vMerge w:val="restart"/>
            <w:shd w:val="clear" w:color="auto" w:fill="auto"/>
            <w:vAlign w:val="center"/>
          </w:tcPr>
          <w:p w14:paraId="59D83C54" w14:textId="77777777" w:rsidR="00344FCE" w:rsidRPr="00344FCE" w:rsidRDefault="00344FCE" w:rsidP="00563FA0">
            <w:pPr>
              <w:spacing w:before="0" w:line="240" w:lineRule="auto"/>
              <w:ind w:firstLine="0"/>
              <w:jc w:val="left"/>
              <w:rPr>
                <w:rFonts w:eastAsia="Times New Roman" w:cs="Times New Roman"/>
                <w:kern w:val="0"/>
                <w:sz w:val="22"/>
                <w:szCs w:val="22"/>
                <w:lang w:val="ro-RO"/>
              </w:rPr>
            </w:pPr>
            <w:r w:rsidRPr="00344FCE">
              <w:rPr>
                <w:rFonts w:eastAsia="Times New Roman" w:cs="Times New Roman"/>
                <w:kern w:val="0"/>
                <w:sz w:val="22"/>
                <w:szCs w:val="22"/>
                <w:lang w:val="ro-RO"/>
              </w:rPr>
              <w:t>Realizarea unui program național de monitorizare a poluanților emergenți în mediul marin;</w:t>
            </w:r>
          </w:p>
          <w:p w14:paraId="578F500F" w14:textId="77777777" w:rsidR="00344FCE" w:rsidRPr="00344FCE" w:rsidRDefault="00344FCE" w:rsidP="00563FA0">
            <w:pPr>
              <w:spacing w:before="0" w:line="240" w:lineRule="auto"/>
              <w:ind w:firstLine="0"/>
              <w:jc w:val="left"/>
              <w:rPr>
                <w:rFonts w:eastAsia="Times New Roman" w:cs="Times New Roman"/>
                <w:kern w:val="0"/>
                <w:sz w:val="22"/>
                <w:szCs w:val="22"/>
                <w:lang w:val="ro-RO"/>
              </w:rPr>
            </w:pPr>
            <w:r w:rsidRPr="00344FCE">
              <w:rPr>
                <w:rFonts w:eastAsia="Times New Roman" w:cs="Times New Roman"/>
                <w:kern w:val="0"/>
                <w:sz w:val="22"/>
                <w:szCs w:val="22"/>
                <w:lang w:val="ro-RO"/>
              </w:rPr>
              <w:t>Realizarea unui program de monitorizare a poluanților emergenți în soluri;</w:t>
            </w:r>
          </w:p>
          <w:p w14:paraId="2FFF3EB8" w14:textId="77777777" w:rsidR="00344FCE" w:rsidRPr="00344FCE" w:rsidRDefault="00344FCE" w:rsidP="00563FA0">
            <w:pPr>
              <w:spacing w:before="0" w:line="240" w:lineRule="auto"/>
              <w:ind w:firstLine="0"/>
              <w:jc w:val="left"/>
              <w:rPr>
                <w:rFonts w:eastAsia="Times New Roman" w:cs="Times New Roman"/>
                <w:kern w:val="0"/>
                <w:sz w:val="22"/>
                <w:szCs w:val="22"/>
                <w:lang w:val="ro-RO"/>
              </w:rPr>
            </w:pPr>
            <w:r w:rsidRPr="00344FCE">
              <w:rPr>
                <w:rFonts w:eastAsia="Times New Roman" w:cs="Times New Roman"/>
                <w:kern w:val="0"/>
                <w:sz w:val="22"/>
                <w:szCs w:val="22"/>
                <w:lang w:val="ro-RO"/>
              </w:rPr>
              <w:t>Utilizarea datelor privind rezultatele monitorizării poluanților emergenți în Planul național de management actualizat aferent porțiunii naționale a bazinului hidrografic internațional al fluviului Dunărea</w:t>
            </w:r>
          </w:p>
          <w:p w14:paraId="6E15E891" w14:textId="77777777" w:rsidR="00344FCE" w:rsidRPr="00344FCE" w:rsidRDefault="00344FCE" w:rsidP="00563FA0">
            <w:pPr>
              <w:spacing w:before="0" w:line="240" w:lineRule="auto"/>
              <w:ind w:firstLine="0"/>
              <w:jc w:val="left"/>
              <w:rPr>
                <w:rFonts w:eastAsia="Times New Roman" w:cs="Times New Roman"/>
                <w:kern w:val="0"/>
                <w:sz w:val="22"/>
                <w:szCs w:val="22"/>
                <w:lang w:val="ro-RO"/>
              </w:rPr>
            </w:pPr>
            <w:r w:rsidRPr="00344FCE">
              <w:rPr>
                <w:rFonts w:eastAsia="Times New Roman" w:cs="Times New Roman"/>
                <w:kern w:val="0"/>
                <w:sz w:val="22"/>
                <w:szCs w:val="22"/>
                <w:lang w:val="ro-RO"/>
              </w:rPr>
              <w:t>Realizarea Registrului Poluanților Emergenți.</w:t>
            </w:r>
          </w:p>
        </w:tc>
        <w:tc>
          <w:tcPr>
            <w:tcW w:w="2409" w:type="dxa"/>
            <w:vMerge w:val="restart"/>
            <w:shd w:val="clear" w:color="auto" w:fill="auto"/>
            <w:vAlign w:val="center"/>
          </w:tcPr>
          <w:p w14:paraId="5987E6B4"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4DAA741C"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1F354585"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59B8AFA5"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1D372CDA"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68C06DDA"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Poluare cu substanțe periculoase</w:t>
            </w:r>
          </w:p>
        </w:tc>
        <w:tc>
          <w:tcPr>
            <w:tcW w:w="2268" w:type="dxa"/>
            <w:shd w:val="clear" w:color="auto" w:fill="auto"/>
            <w:vAlign w:val="center"/>
          </w:tcPr>
          <w:p w14:paraId="3943290D"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Evacuări de substanțe periculoase din Dunăre în apele costiere și tranzitorii</w:t>
            </w:r>
          </w:p>
        </w:tc>
        <w:tc>
          <w:tcPr>
            <w:tcW w:w="1985" w:type="dxa"/>
            <w:vMerge w:val="restart"/>
            <w:shd w:val="clear" w:color="auto" w:fill="auto"/>
            <w:vAlign w:val="center"/>
          </w:tcPr>
          <w:p w14:paraId="608A9DEE"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40D994DE"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r>
      <w:tr w:rsidR="00344FCE" w:rsidRPr="00344FCE" w14:paraId="5E6FE656" w14:textId="77777777" w:rsidTr="00563FA0">
        <w:trPr>
          <w:trHeight w:val="20"/>
        </w:trPr>
        <w:tc>
          <w:tcPr>
            <w:tcW w:w="2787" w:type="dxa"/>
            <w:vMerge/>
            <w:shd w:val="clear" w:color="auto" w:fill="auto"/>
            <w:vAlign w:val="center"/>
          </w:tcPr>
          <w:p w14:paraId="4D311E4A"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7063CABB"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3F655D92"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2EC38AC6"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1EAF9484"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50E14379"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Evacuări de substanțe periculoase în mediul acvatic din surse punctiforme</w:t>
            </w:r>
          </w:p>
        </w:tc>
        <w:tc>
          <w:tcPr>
            <w:tcW w:w="1985" w:type="dxa"/>
            <w:vMerge/>
            <w:shd w:val="clear" w:color="auto" w:fill="auto"/>
            <w:vAlign w:val="center"/>
          </w:tcPr>
          <w:p w14:paraId="6CE669A6"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33702C36" w14:textId="77777777" w:rsidTr="00563FA0">
        <w:trPr>
          <w:trHeight w:val="20"/>
        </w:trPr>
        <w:tc>
          <w:tcPr>
            <w:tcW w:w="2787" w:type="dxa"/>
            <w:vMerge/>
            <w:shd w:val="clear" w:color="auto" w:fill="auto"/>
            <w:vAlign w:val="center"/>
          </w:tcPr>
          <w:p w14:paraId="05E453C7"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236EA74D"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6714FCAD"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2B2E7288"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2FECA4A6"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24753498"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Valorile modelate ale evacuărilor de substanțe periculoase din surse difuze</w:t>
            </w:r>
          </w:p>
        </w:tc>
        <w:tc>
          <w:tcPr>
            <w:tcW w:w="1985" w:type="dxa"/>
            <w:vMerge/>
            <w:shd w:val="clear" w:color="auto" w:fill="auto"/>
            <w:vAlign w:val="center"/>
          </w:tcPr>
          <w:p w14:paraId="3F6F7F37"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5C4C6DBB" w14:textId="77777777" w:rsidTr="00563FA0">
        <w:trPr>
          <w:trHeight w:val="20"/>
        </w:trPr>
        <w:tc>
          <w:tcPr>
            <w:tcW w:w="2787" w:type="dxa"/>
            <w:vMerge/>
            <w:shd w:val="clear" w:color="auto" w:fill="auto"/>
            <w:vAlign w:val="center"/>
          </w:tcPr>
          <w:p w14:paraId="715CD52D"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116B1D15"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55475A50"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2D6084EF"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6AD87E71"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0E77A90B"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Concentrații ale substanțelor periculoase în apele costiere, tranzitorii și marine</w:t>
            </w:r>
          </w:p>
        </w:tc>
        <w:tc>
          <w:tcPr>
            <w:tcW w:w="1985" w:type="dxa"/>
            <w:vMerge/>
            <w:shd w:val="clear" w:color="auto" w:fill="auto"/>
            <w:vAlign w:val="center"/>
          </w:tcPr>
          <w:p w14:paraId="1F9CC55E"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7AF61362" w14:textId="77777777" w:rsidTr="00563FA0">
        <w:trPr>
          <w:trHeight w:val="20"/>
        </w:trPr>
        <w:tc>
          <w:tcPr>
            <w:tcW w:w="2787" w:type="dxa"/>
            <w:vMerge/>
            <w:shd w:val="clear" w:color="auto" w:fill="auto"/>
            <w:vAlign w:val="center"/>
          </w:tcPr>
          <w:p w14:paraId="7B1A7CD1"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42334E9E"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455BE46E"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7157326A"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39360046"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67B54954"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Concentrații ale substanțelor periculoase în sedimentele din mediul marin</w:t>
            </w:r>
          </w:p>
        </w:tc>
        <w:tc>
          <w:tcPr>
            <w:tcW w:w="1985" w:type="dxa"/>
            <w:vMerge/>
            <w:shd w:val="clear" w:color="auto" w:fill="auto"/>
            <w:vAlign w:val="center"/>
          </w:tcPr>
          <w:p w14:paraId="30CB1BCB"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33F1F8EA" w14:textId="77777777" w:rsidTr="00563FA0">
        <w:trPr>
          <w:trHeight w:val="20"/>
        </w:trPr>
        <w:tc>
          <w:tcPr>
            <w:tcW w:w="2787" w:type="dxa"/>
            <w:vMerge/>
            <w:shd w:val="clear" w:color="auto" w:fill="auto"/>
            <w:vAlign w:val="center"/>
          </w:tcPr>
          <w:p w14:paraId="4D52923C"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73C0D68B"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47F38F07"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65C2D52F"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7E795D83"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11056AF2"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Concentrații ale substanțelor periculoase în apele interioare (Dunăre, lacuri)</w:t>
            </w:r>
          </w:p>
        </w:tc>
        <w:tc>
          <w:tcPr>
            <w:tcW w:w="1985" w:type="dxa"/>
            <w:vMerge/>
            <w:shd w:val="clear" w:color="auto" w:fill="auto"/>
            <w:vAlign w:val="center"/>
          </w:tcPr>
          <w:p w14:paraId="17E47F3D"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74054795" w14:textId="77777777" w:rsidTr="00563FA0">
        <w:trPr>
          <w:trHeight w:val="20"/>
        </w:trPr>
        <w:tc>
          <w:tcPr>
            <w:tcW w:w="2787" w:type="dxa"/>
            <w:vMerge/>
            <w:shd w:val="clear" w:color="auto" w:fill="auto"/>
            <w:vAlign w:val="center"/>
          </w:tcPr>
          <w:p w14:paraId="64E6F3DC"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0B262A5F"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5234441F"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3A262949"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650AAF0F"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auto"/>
            <w:vAlign w:val="center"/>
          </w:tcPr>
          <w:p w14:paraId="65EAAE9C"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Concentrații ale substanțelor </w:t>
            </w:r>
            <w:r w:rsidRPr="00344FCE">
              <w:rPr>
                <w:rFonts w:eastAsia="Times New Roman" w:cs="Times New Roman"/>
                <w:kern w:val="0"/>
                <w:sz w:val="22"/>
                <w:szCs w:val="22"/>
                <w:lang w:val="ro-RO"/>
              </w:rPr>
              <w:lastRenderedPageBreak/>
              <w:t>periculoase în sedimentele din mediul dulcicol</w:t>
            </w:r>
          </w:p>
        </w:tc>
        <w:tc>
          <w:tcPr>
            <w:tcW w:w="1985" w:type="dxa"/>
            <w:vMerge/>
            <w:shd w:val="clear" w:color="auto" w:fill="auto"/>
            <w:vAlign w:val="center"/>
          </w:tcPr>
          <w:p w14:paraId="7739808B"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57AABA88" w14:textId="77777777" w:rsidTr="00563FA0">
        <w:trPr>
          <w:trHeight w:val="20"/>
        </w:trPr>
        <w:tc>
          <w:tcPr>
            <w:tcW w:w="2787" w:type="dxa"/>
            <w:vMerge/>
            <w:shd w:val="clear" w:color="auto" w:fill="auto"/>
            <w:vAlign w:val="center"/>
          </w:tcPr>
          <w:p w14:paraId="09981F56"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2BF6D1A1"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36D4C77C"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1BF5AA27"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3A8D664C"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auto"/>
            <w:vAlign w:val="center"/>
          </w:tcPr>
          <w:p w14:paraId="5D9A3A10"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Concentrații ale substanțelor periculoase în pești (specii comerciale) și fructe de mare din mediul marin</w:t>
            </w:r>
          </w:p>
        </w:tc>
        <w:tc>
          <w:tcPr>
            <w:tcW w:w="1985" w:type="dxa"/>
            <w:vMerge/>
            <w:shd w:val="clear" w:color="auto" w:fill="auto"/>
            <w:vAlign w:val="center"/>
          </w:tcPr>
          <w:p w14:paraId="00B26A75"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40B09436" w14:textId="77777777" w:rsidTr="00563FA0">
        <w:trPr>
          <w:trHeight w:val="20"/>
        </w:trPr>
        <w:tc>
          <w:tcPr>
            <w:tcW w:w="2787" w:type="dxa"/>
            <w:vMerge/>
            <w:shd w:val="clear" w:color="auto" w:fill="auto"/>
            <w:vAlign w:val="center"/>
          </w:tcPr>
          <w:p w14:paraId="4BC2DDCE"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0DC40A72"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34D16C64"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6137FBE9"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3BC813B4"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auto"/>
            <w:vAlign w:val="center"/>
          </w:tcPr>
          <w:p w14:paraId="05A8B61D"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Concentrații ale substanțelor periculoase în soluri</w:t>
            </w:r>
          </w:p>
        </w:tc>
        <w:tc>
          <w:tcPr>
            <w:tcW w:w="1985" w:type="dxa"/>
            <w:vMerge/>
            <w:shd w:val="clear" w:color="auto" w:fill="auto"/>
            <w:vAlign w:val="center"/>
          </w:tcPr>
          <w:p w14:paraId="345F2238"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50C62687" w14:textId="77777777" w:rsidTr="00563FA0">
        <w:trPr>
          <w:trHeight w:val="20"/>
        </w:trPr>
        <w:tc>
          <w:tcPr>
            <w:tcW w:w="2787" w:type="dxa"/>
            <w:vMerge w:val="restart"/>
            <w:shd w:val="clear" w:color="auto" w:fill="auto"/>
            <w:vAlign w:val="center"/>
          </w:tcPr>
          <w:p w14:paraId="5132BB99" w14:textId="10215DCE"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B.</w:t>
            </w:r>
            <w:r w:rsidR="00D96C25">
              <w:rPr>
                <w:rFonts w:eastAsia="Times New Roman" w:cs="Times New Roman"/>
                <w:kern w:val="0"/>
                <w:sz w:val="22"/>
                <w:szCs w:val="22"/>
                <w:lang w:val="ro-RO"/>
              </w:rPr>
              <w:t>5</w:t>
            </w:r>
            <w:r w:rsidRPr="00344FCE">
              <w:rPr>
                <w:rFonts w:eastAsia="Times New Roman" w:cs="Times New Roman"/>
                <w:kern w:val="0"/>
                <w:sz w:val="22"/>
                <w:szCs w:val="22"/>
                <w:lang w:val="ro-RO"/>
              </w:rPr>
              <w:t xml:space="preserve"> </w:t>
            </w:r>
            <w:r w:rsidR="00B02DAD">
              <w:rPr>
                <w:rFonts w:eastAsia="Times New Roman" w:cs="Times New Roman"/>
                <w:kern w:val="0"/>
                <w:sz w:val="22"/>
                <w:szCs w:val="22"/>
                <w:lang w:val="ro-RO"/>
              </w:rPr>
              <w:t>Gestionarea</w:t>
            </w:r>
            <w:r w:rsidRPr="00344FCE">
              <w:rPr>
                <w:rFonts w:eastAsia="Times New Roman" w:cs="Times New Roman"/>
                <w:kern w:val="0"/>
                <w:sz w:val="22"/>
                <w:szCs w:val="22"/>
                <w:lang w:val="ro-RO"/>
              </w:rPr>
              <w:t xml:space="preserve"> siturilor contaminate și potențial contaminate din zona costieră</w:t>
            </w:r>
          </w:p>
        </w:tc>
        <w:tc>
          <w:tcPr>
            <w:tcW w:w="1999" w:type="dxa"/>
            <w:vMerge w:val="restart"/>
            <w:shd w:val="clear" w:color="auto" w:fill="auto"/>
            <w:vAlign w:val="center"/>
          </w:tcPr>
          <w:p w14:paraId="2253D093" w14:textId="02277602"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MMAP, </w:t>
            </w:r>
            <w:r w:rsidR="00B02DAD">
              <w:rPr>
                <w:rFonts w:eastAsia="Times New Roman" w:cs="Times New Roman"/>
                <w:kern w:val="0"/>
                <w:sz w:val="22"/>
                <w:szCs w:val="22"/>
                <w:lang w:val="ro-RO"/>
              </w:rPr>
              <w:t>autorități locale</w:t>
            </w:r>
            <w:r w:rsidR="00BA434A">
              <w:rPr>
                <w:rFonts w:eastAsia="Times New Roman" w:cs="Times New Roman"/>
                <w:kern w:val="0"/>
                <w:sz w:val="22"/>
                <w:szCs w:val="22"/>
                <w:lang w:val="ro-RO"/>
              </w:rPr>
              <w:t xml:space="preserve">, </w:t>
            </w:r>
            <w:r w:rsidRPr="00344FCE">
              <w:rPr>
                <w:rFonts w:eastAsia="Times New Roman" w:cs="Times New Roman"/>
                <w:kern w:val="0"/>
                <w:sz w:val="22"/>
                <w:szCs w:val="22"/>
                <w:lang w:val="ro-RO"/>
              </w:rPr>
              <w:t>MCID (Academia Română, INCD GeoEcoMar, INCDM Grigore Antipa, INCDDD), ME</w:t>
            </w:r>
          </w:p>
        </w:tc>
        <w:tc>
          <w:tcPr>
            <w:tcW w:w="1559" w:type="dxa"/>
            <w:vMerge w:val="restart"/>
            <w:shd w:val="clear" w:color="auto" w:fill="auto"/>
            <w:vAlign w:val="center"/>
          </w:tcPr>
          <w:p w14:paraId="047551C7"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vMerge w:val="restart"/>
            <w:shd w:val="clear" w:color="auto" w:fill="auto"/>
            <w:vAlign w:val="center"/>
          </w:tcPr>
          <w:p w14:paraId="23CEDF84"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raportului situri remediate și monitorizate post remediere / situri contaminate și potențial contaminate</w:t>
            </w:r>
          </w:p>
        </w:tc>
        <w:tc>
          <w:tcPr>
            <w:tcW w:w="2409" w:type="dxa"/>
            <w:vMerge w:val="restart"/>
            <w:shd w:val="clear" w:color="auto" w:fill="auto"/>
            <w:vAlign w:val="center"/>
          </w:tcPr>
          <w:p w14:paraId="52618279"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Situri contaminate și potențial contaminate</w:t>
            </w:r>
          </w:p>
        </w:tc>
        <w:tc>
          <w:tcPr>
            <w:tcW w:w="2268" w:type="dxa"/>
            <w:shd w:val="clear" w:color="auto" w:fill="auto"/>
            <w:vAlign w:val="center"/>
          </w:tcPr>
          <w:p w14:paraId="01D74CA7"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situri contaminate și potențial contaminate identificate</w:t>
            </w:r>
          </w:p>
        </w:tc>
        <w:tc>
          <w:tcPr>
            <w:tcW w:w="1985" w:type="dxa"/>
            <w:vMerge w:val="restart"/>
            <w:shd w:val="clear" w:color="auto" w:fill="auto"/>
            <w:vAlign w:val="center"/>
          </w:tcPr>
          <w:p w14:paraId="3BA45D56"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2B9D8EB4"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56784D6E"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p w14:paraId="603F5E15"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7A0945C2"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2034</w:t>
            </w:r>
          </w:p>
        </w:tc>
      </w:tr>
      <w:tr w:rsidR="00344FCE" w:rsidRPr="00344FCE" w14:paraId="51BAA576" w14:textId="77777777" w:rsidTr="00563FA0">
        <w:trPr>
          <w:trHeight w:val="20"/>
        </w:trPr>
        <w:tc>
          <w:tcPr>
            <w:tcW w:w="2787" w:type="dxa"/>
            <w:vMerge/>
            <w:shd w:val="clear" w:color="auto" w:fill="auto"/>
            <w:vAlign w:val="center"/>
          </w:tcPr>
          <w:p w14:paraId="5CC0D70B"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6D069E34"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31F02F98"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665EBA0D" w14:textId="77777777" w:rsidR="00344FCE" w:rsidRPr="00344FCE" w:rsidRDefault="00344FCE" w:rsidP="00563FA0">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auto"/>
            <w:vAlign w:val="center"/>
          </w:tcPr>
          <w:p w14:paraId="5B146AC6"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395116E8"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situri remediate</w:t>
            </w:r>
          </w:p>
        </w:tc>
        <w:tc>
          <w:tcPr>
            <w:tcW w:w="1985" w:type="dxa"/>
            <w:vMerge/>
            <w:shd w:val="clear" w:color="auto" w:fill="auto"/>
            <w:vAlign w:val="center"/>
          </w:tcPr>
          <w:p w14:paraId="76E8881D"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036244C3" w14:textId="77777777" w:rsidTr="00563FA0">
        <w:trPr>
          <w:trHeight w:val="20"/>
        </w:trPr>
        <w:tc>
          <w:tcPr>
            <w:tcW w:w="2787" w:type="dxa"/>
            <w:vMerge w:val="restart"/>
            <w:shd w:val="clear" w:color="auto" w:fill="auto"/>
            <w:vAlign w:val="center"/>
          </w:tcPr>
          <w:p w14:paraId="006A937C" w14:textId="216569E0" w:rsidR="00344FCE" w:rsidRPr="00344FCE" w:rsidRDefault="00344FCE" w:rsidP="00563FA0">
            <w:pPr>
              <w:spacing w:before="0" w:after="0" w:line="240" w:lineRule="auto"/>
              <w:ind w:firstLine="0"/>
              <w:rPr>
                <w:rFonts w:eastAsia="Times New Roman" w:cs="Times New Roman"/>
                <w:kern w:val="0"/>
                <w:sz w:val="20"/>
                <w:szCs w:val="20"/>
                <w:lang w:val="ro-RO"/>
              </w:rPr>
            </w:pPr>
            <w:r w:rsidRPr="00344FCE">
              <w:rPr>
                <w:rFonts w:eastAsia="Times New Roman" w:cs="Times New Roman"/>
                <w:kern w:val="0"/>
                <w:sz w:val="22"/>
                <w:szCs w:val="22"/>
                <w:lang w:val="ro-RO"/>
              </w:rPr>
              <w:t>B.</w:t>
            </w:r>
            <w:r w:rsidR="00D96C25">
              <w:rPr>
                <w:rFonts w:eastAsia="Times New Roman" w:cs="Times New Roman"/>
                <w:kern w:val="0"/>
                <w:sz w:val="22"/>
                <w:szCs w:val="22"/>
                <w:lang w:val="ro-RO"/>
              </w:rPr>
              <w:t>6</w:t>
            </w:r>
            <w:r w:rsidRPr="00344FCE">
              <w:rPr>
                <w:rFonts w:eastAsia="Times New Roman" w:cs="Times New Roman"/>
                <w:kern w:val="0"/>
                <w:sz w:val="22"/>
                <w:szCs w:val="22"/>
                <w:lang w:val="ro-RO"/>
              </w:rPr>
              <w:t xml:space="preserve"> Dezvoltarea infrastructurii verzi în zona carierelor active de calcare și șisturi verzi (zona Tașaul-Luminița)</w:t>
            </w:r>
          </w:p>
        </w:tc>
        <w:tc>
          <w:tcPr>
            <w:tcW w:w="1999" w:type="dxa"/>
            <w:vMerge w:val="restart"/>
            <w:shd w:val="clear" w:color="auto" w:fill="auto"/>
            <w:vAlign w:val="center"/>
          </w:tcPr>
          <w:p w14:paraId="13A8B9F1"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MMAP (AJPM Constanța, ANANP), MEAT, autorități locale (CJ Constanța)</w:t>
            </w:r>
          </w:p>
        </w:tc>
        <w:tc>
          <w:tcPr>
            <w:tcW w:w="1559" w:type="dxa"/>
            <w:vMerge w:val="restart"/>
            <w:shd w:val="clear" w:color="auto" w:fill="auto"/>
            <w:vAlign w:val="center"/>
          </w:tcPr>
          <w:p w14:paraId="4AF20760"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vMerge w:val="restart"/>
            <w:shd w:val="clear" w:color="auto" w:fill="auto"/>
            <w:vAlign w:val="center"/>
          </w:tcPr>
          <w:p w14:paraId="4211D563"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Reducerea poluării atmosferice în zona de interes</w:t>
            </w:r>
          </w:p>
          <w:p w14:paraId="41342183"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biodiversității în zona de interes</w:t>
            </w:r>
          </w:p>
          <w:p w14:paraId="07F683AC"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suprafeței plantate în zona de interes</w:t>
            </w:r>
          </w:p>
        </w:tc>
        <w:tc>
          <w:tcPr>
            <w:tcW w:w="2409" w:type="dxa"/>
            <w:vMerge w:val="restart"/>
            <w:shd w:val="clear" w:color="auto" w:fill="auto"/>
            <w:vAlign w:val="center"/>
          </w:tcPr>
          <w:p w14:paraId="1726123D" w14:textId="77777777" w:rsidR="00344FCE" w:rsidRPr="00344FCE" w:rsidRDefault="00344FCE" w:rsidP="00563FA0">
            <w:pPr>
              <w:spacing w:before="0" w:after="0" w:line="240" w:lineRule="auto"/>
              <w:ind w:firstLine="0"/>
              <w:rPr>
                <w:rFonts w:eastAsia="Times New Roman" w:cs="Times New Roman"/>
                <w:kern w:val="0"/>
                <w:sz w:val="20"/>
                <w:szCs w:val="20"/>
                <w:lang w:val="ro-RO"/>
              </w:rPr>
            </w:pPr>
            <w:r w:rsidRPr="00344FCE">
              <w:rPr>
                <w:rFonts w:eastAsia="Times New Roman" w:cs="Times New Roman"/>
                <w:kern w:val="0"/>
                <w:sz w:val="22"/>
                <w:szCs w:val="22"/>
                <w:lang w:val="ro-RO"/>
              </w:rPr>
              <w:t>Management eficient al ariilor protejate</w:t>
            </w:r>
          </w:p>
        </w:tc>
        <w:tc>
          <w:tcPr>
            <w:tcW w:w="2268" w:type="dxa"/>
            <w:shd w:val="clear" w:color="auto" w:fill="auto"/>
            <w:vAlign w:val="center"/>
          </w:tcPr>
          <w:p w14:paraId="2A965CD8" w14:textId="77777777" w:rsidR="00344FCE" w:rsidRPr="00344FCE" w:rsidRDefault="00344FCE" w:rsidP="00563FA0">
            <w:pPr>
              <w:spacing w:before="0" w:after="0" w:line="240" w:lineRule="auto"/>
              <w:ind w:firstLine="0"/>
              <w:rPr>
                <w:rFonts w:eastAsia="Times New Roman" w:cs="Times New Roman"/>
                <w:kern w:val="0"/>
                <w:sz w:val="20"/>
                <w:szCs w:val="20"/>
                <w:lang w:val="ro-RO"/>
              </w:rPr>
            </w:pPr>
            <w:r w:rsidRPr="00344FCE">
              <w:rPr>
                <w:rFonts w:eastAsia="Times New Roman" w:cs="Times New Roman"/>
                <w:kern w:val="0"/>
                <w:sz w:val="22"/>
                <w:szCs w:val="22"/>
                <w:lang w:val="ro-RO"/>
              </w:rPr>
              <w:t>Suprafața totală a zonelor degradate din ariile protejate în urma desfășurării de activității umane</w:t>
            </w:r>
          </w:p>
        </w:tc>
        <w:tc>
          <w:tcPr>
            <w:tcW w:w="1985" w:type="dxa"/>
            <w:vMerge w:val="restart"/>
            <w:shd w:val="clear" w:color="auto" w:fill="auto"/>
            <w:vAlign w:val="center"/>
          </w:tcPr>
          <w:p w14:paraId="65748429"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41FF13DA"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71A96ECE"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0C0CC229"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p w14:paraId="608152F8"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5C58D726"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5742AB96"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2034</w:t>
            </w:r>
          </w:p>
          <w:p w14:paraId="33BD9114"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0A738236"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0C571235"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r>
      <w:tr w:rsidR="00344FCE" w:rsidRPr="00344FCE" w14:paraId="0D511B94" w14:textId="77777777" w:rsidTr="00563FA0">
        <w:trPr>
          <w:trHeight w:val="20"/>
        </w:trPr>
        <w:tc>
          <w:tcPr>
            <w:tcW w:w="2787" w:type="dxa"/>
            <w:vMerge/>
            <w:shd w:val="clear" w:color="auto" w:fill="auto"/>
            <w:vAlign w:val="center"/>
          </w:tcPr>
          <w:p w14:paraId="6BF4A795"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23CDE88E"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2D5F58F1"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3DE3E8B9"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6B63CC82" w14:textId="77777777" w:rsidR="00344FCE" w:rsidRPr="00344FCE" w:rsidRDefault="00344FCE" w:rsidP="00344FCE">
            <w:pPr>
              <w:spacing w:before="0" w:after="0" w:line="240" w:lineRule="auto"/>
              <w:ind w:firstLine="0"/>
              <w:jc w:val="center"/>
              <w:rPr>
                <w:rFonts w:eastAsia="Times New Roman" w:cs="Times New Roman"/>
                <w:kern w:val="0"/>
                <w:lang w:val="ro-RO"/>
              </w:rPr>
            </w:pPr>
          </w:p>
        </w:tc>
        <w:tc>
          <w:tcPr>
            <w:tcW w:w="2268" w:type="dxa"/>
            <w:shd w:val="clear" w:color="auto" w:fill="auto"/>
            <w:vAlign w:val="center"/>
          </w:tcPr>
          <w:p w14:paraId="6EA9861E" w14:textId="77777777" w:rsidR="00344FCE" w:rsidRPr="00344FCE" w:rsidRDefault="00344FCE" w:rsidP="00563FA0">
            <w:pPr>
              <w:spacing w:before="0" w:after="0" w:line="240" w:lineRule="auto"/>
              <w:ind w:firstLine="0"/>
              <w:rPr>
                <w:rFonts w:eastAsia="Times New Roman" w:cs="Times New Roman"/>
                <w:kern w:val="0"/>
                <w:sz w:val="20"/>
                <w:szCs w:val="20"/>
                <w:lang w:val="ro-RO"/>
              </w:rPr>
            </w:pPr>
            <w:r w:rsidRPr="00344FCE">
              <w:rPr>
                <w:rFonts w:eastAsia="Times New Roman" w:cs="Times New Roman"/>
                <w:kern w:val="0"/>
                <w:sz w:val="22"/>
                <w:szCs w:val="22"/>
                <w:lang w:val="ro-RO"/>
              </w:rPr>
              <w:t>Rata pierderii sau deteriorării ariilor protejate</w:t>
            </w:r>
          </w:p>
        </w:tc>
        <w:tc>
          <w:tcPr>
            <w:tcW w:w="1985" w:type="dxa"/>
            <w:vMerge/>
            <w:shd w:val="clear" w:color="auto" w:fill="auto"/>
            <w:vAlign w:val="center"/>
          </w:tcPr>
          <w:p w14:paraId="788B2681"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r>
      <w:tr w:rsidR="00344FCE" w:rsidRPr="00344FCE" w14:paraId="5B239911" w14:textId="77777777" w:rsidTr="00563FA0">
        <w:trPr>
          <w:trHeight w:val="20"/>
        </w:trPr>
        <w:tc>
          <w:tcPr>
            <w:tcW w:w="2787" w:type="dxa"/>
            <w:vMerge/>
            <w:shd w:val="clear" w:color="auto" w:fill="auto"/>
            <w:vAlign w:val="center"/>
          </w:tcPr>
          <w:p w14:paraId="7B9BA1DA"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1C9D2507"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53A248B2"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13CBB5A0"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2409" w:type="dxa"/>
            <w:vMerge w:val="restart"/>
            <w:shd w:val="clear" w:color="auto" w:fill="auto"/>
            <w:vAlign w:val="center"/>
          </w:tcPr>
          <w:p w14:paraId="09037041" w14:textId="77777777" w:rsidR="00344FCE" w:rsidRPr="00344FCE" w:rsidRDefault="00344FCE" w:rsidP="00344FCE">
            <w:pPr>
              <w:spacing w:before="0" w:after="0" w:line="240" w:lineRule="auto"/>
              <w:ind w:firstLine="0"/>
              <w:jc w:val="center"/>
              <w:rPr>
                <w:rFonts w:eastAsia="Times New Roman" w:cs="Times New Roman"/>
                <w:kern w:val="0"/>
                <w:sz w:val="20"/>
                <w:szCs w:val="20"/>
                <w:lang w:val="ro-RO"/>
              </w:rPr>
            </w:pPr>
            <w:r w:rsidRPr="00344FCE">
              <w:rPr>
                <w:rFonts w:eastAsia="Times New Roman" w:cs="Times New Roman"/>
                <w:kern w:val="0"/>
                <w:sz w:val="22"/>
                <w:szCs w:val="22"/>
                <w:lang w:val="ro-RO"/>
              </w:rPr>
              <w:t>Poluare cu substanțe periculoase</w:t>
            </w:r>
          </w:p>
        </w:tc>
        <w:tc>
          <w:tcPr>
            <w:tcW w:w="2268" w:type="dxa"/>
            <w:shd w:val="clear" w:color="auto" w:fill="auto"/>
            <w:vAlign w:val="center"/>
          </w:tcPr>
          <w:p w14:paraId="63F618C5"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Descărcări de substanțe periculoase în mediul acvatic din surse punctiforme</w:t>
            </w:r>
          </w:p>
        </w:tc>
        <w:tc>
          <w:tcPr>
            <w:tcW w:w="1985" w:type="dxa"/>
            <w:vMerge/>
            <w:shd w:val="clear" w:color="auto" w:fill="auto"/>
            <w:vAlign w:val="center"/>
          </w:tcPr>
          <w:p w14:paraId="73212F61"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r>
      <w:tr w:rsidR="00344FCE" w:rsidRPr="00344FCE" w14:paraId="42E89AA7" w14:textId="77777777" w:rsidTr="00563FA0">
        <w:trPr>
          <w:trHeight w:val="20"/>
        </w:trPr>
        <w:tc>
          <w:tcPr>
            <w:tcW w:w="2787" w:type="dxa"/>
            <w:vMerge/>
            <w:shd w:val="clear" w:color="auto" w:fill="auto"/>
            <w:vAlign w:val="center"/>
          </w:tcPr>
          <w:p w14:paraId="7FB412B0"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3A3DF142"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755D4C9C"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1751027F"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19D98580"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48E33E4A"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Concentrații ale substanțelor periculoase în </w:t>
            </w:r>
            <w:r w:rsidRPr="00344FCE">
              <w:rPr>
                <w:rFonts w:eastAsia="Times New Roman" w:cs="Times New Roman"/>
                <w:kern w:val="0"/>
                <w:sz w:val="22"/>
                <w:szCs w:val="22"/>
                <w:lang w:val="ro-RO"/>
              </w:rPr>
              <w:lastRenderedPageBreak/>
              <w:t>sedimentele din mediul dulcicol</w:t>
            </w:r>
          </w:p>
        </w:tc>
        <w:tc>
          <w:tcPr>
            <w:tcW w:w="1985" w:type="dxa"/>
            <w:vMerge/>
            <w:shd w:val="clear" w:color="auto" w:fill="auto"/>
            <w:vAlign w:val="center"/>
          </w:tcPr>
          <w:p w14:paraId="50D97EF7"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r>
      <w:tr w:rsidR="00344FCE" w:rsidRPr="00344FCE" w14:paraId="15BC871E" w14:textId="77777777" w:rsidTr="00563FA0">
        <w:trPr>
          <w:trHeight w:val="20"/>
        </w:trPr>
        <w:tc>
          <w:tcPr>
            <w:tcW w:w="2787" w:type="dxa"/>
            <w:vMerge/>
            <w:shd w:val="clear" w:color="auto" w:fill="auto"/>
            <w:vAlign w:val="center"/>
          </w:tcPr>
          <w:p w14:paraId="7081D919"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40728B85"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055F357A"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309339BA"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1B1A5516"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5C3EEF87"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Concentrații ale substanțelor periculoase în soluri</w:t>
            </w:r>
          </w:p>
        </w:tc>
        <w:tc>
          <w:tcPr>
            <w:tcW w:w="1985" w:type="dxa"/>
            <w:vMerge/>
            <w:shd w:val="clear" w:color="auto" w:fill="auto"/>
            <w:vAlign w:val="center"/>
          </w:tcPr>
          <w:p w14:paraId="7577F345"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r>
      <w:tr w:rsidR="00344FCE" w:rsidRPr="00344FCE" w14:paraId="659CDD51" w14:textId="77777777" w:rsidTr="00563FA0">
        <w:trPr>
          <w:trHeight w:val="20"/>
        </w:trPr>
        <w:tc>
          <w:tcPr>
            <w:tcW w:w="2787" w:type="dxa"/>
            <w:vMerge/>
            <w:shd w:val="clear" w:color="auto" w:fill="auto"/>
            <w:vAlign w:val="center"/>
          </w:tcPr>
          <w:p w14:paraId="7C9856D9"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7B48B193"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2ED1403A"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2C99B33C"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2409" w:type="dxa"/>
            <w:vMerge w:val="restart"/>
            <w:shd w:val="clear" w:color="auto" w:fill="auto"/>
            <w:vAlign w:val="center"/>
          </w:tcPr>
          <w:p w14:paraId="1F7DC730"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Calitatea aerului</w:t>
            </w:r>
          </w:p>
        </w:tc>
        <w:tc>
          <w:tcPr>
            <w:tcW w:w="2268"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14:paraId="374F2D5E"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Concentrațiile poluanților atmosferici (valori orare, la 8 ore, zilnice)</w:t>
            </w:r>
          </w:p>
        </w:tc>
        <w:tc>
          <w:tcPr>
            <w:tcW w:w="1985" w:type="dxa"/>
            <w:vMerge/>
            <w:shd w:val="clear" w:color="auto" w:fill="auto"/>
            <w:vAlign w:val="center"/>
          </w:tcPr>
          <w:p w14:paraId="738C3A13"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r>
      <w:tr w:rsidR="00344FCE" w:rsidRPr="00344FCE" w14:paraId="740D546A" w14:textId="77777777" w:rsidTr="00563FA0">
        <w:trPr>
          <w:trHeight w:val="20"/>
        </w:trPr>
        <w:tc>
          <w:tcPr>
            <w:tcW w:w="2787" w:type="dxa"/>
            <w:vMerge/>
            <w:shd w:val="clear" w:color="auto" w:fill="auto"/>
            <w:vAlign w:val="center"/>
          </w:tcPr>
          <w:p w14:paraId="4DE3545A"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2527D810"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0498AFB7"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7099A10C"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50C43195"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tc>
        <w:tc>
          <w:tcPr>
            <w:tcW w:w="2268"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center"/>
          </w:tcPr>
          <w:p w14:paraId="11AF1472"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Modele de dispersie a poluanților atmosferici</w:t>
            </w:r>
          </w:p>
        </w:tc>
        <w:tc>
          <w:tcPr>
            <w:tcW w:w="1985" w:type="dxa"/>
            <w:vMerge/>
            <w:shd w:val="clear" w:color="auto" w:fill="auto"/>
            <w:vAlign w:val="center"/>
          </w:tcPr>
          <w:p w14:paraId="04B021CC"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r>
      <w:tr w:rsidR="00344FCE" w:rsidRPr="00344FCE" w14:paraId="146028D9" w14:textId="77777777" w:rsidTr="00563FA0">
        <w:trPr>
          <w:trHeight w:val="20"/>
        </w:trPr>
        <w:tc>
          <w:tcPr>
            <w:tcW w:w="2787" w:type="dxa"/>
            <w:vMerge/>
            <w:shd w:val="clear" w:color="auto" w:fill="auto"/>
            <w:vAlign w:val="center"/>
          </w:tcPr>
          <w:p w14:paraId="3E6C6763"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5FC704A0"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710948C9"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0C3A3EFC"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240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14:paraId="318EF5AE"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Gradul de informare și implicare a cetățenilor</w:t>
            </w:r>
          </w:p>
        </w:tc>
        <w:tc>
          <w:tcPr>
            <w:tcW w:w="2268" w:type="dxa"/>
            <w:tcBorders>
              <w:top w:val="single" w:sz="5" w:space="0" w:color="000000"/>
              <w:left w:val="nil"/>
              <w:bottom w:val="single" w:sz="5" w:space="0" w:color="000000"/>
              <w:right w:val="single" w:sz="5" w:space="0" w:color="000000"/>
            </w:tcBorders>
            <w:tcMar>
              <w:top w:w="0" w:type="dxa"/>
              <w:left w:w="100" w:type="dxa"/>
              <w:bottom w:w="0" w:type="dxa"/>
              <w:right w:w="100" w:type="dxa"/>
            </w:tcMar>
            <w:vAlign w:val="center"/>
          </w:tcPr>
          <w:p w14:paraId="5473ED86"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voluntari implicați în monitorizarea zonei costiere</w:t>
            </w:r>
          </w:p>
        </w:tc>
        <w:tc>
          <w:tcPr>
            <w:tcW w:w="1985" w:type="dxa"/>
            <w:vMerge/>
            <w:shd w:val="clear" w:color="auto" w:fill="auto"/>
            <w:vAlign w:val="center"/>
          </w:tcPr>
          <w:p w14:paraId="7E6C1B4C"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r>
      <w:tr w:rsidR="00344FCE" w:rsidRPr="00344FCE" w14:paraId="1D1C4D90" w14:textId="77777777" w:rsidTr="00563FA0">
        <w:trPr>
          <w:trHeight w:val="20"/>
        </w:trPr>
        <w:tc>
          <w:tcPr>
            <w:tcW w:w="2787" w:type="dxa"/>
            <w:vMerge w:val="restart"/>
            <w:shd w:val="clear" w:color="auto" w:fill="auto"/>
            <w:vAlign w:val="center"/>
          </w:tcPr>
          <w:p w14:paraId="480BD896" w14:textId="4B6BB180"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B.</w:t>
            </w:r>
            <w:r w:rsidR="00D96C25">
              <w:rPr>
                <w:rFonts w:eastAsia="Times New Roman" w:cs="Times New Roman"/>
                <w:kern w:val="0"/>
                <w:sz w:val="22"/>
                <w:szCs w:val="22"/>
                <w:lang w:val="ro-RO"/>
              </w:rPr>
              <w:t>7</w:t>
            </w:r>
            <w:r w:rsidRPr="00344FCE">
              <w:rPr>
                <w:rFonts w:eastAsia="Times New Roman" w:cs="Times New Roman"/>
                <w:kern w:val="0"/>
                <w:sz w:val="22"/>
                <w:szCs w:val="22"/>
                <w:lang w:val="ro-RO"/>
              </w:rPr>
              <w:t xml:space="preserve"> Restaurarea ecologică a lacurilor urbane în scopul valorificării potențialului lor natural și turistic (lacurile Tăbăcărie, Costinești, Belona, Neptun, etc.)</w:t>
            </w:r>
          </w:p>
        </w:tc>
        <w:tc>
          <w:tcPr>
            <w:tcW w:w="1999" w:type="dxa"/>
            <w:vMerge w:val="restart"/>
            <w:shd w:val="clear" w:color="auto" w:fill="auto"/>
            <w:vAlign w:val="center"/>
          </w:tcPr>
          <w:p w14:paraId="0980BE79"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MADR (prin ANPA) și autoritățile locale</w:t>
            </w:r>
          </w:p>
        </w:tc>
        <w:tc>
          <w:tcPr>
            <w:tcW w:w="1559" w:type="dxa"/>
            <w:vMerge w:val="restart"/>
            <w:shd w:val="clear" w:color="auto" w:fill="auto"/>
            <w:vAlign w:val="center"/>
          </w:tcPr>
          <w:p w14:paraId="2B17E27A"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vMerge w:val="restart"/>
            <w:shd w:val="clear" w:color="auto" w:fill="auto"/>
            <w:vAlign w:val="center"/>
          </w:tcPr>
          <w:p w14:paraId="4E5836D7"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Restaurarea ecologică a tuturor lacurilor urbane din zona costieră</w:t>
            </w:r>
          </w:p>
          <w:p w14:paraId="293CABC0"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tc>
        <w:tc>
          <w:tcPr>
            <w:tcW w:w="2409" w:type="dxa"/>
            <w:vMerge w:val="restart"/>
            <w:shd w:val="clear" w:color="auto" w:fill="auto"/>
            <w:vAlign w:val="center"/>
          </w:tcPr>
          <w:p w14:paraId="1795AFD5"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Poluare cu substanțe periculoase</w:t>
            </w:r>
          </w:p>
          <w:p w14:paraId="64873201"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31962FF9"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69BB349A"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Evacuări de substanțe periculoase în mediul acvatic din surse punctiforme</w:t>
            </w:r>
          </w:p>
        </w:tc>
        <w:tc>
          <w:tcPr>
            <w:tcW w:w="1985" w:type="dxa"/>
            <w:vMerge w:val="restart"/>
            <w:shd w:val="clear" w:color="auto" w:fill="auto"/>
            <w:vAlign w:val="center"/>
          </w:tcPr>
          <w:p w14:paraId="4DDDED48"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55E4CE3A"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45C87690"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p w14:paraId="367956F1"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68093337"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43FEB2C0"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2034</w:t>
            </w:r>
          </w:p>
        </w:tc>
      </w:tr>
      <w:tr w:rsidR="00344FCE" w:rsidRPr="00344FCE" w14:paraId="04ACC76B" w14:textId="77777777" w:rsidTr="00563FA0">
        <w:trPr>
          <w:trHeight w:val="20"/>
        </w:trPr>
        <w:tc>
          <w:tcPr>
            <w:tcW w:w="2787" w:type="dxa"/>
            <w:vMerge/>
            <w:shd w:val="clear" w:color="auto" w:fill="auto"/>
            <w:vAlign w:val="center"/>
          </w:tcPr>
          <w:p w14:paraId="61D850AC"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429BBBA3"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6B7A3E4B"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4BB4BA88"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409" w:type="dxa"/>
            <w:vMerge/>
            <w:shd w:val="clear" w:color="auto" w:fill="auto"/>
            <w:vAlign w:val="center"/>
          </w:tcPr>
          <w:p w14:paraId="6F64D3D6"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0A1FB02E"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Valorile modelate ale evacuărilor de substanțe periculoase din surse difuze</w:t>
            </w:r>
          </w:p>
        </w:tc>
        <w:tc>
          <w:tcPr>
            <w:tcW w:w="1985" w:type="dxa"/>
            <w:vMerge/>
            <w:shd w:val="clear" w:color="auto" w:fill="auto"/>
            <w:vAlign w:val="center"/>
          </w:tcPr>
          <w:p w14:paraId="7CB69CDD"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37217ACA" w14:textId="77777777" w:rsidTr="00563FA0">
        <w:trPr>
          <w:trHeight w:val="20"/>
        </w:trPr>
        <w:tc>
          <w:tcPr>
            <w:tcW w:w="2787" w:type="dxa"/>
            <w:vMerge/>
            <w:shd w:val="clear" w:color="auto" w:fill="auto"/>
            <w:vAlign w:val="center"/>
          </w:tcPr>
          <w:p w14:paraId="736B1488"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6DFF9C3D"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0219D3AA"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33D9CBD8"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409" w:type="dxa"/>
            <w:vMerge/>
            <w:shd w:val="clear" w:color="auto" w:fill="auto"/>
            <w:vAlign w:val="center"/>
          </w:tcPr>
          <w:p w14:paraId="456DE1F5"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23823F3C"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Concentrații ale substanțelor periculoase în apele interioare (Dunăre, lacuri)</w:t>
            </w:r>
          </w:p>
        </w:tc>
        <w:tc>
          <w:tcPr>
            <w:tcW w:w="1985" w:type="dxa"/>
            <w:vMerge/>
            <w:shd w:val="clear" w:color="auto" w:fill="auto"/>
            <w:vAlign w:val="center"/>
          </w:tcPr>
          <w:p w14:paraId="56C0A25C"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611C743B" w14:textId="77777777" w:rsidTr="00563FA0">
        <w:trPr>
          <w:trHeight w:val="20"/>
        </w:trPr>
        <w:tc>
          <w:tcPr>
            <w:tcW w:w="2787" w:type="dxa"/>
            <w:vMerge/>
            <w:shd w:val="clear" w:color="auto" w:fill="auto"/>
            <w:vAlign w:val="center"/>
          </w:tcPr>
          <w:p w14:paraId="1A706948"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6583B716"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0913AF39"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5335C438"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409" w:type="dxa"/>
            <w:vMerge/>
            <w:shd w:val="clear" w:color="auto" w:fill="auto"/>
            <w:vAlign w:val="center"/>
          </w:tcPr>
          <w:p w14:paraId="50B5801E"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5E00EEB1"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Concentrații ale substanțelor periculoase în sedimentele din mediul dulcicol</w:t>
            </w:r>
          </w:p>
        </w:tc>
        <w:tc>
          <w:tcPr>
            <w:tcW w:w="1985" w:type="dxa"/>
            <w:vMerge/>
            <w:shd w:val="clear" w:color="auto" w:fill="auto"/>
            <w:vAlign w:val="center"/>
          </w:tcPr>
          <w:p w14:paraId="64D1D670"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2B8BF289" w14:textId="77777777" w:rsidTr="00563FA0">
        <w:trPr>
          <w:trHeight w:val="20"/>
        </w:trPr>
        <w:tc>
          <w:tcPr>
            <w:tcW w:w="2787" w:type="dxa"/>
            <w:vMerge/>
            <w:shd w:val="clear" w:color="auto" w:fill="auto"/>
            <w:vAlign w:val="center"/>
          </w:tcPr>
          <w:p w14:paraId="1BA3EAB4"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7A6FCB1C"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2DCFFB91"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1EF2B009"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val="restart"/>
            <w:shd w:val="clear" w:color="auto" w:fill="auto"/>
            <w:vAlign w:val="center"/>
          </w:tcPr>
          <w:p w14:paraId="5F581240"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Introducerea de nutrienți în mediul acvatic</w:t>
            </w:r>
          </w:p>
          <w:p w14:paraId="50C0F7F1"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15F4B876"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lastRenderedPageBreak/>
              <w:t xml:space="preserve">Cantitate de azot și fosfor introdusă în </w:t>
            </w:r>
            <w:r w:rsidRPr="00344FCE">
              <w:rPr>
                <w:rFonts w:eastAsia="Times New Roman" w:cs="Times New Roman"/>
                <w:kern w:val="0"/>
                <w:sz w:val="22"/>
                <w:szCs w:val="22"/>
                <w:lang w:val="ro-RO"/>
              </w:rPr>
              <w:lastRenderedPageBreak/>
              <w:t>mediul acvatic (ape costiere, tranzitorii și ape interioare) din surse punctiforme</w:t>
            </w:r>
          </w:p>
        </w:tc>
        <w:tc>
          <w:tcPr>
            <w:tcW w:w="1985" w:type="dxa"/>
            <w:vMerge/>
            <w:shd w:val="clear" w:color="auto" w:fill="auto"/>
            <w:vAlign w:val="center"/>
          </w:tcPr>
          <w:p w14:paraId="68554D86"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6A281CF6" w14:textId="77777777" w:rsidTr="00563FA0">
        <w:trPr>
          <w:trHeight w:val="20"/>
        </w:trPr>
        <w:tc>
          <w:tcPr>
            <w:tcW w:w="2787" w:type="dxa"/>
            <w:vMerge/>
            <w:shd w:val="clear" w:color="auto" w:fill="auto"/>
            <w:vAlign w:val="center"/>
          </w:tcPr>
          <w:p w14:paraId="32E437FA"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78445339"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7039B700"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712E8098"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20084254"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77E554C6"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Cantitate de azot și fosfor introdusă în mediul acvatic din surse difuze</w:t>
            </w:r>
          </w:p>
        </w:tc>
        <w:tc>
          <w:tcPr>
            <w:tcW w:w="1985" w:type="dxa"/>
            <w:vMerge/>
            <w:shd w:val="clear" w:color="auto" w:fill="auto"/>
            <w:vAlign w:val="center"/>
          </w:tcPr>
          <w:p w14:paraId="33F21BFA"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17ADF4FE" w14:textId="77777777" w:rsidTr="00563FA0">
        <w:trPr>
          <w:trHeight w:val="20"/>
        </w:trPr>
        <w:tc>
          <w:tcPr>
            <w:tcW w:w="2787" w:type="dxa"/>
            <w:vMerge/>
            <w:shd w:val="clear" w:color="auto" w:fill="auto"/>
            <w:vAlign w:val="center"/>
          </w:tcPr>
          <w:p w14:paraId="1FEBECB9"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38E54981"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4F419A9A"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22D4DD64"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val="restart"/>
            <w:shd w:val="clear" w:color="auto" w:fill="auto"/>
            <w:vAlign w:val="center"/>
          </w:tcPr>
          <w:p w14:paraId="5B3DF7D4"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Eutrofizarea apelor interioare</w:t>
            </w:r>
          </w:p>
        </w:tc>
        <w:tc>
          <w:tcPr>
            <w:tcW w:w="2268" w:type="dxa"/>
            <w:shd w:val="clear" w:color="auto" w:fill="auto"/>
            <w:vAlign w:val="center"/>
          </w:tcPr>
          <w:p w14:paraId="73596A30"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Concentrația nutrienților în apele interioare</w:t>
            </w:r>
          </w:p>
        </w:tc>
        <w:tc>
          <w:tcPr>
            <w:tcW w:w="1985" w:type="dxa"/>
            <w:vMerge/>
            <w:shd w:val="clear" w:color="auto" w:fill="auto"/>
            <w:vAlign w:val="center"/>
          </w:tcPr>
          <w:p w14:paraId="484B9C0A"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4555D200" w14:textId="77777777" w:rsidTr="00563FA0">
        <w:trPr>
          <w:trHeight w:val="20"/>
        </w:trPr>
        <w:tc>
          <w:tcPr>
            <w:tcW w:w="2787" w:type="dxa"/>
            <w:vMerge/>
            <w:shd w:val="clear" w:color="auto" w:fill="auto"/>
            <w:vAlign w:val="center"/>
          </w:tcPr>
          <w:p w14:paraId="079C6116"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15452DEF"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19FFF25C"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0B01604F"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4ED8629B"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5E4BBF14"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Concentrația de materie organică în apele interioare</w:t>
            </w:r>
          </w:p>
        </w:tc>
        <w:tc>
          <w:tcPr>
            <w:tcW w:w="1985" w:type="dxa"/>
            <w:vMerge/>
            <w:shd w:val="clear" w:color="auto" w:fill="auto"/>
            <w:vAlign w:val="center"/>
          </w:tcPr>
          <w:p w14:paraId="1AEE5C40"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0BE05DD0" w14:textId="77777777" w:rsidTr="00563FA0">
        <w:trPr>
          <w:trHeight w:val="20"/>
        </w:trPr>
        <w:tc>
          <w:tcPr>
            <w:tcW w:w="2787" w:type="dxa"/>
            <w:vMerge/>
            <w:shd w:val="clear" w:color="auto" w:fill="auto"/>
            <w:vAlign w:val="center"/>
          </w:tcPr>
          <w:p w14:paraId="0866202C"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50ECE71D"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2B6B270B"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48C58CDD"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5DB9D925"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3DCC38A2"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Conținutul de oxigen dizolvat în apele interioare</w:t>
            </w:r>
          </w:p>
        </w:tc>
        <w:tc>
          <w:tcPr>
            <w:tcW w:w="1985" w:type="dxa"/>
            <w:vMerge/>
            <w:shd w:val="clear" w:color="auto" w:fill="auto"/>
            <w:vAlign w:val="center"/>
          </w:tcPr>
          <w:p w14:paraId="5EA570AC"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450FE43C" w14:textId="77777777" w:rsidTr="00563FA0">
        <w:trPr>
          <w:trHeight w:val="20"/>
        </w:trPr>
        <w:tc>
          <w:tcPr>
            <w:tcW w:w="2787" w:type="dxa"/>
            <w:vMerge/>
            <w:shd w:val="clear" w:color="auto" w:fill="auto"/>
            <w:vAlign w:val="center"/>
          </w:tcPr>
          <w:p w14:paraId="397BBA8C"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5AB0595C"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3A6109B8"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37BEB5E1"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2A545101"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7FB46C26"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Turbiditatea și suspensii totale în apele interioare</w:t>
            </w:r>
          </w:p>
        </w:tc>
        <w:tc>
          <w:tcPr>
            <w:tcW w:w="1985" w:type="dxa"/>
            <w:vMerge/>
            <w:shd w:val="clear" w:color="auto" w:fill="auto"/>
            <w:vAlign w:val="center"/>
          </w:tcPr>
          <w:p w14:paraId="47A5F75F"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5F5D9314" w14:textId="77777777" w:rsidTr="00563FA0">
        <w:trPr>
          <w:trHeight w:val="20"/>
        </w:trPr>
        <w:tc>
          <w:tcPr>
            <w:tcW w:w="2787" w:type="dxa"/>
            <w:vMerge/>
            <w:shd w:val="clear" w:color="auto" w:fill="auto"/>
            <w:vAlign w:val="center"/>
          </w:tcPr>
          <w:p w14:paraId="0DB39AC8"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3E459AFC"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0F579575"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2E0D702A"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shd w:val="clear" w:color="auto" w:fill="auto"/>
            <w:vAlign w:val="center"/>
          </w:tcPr>
          <w:p w14:paraId="5494B9BF"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Cantitatea de deșeuri</w:t>
            </w:r>
          </w:p>
        </w:tc>
        <w:tc>
          <w:tcPr>
            <w:tcW w:w="2268" w:type="dxa"/>
            <w:shd w:val="clear" w:color="auto" w:fill="auto"/>
            <w:vAlign w:val="center"/>
          </w:tcPr>
          <w:p w14:paraId="68A6C0F5"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Suprafața depozitelor ilegale de deșeuri</w:t>
            </w:r>
          </w:p>
        </w:tc>
        <w:tc>
          <w:tcPr>
            <w:tcW w:w="1985" w:type="dxa"/>
            <w:vMerge/>
            <w:shd w:val="clear" w:color="auto" w:fill="auto"/>
            <w:vAlign w:val="center"/>
          </w:tcPr>
          <w:p w14:paraId="60455869"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1C7EBCF5" w14:textId="77777777" w:rsidTr="00563FA0">
        <w:trPr>
          <w:trHeight w:val="20"/>
        </w:trPr>
        <w:tc>
          <w:tcPr>
            <w:tcW w:w="2787" w:type="dxa"/>
            <w:vMerge w:val="restart"/>
            <w:shd w:val="clear" w:color="auto" w:fill="auto"/>
            <w:vAlign w:val="center"/>
          </w:tcPr>
          <w:p w14:paraId="23E0456D" w14:textId="7E13C8B0"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B.</w:t>
            </w:r>
            <w:r w:rsidR="00D96C25">
              <w:rPr>
                <w:rFonts w:eastAsia="Times New Roman" w:cs="Times New Roman"/>
                <w:kern w:val="0"/>
                <w:sz w:val="22"/>
                <w:szCs w:val="22"/>
                <w:lang w:val="ro-RO"/>
              </w:rPr>
              <w:t>8</w:t>
            </w:r>
            <w:r w:rsidRPr="00344FCE">
              <w:rPr>
                <w:rFonts w:eastAsia="Times New Roman" w:cs="Times New Roman"/>
                <w:kern w:val="0"/>
                <w:sz w:val="22"/>
                <w:szCs w:val="22"/>
                <w:lang w:val="ro-RO"/>
              </w:rPr>
              <w:t xml:space="preserve"> Inițierea și implementarea de programe pentru îmbunătățirea infrastructurii de gestionare a deșeurilor</w:t>
            </w:r>
          </w:p>
        </w:tc>
        <w:tc>
          <w:tcPr>
            <w:tcW w:w="1999" w:type="dxa"/>
            <w:vMerge w:val="restart"/>
            <w:shd w:val="clear" w:color="auto" w:fill="auto"/>
            <w:vAlign w:val="center"/>
          </w:tcPr>
          <w:p w14:paraId="6DD4344C"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MMAP, autorități locale</w:t>
            </w:r>
          </w:p>
        </w:tc>
        <w:tc>
          <w:tcPr>
            <w:tcW w:w="1559" w:type="dxa"/>
            <w:vMerge w:val="restart"/>
            <w:shd w:val="clear" w:color="auto" w:fill="auto"/>
            <w:vAlign w:val="center"/>
          </w:tcPr>
          <w:p w14:paraId="00E72F50"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vMerge w:val="restart"/>
            <w:shd w:val="clear" w:color="auto" w:fill="auto"/>
            <w:vAlign w:val="center"/>
          </w:tcPr>
          <w:p w14:paraId="400ED286"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Atingerea gradului de conectare la serviciile de salubrizare de 100 % în zona costieră;</w:t>
            </w:r>
          </w:p>
          <w:p w14:paraId="13AF3CF2" w14:textId="73D923F0"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Reducerea procentului de deșeuri </w:t>
            </w:r>
            <w:r w:rsidR="00291EF6">
              <w:rPr>
                <w:rFonts w:eastAsia="Times New Roman" w:cs="Times New Roman"/>
                <w:kern w:val="0"/>
                <w:sz w:val="22"/>
                <w:szCs w:val="22"/>
                <w:lang w:val="ro-RO"/>
              </w:rPr>
              <w:t xml:space="preserve">eliminate prin </w:t>
            </w:r>
            <w:r w:rsidRPr="00344FCE">
              <w:rPr>
                <w:rFonts w:eastAsia="Times New Roman" w:cs="Times New Roman"/>
                <w:kern w:val="0"/>
                <w:sz w:val="22"/>
                <w:szCs w:val="22"/>
                <w:lang w:val="ro-RO"/>
              </w:rPr>
              <w:t>depozita</w:t>
            </w:r>
            <w:r w:rsidR="00291EF6">
              <w:rPr>
                <w:rFonts w:eastAsia="Times New Roman" w:cs="Times New Roman"/>
                <w:kern w:val="0"/>
                <w:sz w:val="22"/>
                <w:szCs w:val="22"/>
                <w:lang w:val="ro-RO"/>
              </w:rPr>
              <w:t>r</w:t>
            </w:r>
            <w:r w:rsidRPr="00344FCE">
              <w:rPr>
                <w:rFonts w:eastAsia="Times New Roman" w:cs="Times New Roman"/>
                <w:kern w:val="0"/>
                <w:sz w:val="22"/>
                <w:szCs w:val="22"/>
                <w:lang w:val="ro-RO"/>
              </w:rPr>
              <w:t xml:space="preserve">e </w:t>
            </w:r>
          </w:p>
        </w:tc>
        <w:tc>
          <w:tcPr>
            <w:tcW w:w="2409" w:type="dxa"/>
            <w:vMerge w:val="restart"/>
            <w:shd w:val="clear" w:color="auto" w:fill="auto"/>
            <w:vAlign w:val="center"/>
          </w:tcPr>
          <w:p w14:paraId="44C1BBD2"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574F5210"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Cantitatea de deșeuri</w:t>
            </w:r>
          </w:p>
        </w:tc>
        <w:tc>
          <w:tcPr>
            <w:tcW w:w="2268" w:type="dxa"/>
            <w:shd w:val="clear" w:color="auto" w:fill="auto"/>
            <w:vAlign w:val="center"/>
          </w:tcPr>
          <w:p w14:paraId="190C036F"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Suprafața depozitelor ilegale de deșeuri</w:t>
            </w:r>
          </w:p>
        </w:tc>
        <w:tc>
          <w:tcPr>
            <w:tcW w:w="1985" w:type="dxa"/>
            <w:vMerge w:val="restart"/>
            <w:shd w:val="clear" w:color="auto" w:fill="auto"/>
            <w:vAlign w:val="center"/>
          </w:tcPr>
          <w:p w14:paraId="7CEC8812"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192D1713"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71DAE32E"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p w14:paraId="754A4D26"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3E7EAB4F"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2034</w:t>
            </w:r>
          </w:p>
        </w:tc>
      </w:tr>
      <w:tr w:rsidR="00344FCE" w:rsidRPr="00344FCE" w14:paraId="1BE31C5B" w14:textId="77777777" w:rsidTr="00563FA0">
        <w:trPr>
          <w:trHeight w:val="20"/>
        </w:trPr>
        <w:tc>
          <w:tcPr>
            <w:tcW w:w="2787" w:type="dxa"/>
            <w:vMerge/>
            <w:shd w:val="clear" w:color="auto" w:fill="auto"/>
            <w:vAlign w:val="center"/>
          </w:tcPr>
          <w:p w14:paraId="4523D2E1" w14:textId="77777777" w:rsidR="00344FCE" w:rsidRPr="00344FCE" w:rsidRDefault="00344FCE" w:rsidP="00344FCE">
            <w:pPr>
              <w:widowControl w:val="0"/>
              <w:pBdr>
                <w:top w:val="nil"/>
                <w:left w:val="nil"/>
                <w:bottom w:val="nil"/>
                <w:right w:val="nil"/>
                <w:between w:val="nil"/>
              </w:pBdr>
              <w:spacing w:before="0" w:after="0"/>
              <w:ind w:firstLine="0"/>
              <w:jc w:val="center"/>
              <w:rPr>
                <w:rFonts w:eastAsia="Times New Roman" w:cs="Times New Roman"/>
                <w:kern w:val="0"/>
                <w:sz w:val="22"/>
                <w:szCs w:val="22"/>
                <w:lang w:val="ro-RO"/>
              </w:rPr>
            </w:pPr>
          </w:p>
        </w:tc>
        <w:tc>
          <w:tcPr>
            <w:tcW w:w="1999" w:type="dxa"/>
            <w:vMerge/>
            <w:shd w:val="clear" w:color="auto" w:fill="auto"/>
            <w:vAlign w:val="center"/>
          </w:tcPr>
          <w:p w14:paraId="0A5DCD58" w14:textId="77777777" w:rsidR="00344FCE" w:rsidRPr="00344FCE" w:rsidRDefault="00344FCE" w:rsidP="00344FCE">
            <w:pPr>
              <w:widowControl w:val="0"/>
              <w:pBdr>
                <w:top w:val="nil"/>
                <w:left w:val="nil"/>
                <w:bottom w:val="nil"/>
                <w:right w:val="nil"/>
                <w:between w:val="nil"/>
              </w:pBdr>
              <w:spacing w:before="0" w:after="0"/>
              <w:ind w:firstLine="0"/>
              <w:jc w:val="center"/>
              <w:rPr>
                <w:rFonts w:eastAsia="Times New Roman" w:cs="Times New Roman"/>
                <w:kern w:val="0"/>
                <w:sz w:val="22"/>
                <w:szCs w:val="22"/>
                <w:lang w:val="ro-RO"/>
              </w:rPr>
            </w:pPr>
          </w:p>
        </w:tc>
        <w:tc>
          <w:tcPr>
            <w:tcW w:w="1559" w:type="dxa"/>
            <w:vMerge/>
            <w:shd w:val="clear" w:color="auto" w:fill="auto"/>
            <w:vAlign w:val="center"/>
          </w:tcPr>
          <w:p w14:paraId="4B9B6702" w14:textId="77777777" w:rsidR="00344FCE" w:rsidRPr="00344FCE" w:rsidRDefault="00344FCE" w:rsidP="00344FCE">
            <w:pPr>
              <w:widowControl w:val="0"/>
              <w:pBdr>
                <w:top w:val="nil"/>
                <w:left w:val="nil"/>
                <w:bottom w:val="nil"/>
                <w:right w:val="nil"/>
                <w:between w:val="nil"/>
              </w:pBdr>
              <w:spacing w:before="0" w:after="0"/>
              <w:ind w:firstLine="0"/>
              <w:jc w:val="center"/>
              <w:rPr>
                <w:rFonts w:eastAsia="Times New Roman" w:cs="Times New Roman"/>
                <w:kern w:val="0"/>
                <w:sz w:val="22"/>
                <w:szCs w:val="22"/>
                <w:lang w:val="ro-RO"/>
              </w:rPr>
            </w:pPr>
          </w:p>
        </w:tc>
        <w:tc>
          <w:tcPr>
            <w:tcW w:w="2127" w:type="dxa"/>
            <w:vMerge/>
            <w:shd w:val="clear" w:color="auto" w:fill="auto"/>
            <w:vAlign w:val="center"/>
          </w:tcPr>
          <w:p w14:paraId="23CBA0DA" w14:textId="77777777" w:rsidR="00344FCE" w:rsidRPr="00344FCE" w:rsidRDefault="00344FCE" w:rsidP="00563FA0">
            <w:pPr>
              <w:widowControl w:val="0"/>
              <w:pBdr>
                <w:top w:val="nil"/>
                <w:left w:val="nil"/>
                <w:bottom w:val="nil"/>
                <w:right w:val="nil"/>
                <w:between w:val="nil"/>
              </w:pBdr>
              <w:spacing w:before="0"/>
              <w:ind w:firstLine="0"/>
              <w:rPr>
                <w:rFonts w:eastAsia="Times New Roman" w:cs="Times New Roman"/>
                <w:kern w:val="0"/>
                <w:sz w:val="22"/>
                <w:szCs w:val="22"/>
                <w:lang w:val="ro-RO"/>
              </w:rPr>
            </w:pPr>
          </w:p>
        </w:tc>
        <w:tc>
          <w:tcPr>
            <w:tcW w:w="2409" w:type="dxa"/>
            <w:vMerge/>
            <w:shd w:val="clear" w:color="auto" w:fill="auto"/>
            <w:vAlign w:val="center"/>
          </w:tcPr>
          <w:p w14:paraId="55E69EF7"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tcBorders>
              <w:bottom w:val="single" w:sz="4" w:space="0" w:color="000000"/>
            </w:tcBorders>
            <w:shd w:val="clear" w:color="auto" w:fill="auto"/>
            <w:vAlign w:val="center"/>
          </w:tcPr>
          <w:p w14:paraId="0B6D466C" w14:textId="10775204" w:rsidR="00344FCE" w:rsidRPr="00344FCE" w:rsidRDefault="00344FCE" w:rsidP="00563FA0">
            <w:pPr>
              <w:spacing w:before="0" w:after="0" w:line="252"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Volumul de deșeuri trata</w:t>
            </w:r>
            <w:r w:rsidR="00D335D9">
              <w:rPr>
                <w:rFonts w:eastAsia="Times New Roman" w:cs="Times New Roman"/>
                <w:kern w:val="0"/>
                <w:sz w:val="22"/>
                <w:szCs w:val="22"/>
                <w:lang w:val="ro-RO"/>
              </w:rPr>
              <w:t>t</w:t>
            </w:r>
            <w:r w:rsidRPr="00344FCE">
              <w:rPr>
                <w:rFonts w:eastAsia="Times New Roman" w:cs="Times New Roman"/>
                <w:kern w:val="0"/>
                <w:sz w:val="22"/>
                <w:szCs w:val="22"/>
                <w:lang w:val="ro-RO"/>
              </w:rPr>
              <w:t>e și recicla</w:t>
            </w:r>
            <w:r w:rsidR="00D335D9">
              <w:rPr>
                <w:rFonts w:eastAsia="Times New Roman" w:cs="Times New Roman"/>
                <w:kern w:val="0"/>
                <w:sz w:val="22"/>
                <w:szCs w:val="22"/>
                <w:lang w:val="ro-RO"/>
              </w:rPr>
              <w:t>t</w:t>
            </w:r>
            <w:r w:rsidRPr="00344FCE">
              <w:rPr>
                <w:rFonts w:eastAsia="Times New Roman" w:cs="Times New Roman"/>
                <w:kern w:val="0"/>
                <w:sz w:val="22"/>
                <w:szCs w:val="22"/>
                <w:lang w:val="ro-RO"/>
              </w:rPr>
              <w:t>e</w:t>
            </w:r>
          </w:p>
        </w:tc>
        <w:tc>
          <w:tcPr>
            <w:tcW w:w="1985" w:type="dxa"/>
            <w:vMerge/>
            <w:shd w:val="clear" w:color="auto" w:fill="auto"/>
            <w:vAlign w:val="center"/>
          </w:tcPr>
          <w:p w14:paraId="7A3344CB" w14:textId="77777777" w:rsidR="00344FCE" w:rsidRPr="00344FCE" w:rsidRDefault="00344FCE" w:rsidP="00344FCE">
            <w:pPr>
              <w:widowControl w:val="0"/>
              <w:pBdr>
                <w:top w:val="nil"/>
                <w:left w:val="nil"/>
                <w:bottom w:val="nil"/>
                <w:right w:val="nil"/>
                <w:between w:val="nil"/>
              </w:pBdr>
              <w:spacing w:before="0" w:after="0"/>
              <w:ind w:firstLine="0"/>
              <w:jc w:val="center"/>
              <w:rPr>
                <w:rFonts w:eastAsia="Times New Roman" w:cs="Times New Roman"/>
                <w:kern w:val="0"/>
                <w:sz w:val="22"/>
                <w:szCs w:val="22"/>
                <w:lang w:val="ro-RO"/>
              </w:rPr>
            </w:pPr>
          </w:p>
        </w:tc>
      </w:tr>
      <w:tr w:rsidR="00344FCE" w:rsidRPr="00344FCE" w14:paraId="6CFE459D" w14:textId="77777777" w:rsidTr="00563FA0">
        <w:trPr>
          <w:trHeight w:val="20"/>
        </w:trPr>
        <w:tc>
          <w:tcPr>
            <w:tcW w:w="2787" w:type="dxa"/>
            <w:vMerge w:val="restart"/>
            <w:shd w:val="clear" w:color="auto" w:fill="F2F2F2"/>
            <w:vAlign w:val="center"/>
          </w:tcPr>
          <w:p w14:paraId="72C3853B"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C.1 Realizarea și aplicarea de soluții moderne, simple și </w:t>
            </w:r>
            <w:r w:rsidRPr="00344FCE">
              <w:rPr>
                <w:rFonts w:eastAsia="Times New Roman" w:cs="Times New Roman"/>
                <w:kern w:val="0"/>
                <w:sz w:val="22"/>
                <w:szCs w:val="22"/>
                <w:lang w:val="ro-RO"/>
              </w:rPr>
              <w:lastRenderedPageBreak/>
              <w:t>cost-eficiente pentru monitorizarea efectelor hazardelor naturale</w:t>
            </w:r>
          </w:p>
        </w:tc>
        <w:tc>
          <w:tcPr>
            <w:tcW w:w="1999" w:type="dxa"/>
            <w:vMerge w:val="restart"/>
            <w:shd w:val="clear" w:color="auto" w:fill="F2F2F2"/>
            <w:vAlign w:val="center"/>
          </w:tcPr>
          <w:p w14:paraId="51DB0EC9"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lastRenderedPageBreak/>
              <w:t xml:space="preserve">MMAP (ANAR/ABADL, </w:t>
            </w:r>
            <w:r w:rsidRPr="00344FCE">
              <w:rPr>
                <w:rFonts w:eastAsia="Times New Roman" w:cs="Times New Roman"/>
                <w:kern w:val="0"/>
                <w:sz w:val="22"/>
                <w:szCs w:val="22"/>
                <w:lang w:val="ro-RO"/>
              </w:rPr>
              <w:lastRenderedPageBreak/>
              <w:t>ARBDD, ANM, INHGA), MCID (INCD GeoEcoMar, INCDM Grigore Antipa, INCDDD, ME (UB, UOC).</w:t>
            </w:r>
          </w:p>
        </w:tc>
        <w:tc>
          <w:tcPr>
            <w:tcW w:w="1559" w:type="dxa"/>
            <w:vMerge w:val="restart"/>
            <w:shd w:val="clear" w:color="auto" w:fill="F2F2F2"/>
            <w:vAlign w:val="center"/>
          </w:tcPr>
          <w:p w14:paraId="5BD313A7"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lastRenderedPageBreak/>
              <w:t>2030</w:t>
            </w:r>
          </w:p>
        </w:tc>
        <w:tc>
          <w:tcPr>
            <w:tcW w:w="2127" w:type="dxa"/>
            <w:vMerge w:val="restart"/>
            <w:shd w:val="clear" w:color="auto" w:fill="F2F2F2"/>
            <w:vAlign w:val="center"/>
          </w:tcPr>
          <w:p w14:paraId="4BA5D751"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lungimii de coastă protejată contra eroziunii</w:t>
            </w:r>
          </w:p>
          <w:p w14:paraId="34421C9D" w14:textId="77777777" w:rsidR="00344FCE" w:rsidRPr="00344FCE" w:rsidRDefault="00344FCE" w:rsidP="00563FA0">
            <w:pPr>
              <w:spacing w:before="0" w:line="240" w:lineRule="auto"/>
              <w:ind w:firstLine="0"/>
              <w:rPr>
                <w:rFonts w:eastAsia="Times New Roman" w:cs="Times New Roman"/>
                <w:kern w:val="0"/>
                <w:sz w:val="22"/>
                <w:szCs w:val="22"/>
                <w:lang w:val="ro-RO"/>
              </w:rPr>
            </w:pPr>
          </w:p>
        </w:tc>
        <w:tc>
          <w:tcPr>
            <w:tcW w:w="2409" w:type="dxa"/>
            <w:vMerge w:val="restart"/>
            <w:shd w:val="clear" w:color="auto" w:fill="F2F2F2"/>
            <w:vAlign w:val="center"/>
          </w:tcPr>
          <w:p w14:paraId="675072DF"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Eroziune costieră și acumulare</w:t>
            </w:r>
          </w:p>
        </w:tc>
        <w:tc>
          <w:tcPr>
            <w:tcW w:w="2268" w:type="dxa"/>
            <w:shd w:val="clear" w:color="auto" w:fill="F2F2F2"/>
            <w:vAlign w:val="center"/>
          </w:tcPr>
          <w:p w14:paraId="1453CBED"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Lungimea țărmului dinamic</w:t>
            </w:r>
          </w:p>
        </w:tc>
        <w:tc>
          <w:tcPr>
            <w:tcW w:w="1985" w:type="dxa"/>
            <w:vMerge w:val="restart"/>
            <w:shd w:val="clear" w:color="auto" w:fill="F2F2F2"/>
            <w:vAlign w:val="center"/>
          </w:tcPr>
          <w:p w14:paraId="6DC300B0"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344FCE" w:rsidRPr="00344FCE" w14:paraId="41BC869E" w14:textId="77777777" w:rsidTr="00563FA0">
        <w:trPr>
          <w:trHeight w:val="20"/>
        </w:trPr>
        <w:tc>
          <w:tcPr>
            <w:tcW w:w="2787" w:type="dxa"/>
            <w:vMerge/>
            <w:shd w:val="clear" w:color="auto" w:fill="F2F2F2"/>
            <w:vAlign w:val="center"/>
          </w:tcPr>
          <w:p w14:paraId="71C1849B"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F2F2F2"/>
            <w:vAlign w:val="center"/>
          </w:tcPr>
          <w:p w14:paraId="28090FCB"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F2F2F2"/>
            <w:vAlign w:val="center"/>
          </w:tcPr>
          <w:p w14:paraId="7EAF9E5B"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325B116E" w14:textId="77777777" w:rsidR="00344FCE" w:rsidRPr="00344FCE" w:rsidRDefault="00344FCE" w:rsidP="00563FA0">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6AB872EA"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F2F2F2"/>
            <w:vAlign w:val="center"/>
          </w:tcPr>
          <w:p w14:paraId="411D5F90"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Suprafața de uscat pierdută / erodată </w:t>
            </w:r>
            <w:r w:rsidRPr="00344FCE">
              <w:rPr>
                <w:rFonts w:eastAsia="Times New Roman" w:cs="Times New Roman"/>
                <w:i/>
                <w:kern w:val="0"/>
                <w:sz w:val="22"/>
                <w:szCs w:val="22"/>
                <w:lang w:val="ro-RO"/>
              </w:rPr>
              <w:t>per</w:t>
            </w:r>
            <w:r w:rsidRPr="00344FCE">
              <w:rPr>
                <w:rFonts w:eastAsia="Times New Roman" w:cs="Times New Roman"/>
                <w:kern w:val="0"/>
                <w:sz w:val="22"/>
                <w:szCs w:val="22"/>
                <w:lang w:val="ro-RO"/>
              </w:rPr>
              <w:t xml:space="preserve"> an</w:t>
            </w:r>
          </w:p>
        </w:tc>
        <w:tc>
          <w:tcPr>
            <w:tcW w:w="1985" w:type="dxa"/>
            <w:vMerge/>
            <w:shd w:val="clear" w:color="auto" w:fill="F2F2F2"/>
            <w:vAlign w:val="center"/>
          </w:tcPr>
          <w:p w14:paraId="1EE7E803"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5F885088" w14:textId="77777777" w:rsidTr="00563FA0">
        <w:trPr>
          <w:trHeight w:val="20"/>
        </w:trPr>
        <w:tc>
          <w:tcPr>
            <w:tcW w:w="2787" w:type="dxa"/>
            <w:vMerge/>
            <w:shd w:val="clear" w:color="auto" w:fill="F2F2F2"/>
            <w:vAlign w:val="center"/>
          </w:tcPr>
          <w:p w14:paraId="788538D5"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F2F2F2"/>
            <w:vAlign w:val="center"/>
          </w:tcPr>
          <w:p w14:paraId="29E230A0"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F2F2F2"/>
            <w:vAlign w:val="center"/>
          </w:tcPr>
          <w:p w14:paraId="65703DAB"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1DFAB745" w14:textId="77777777" w:rsidR="00344FCE" w:rsidRPr="00344FCE" w:rsidRDefault="00344FCE" w:rsidP="00563FA0">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val="restart"/>
            <w:shd w:val="clear" w:color="auto" w:fill="F2F2F2"/>
            <w:vAlign w:val="center"/>
          </w:tcPr>
          <w:p w14:paraId="365585FE"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nivelului mării și condiții meteo extreme</w:t>
            </w:r>
          </w:p>
        </w:tc>
        <w:tc>
          <w:tcPr>
            <w:tcW w:w="2268"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0A023665"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Numărul de zile cu furtuni puternice</w:t>
            </w:r>
          </w:p>
        </w:tc>
        <w:tc>
          <w:tcPr>
            <w:tcW w:w="1985" w:type="dxa"/>
            <w:vMerge w:val="restart"/>
            <w:shd w:val="clear" w:color="auto" w:fill="F2F2F2"/>
            <w:vAlign w:val="center"/>
          </w:tcPr>
          <w:p w14:paraId="11ED815C"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r>
      <w:tr w:rsidR="00344FCE" w:rsidRPr="00344FCE" w14:paraId="391E33A4" w14:textId="77777777" w:rsidTr="00563FA0">
        <w:trPr>
          <w:trHeight w:val="20"/>
        </w:trPr>
        <w:tc>
          <w:tcPr>
            <w:tcW w:w="2787" w:type="dxa"/>
            <w:vMerge/>
            <w:shd w:val="clear" w:color="auto" w:fill="F2F2F2"/>
            <w:vAlign w:val="center"/>
          </w:tcPr>
          <w:p w14:paraId="0B864E65"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F2F2F2"/>
            <w:vAlign w:val="center"/>
          </w:tcPr>
          <w:p w14:paraId="3A7A3C21"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F2F2F2"/>
            <w:vAlign w:val="center"/>
          </w:tcPr>
          <w:p w14:paraId="7E6183BE"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7E081458" w14:textId="77777777" w:rsidR="00344FCE" w:rsidRPr="00344FCE" w:rsidRDefault="00344FCE" w:rsidP="00563FA0">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17016BC8"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2C909C38"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Nivelul mării</w:t>
            </w:r>
          </w:p>
        </w:tc>
        <w:tc>
          <w:tcPr>
            <w:tcW w:w="1985" w:type="dxa"/>
            <w:vMerge/>
            <w:shd w:val="clear" w:color="auto" w:fill="F2F2F2"/>
            <w:vAlign w:val="center"/>
          </w:tcPr>
          <w:p w14:paraId="42C5CB8A"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1D7E8126" w14:textId="77777777" w:rsidTr="00563FA0">
        <w:trPr>
          <w:trHeight w:val="20"/>
        </w:trPr>
        <w:tc>
          <w:tcPr>
            <w:tcW w:w="2787" w:type="dxa"/>
            <w:vMerge/>
            <w:shd w:val="clear" w:color="auto" w:fill="F2F2F2"/>
            <w:vAlign w:val="center"/>
          </w:tcPr>
          <w:p w14:paraId="56AFF17E"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F2F2F2"/>
            <w:vAlign w:val="center"/>
          </w:tcPr>
          <w:p w14:paraId="36D06396"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F2F2F2"/>
            <w:vAlign w:val="center"/>
          </w:tcPr>
          <w:p w14:paraId="73895226"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762161C7" w14:textId="77777777" w:rsidR="00344FCE" w:rsidRPr="00344FCE" w:rsidRDefault="00344FCE" w:rsidP="00563FA0">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79B117BC"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19E87EA9"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Lungimea coastei protejate</w:t>
            </w:r>
          </w:p>
        </w:tc>
        <w:tc>
          <w:tcPr>
            <w:tcW w:w="1985" w:type="dxa"/>
            <w:vMerge/>
            <w:shd w:val="clear" w:color="auto" w:fill="F2F2F2"/>
            <w:vAlign w:val="center"/>
          </w:tcPr>
          <w:p w14:paraId="074FDA83"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7F21CA8E" w14:textId="77777777" w:rsidTr="00563FA0">
        <w:trPr>
          <w:trHeight w:val="20"/>
        </w:trPr>
        <w:tc>
          <w:tcPr>
            <w:tcW w:w="2787" w:type="dxa"/>
            <w:vMerge w:val="restart"/>
            <w:shd w:val="clear" w:color="auto" w:fill="F2F2F2"/>
            <w:vAlign w:val="center"/>
          </w:tcPr>
          <w:p w14:paraId="192D5311"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C.2 Realizarea unei evaluări detaliate a vulnerabilității zonei de coastă la fenomene extreme, identificarea și analizarea riscurilor potențiale și stabilirea de măsuri prioritare de prevenire, atenuare, adaptare și remediere</w:t>
            </w:r>
          </w:p>
        </w:tc>
        <w:tc>
          <w:tcPr>
            <w:tcW w:w="1999" w:type="dxa"/>
            <w:vMerge w:val="restart"/>
            <w:shd w:val="clear" w:color="auto" w:fill="F2F2F2"/>
            <w:vAlign w:val="center"/>
          </w:tcPr>
          <w:p w14:paraId="7AD878DB"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MM</w:t>
            </w:r>
            <w:r w:rsidR="00BA1C09">
              <w:rPr>
                <w:rFonts w:eastAsia="Times New Roman" w:cs="Times New Roman"/>
                <w:kern w:val="0"/>
                <w:sz w:val="22"/>
                <w:szCs w:val="22"/>
                <w:lang w:val="ro-RO"/>
              </w:rPr>
              <w:t>AP (prin ANAR/ ABADL), MADR, MT</w:t>
            </w:r>
            <w:r w:rsidRPr="00344FCE">
              <w:rPr>
                <w:rFonts w:eastAsia="Times New Roman" w:cs="Times New Roman"/>
                <w:kern w:val="0"/>
                <w:sz w:val="22"/>
                <w:szCs w:val="22"/>
                <w:lang w:val="ro-RO"/>
              </w:rPr>
              <w:t>,  autorități locale.</w:t>
            </w:r>
          </w:p>
        </w:tc>
        <w:tc>
          <w:tcPr>
            <w:tcW w:w="1559" w:type="dxa"/>
            <w:vMerge w:val="restart"/>
            <w:shd w:val="clear" w:color="auto" w:fill="F2F2F2"/>
            <w:vAlign w:val="center"/>
          </w:tcPr>
          <w:p w14:paraId="5DA166EA"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vMerge w:val="restart"/>
            <w:shd w:val="clear" w:color="auto" w:fill="F2F2F2"/>
            <w:vAlign w:val="center"/>
          </w:tcPr>
          <w:p w14:paraId="13F5F481"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Reducerea numărului persoanelor afectate de hazarde naturale în zona costieră</w:t>
            </w:r>
          </w:p>
          <w:p w14:paraId="5DB1B601"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Reducerea pierderilor economice datorate hazardelor naturale în zona costieră</w:t>
            </w:r>
          </w:p>
        </w:tc>
        <w:tc>
          <w:tcPr>
            <w:tcW w:w="2409" w:type="dxa"/>
            <w:vMerge w:val="restart"/>
            <w:shd w:val="clear" w:color="auto" w:fill="F2F2F2"/>
            <w:vAlign w:val="center"/>
          </w:tcPr>
          <w:p w14:paraId="05A02699"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6BF57413"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4272FB75"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Valori naturale, umane și economice aflate în zone de risc</w:t>
            </w:r>
          </w:p>
        </w:tc>
        <w:tc>
          <w:tcPr>
            <w:tcW w:w="2268" w:type="dxa"/>
            <w:shd w:val="clear" w:color="auto" w:fill="F2F2F2"/>
            <w:vAlign w:val="center"/>
          </w:tcPr>
          <w:p w14:paraId="50258966"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Suprafața ariilor protejate aflate în zona de risc</w:t>
            </w:r>
          </w:p>
        </w:tc>
        <w:tc>
          <w:tcPr>
            <w:tcW w:w="1985" w:type="dxa"/>
            <w:vMerge w:val="restart"/>
            <w:shd w:val="clear" w:color="auto" w:fill="F2F2F2"/>
            <w:vAlign w:val="center"/>
          </w:tcPr>
          <w:p w14:paraId="4B14FC59"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344FCE" w:rsidRPr="00344FCE" w14:paraId="54291596" w14:textId="77777777" w:rsidTr="00563FA0">
        <w:trPr>
          <w:trHeight w:val="20"/>
        </w:trPr>
        <w:tc>
          <w:tcPr>
            <w:tcW w:w="2787" w:type="dxa"/>
            <w:vMerge/>
            <w:shd w:val="clear" w:color="auto" w:fill="F2F2F2"/>
            <w:vAlign w:val="center"/>
          </w:tcPr>
          <w:p w14:paraId="4E649CD3"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F2F2F2"/>
            <w:vAlign w:val="center"/>
          </w:tcPr>
          <w:p w14:paraId="04E13295"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F2F2F2"/>
            <w:vAlign w:val="center"/>
          </w:tcPr>
          <w:p w14:paraId="4E5E2F22"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0E42FD40" w14:textId="77777777" w:rsidR="00344FCE" w:rsidRPr="00344FCE" w:rsidRDefault="00344FCE" w:rsidP="00563FA0">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3AFA482F"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F2F2F2"/>
            <w:vAlign w:val="center"/>
          </w:tcPr>
          <w:p w14:paraId="2EAFF4F0"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Valoarea activelor economice aflate în zona de risc</w:t>
            </w:r>
          </w:p>
        </w:tc>
        <w:tc>
          <w:tcPr>
            <w:tcW w:w="1985" w:type="dxa"/>
            <w:vMerge/>
            <w:shd w:val="clear" w:color="auto" w:fill="F2F2F2"/>
            <w:vAlign w:val="center"/>
          </w:tcPr>
          <w:p w14:paraId="2F546811"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0FDB72DA" w14:textId="77777777" w:rsidTr="00563FA0">
        <w:trPr>
          <w:trHeight w:val="20"/>
        </w:trPr>
        <w:tc>
          <w:tcPr>
            <w:tcW w:w="2787" w:type="dxa"/>
            <w:vMerge/>
            <w:shd w:val="clear" w:color="auto" w:fill="F2F2F2"/>
            <w:vAlign w:val="center"/>
          </w:tcPr>
          <w:p w14:paraId="472E0B49"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F2F2F2"/>
            <w:vAlign w:val="center"/>
          </w:tcPr>
          <w:p w14:paraId="4C73C9A8"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F2F2F2"/>
            <w:vAlign w:val="center"/>
          </w:tcPr>
          <w:p w14:paraId="110C1F94"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192439AC" w14:textId="77777777" w:rsidR="00344FCE" w:rsidRPr="00344FCE" w:rsidRDefault="00344FCE" w:rsidP="00563FA0">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1DC54B36"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tcBorders>
              <w:bottom w:val="single" w:sz="4" w:space="0" w:color="000000"/>
            </w:tcBorders>
            <w:shd w:val="clear" w:color="auto" w:fill="F2F2F2"/>
            <w:vAlign w:val="center"/>
          </w:tcPr>
          <w:p w14:paraId="34E31449"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persoane ce locuiesc în zone de risc</w:t>
            </w:r>
          </w:p>
        </w:tc>
        <w:tc>
          <w:tcPr>
            <w:tcW w:w="1985" w:type="dxa"/>
            <w:vMerge/>
            <w:shd w:val="clear" w:color="auto" w:fill="F2F2F2"/>
            <w:vAlign w:val="center"/>
          </w:tcPr>
          <w:p w14:paraId="068DFACE"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74B5A5FB" w14:textId="77777777" w:rsidTr="00563FA0">
        <w:trPr>
          <w:trHeight w:val="20"/>
        </w:trPr>
        <w:tc>
          <w:tcPr>
            <w:tcW w:w="2787" w:type="dxa"/>
            <w:shd w:val="clear" w:color="auto" w:fill="auto"/>
            <w:vAlign w:val="center"/>
          </w:tcPr>
          <w:p w14:paraId="70D1C9A4"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D.1 Consolidarea infrastructurii antreprenoriale locale</w:t>
            </w:r>
          </w:p>
        </w:tc>
        <w:tc>
          <w:tcPr>
            <w:tcW w:w="1999" w:type="dxa"/>
            <w:shd w:val="clear" w:color="auto" w:fill="auto"/>
            <w:vAlign w:val="center"/>
          </w:tcPr>
          <w:p w14:paraId="3B319E7A"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MEAT</w:t>
            </w:r>
          </w:p>
        </w:tc>
        <w:tc>
          <w:tcPr>
            <w:tcW w:w="1559" w:type="dxa"/>
            <w:shd w:val="clear" w:color="auto" w:fill="auto"/>
            <w:vAlign w:val="center"/>
          </w:tcPr>
          <w:p w14:paraId="79997892"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tc>
        <w:tc>
          <w:tcPr>
            <w:tcW w:w="2127" w:type="dxa"/>
            <w:shd w:val="clear" w:color="auto" w:fill="auto"/>
            <w:vAlign w:val="center"/>
          </w:tcPr>
          <w:p w14:paraId="0FB37978"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numărului de proiecte verzi/albastre propuse de antreprenorii locali și care obțin finanțare</w:t>
            </w:r>
          </w:p>
        </w:tc>
        <w:tc>
          <w:tcPr>
            <w:tcW w:w="2409" w:type="dxa"/>
            <w:shd w:val="clear" w:color="auto" w:fill="auto"/>
            <w:vAlign w:val="center"/>
          </w:tcPr>
          <w:p w14:paraId="7347B0F4"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205C81F8"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Economie albastră</w:t>
            </w:r>
          </w:p>
        </w:tc>
        <w:tc>
          <w:tcPr>
            <w:tcW w:w="2268" w:type="dxa"/>
            <w:shd w:val="clear" w:color="auto" w:fill="auto"/>
            <w:vAlign w:val="center"/>
          </w:tcPr>
          <w:p w14:paraId="17F2CE5A"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Numărul persoanelor angajate în sectoarele Economiei Albastre</w:t>
            </w:r>
          </w:p>
          <w:p w14:paraId="58E32291"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Total venituri generate de sectoarele Economiei Albastre</w:t>
            </w:r>
          </w:p>
        </w:tc>
        <w:tc>
          <w:tcPr>
            <w:tcW w:w="1985" w:type="dxa"/>
            <w:shd w:val="clear" w:color="auto" w:fill="auto"/>
            <w:vAlign w:val="center"/>
          </w:tcPr>
          <w:p w14:paraId="1CB206A5"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344FCE" w:rsidRPr="00344FCE" w14:paraId="32899C62" w14:textId="77777777" w:rsidTr="00563FA0">
        <w:trPr>
          <w:trHeight w:val="20"/>
        </w:trPr>
        <w:tc>
          <w:tcPr>
            <w:tcW w:w="2787" w:type="dxa"/>
            <w:vMerge w:val="restart"/>
            <w:shd w:val="clear" w:color="auto" w:fill="auto"/>
            <w:vAlign w:val="center"/>
          </w:tcPr>
          <w:p w14:paraId="77AD774E"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D.2 Program național de stimulare a întreprinderilor care obțin eticheta ecologică pentru activitatea de cazare turistică</w:t>
            </w:r>
          </w:p>
        </w:tc>
        <w:tc>
          <w:tcPr>
            <w:tcW w:w="1999" w:type="dxa"/>
            <w:vMerge w:val="restart"/>
            <w:shd w:val="clear" w:color="auto" w:fill="auto"/>
            <w:vAlign w:val="center"/>
          </w:tcPr>
          <w:p w14:paraId="54C6E58B"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MEAT, MMAP</w:t>
            </w:r>
          </w:p>
        </w:tc>
        <w:tc>
          <w:tcPr>
            <w:tcW w:w="1559" w:type="dxa"/>
            <w:vMerge w:val="restart"/>
            <w:shd w:val="clear" w:color="auto" w:fill="auto"/>
            <w:vAlign w:val="center"/>
          </w:tcPr>
          <w:p w14:paraId="6D60E939"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tc>
        <w:tc>
          <w:tcPr>
            <w:tcW w:w="2127" w:type="dxa"/>
            <w:vMerge w:val="restart"/>
            <w:shd w:val="clear" w:color="auto" w:fill="auto"/>
            <w:vAlign w:val="center"/>
          </w:tcPr>
          <w:p w14:paraId="39E026D8"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numărului de întreprinderi din sectorul turismului din zona costieră care vor obține “Eticheta ecologică în turism“;</w:t>
            </w:r>
          </w:p>
          <w:p w14:paraId="673EFF1D"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Creșterea numărului de sosiri ale turiștilor și a numărului de </w:t>
            </w:r>
            <w:r w:rsidRPr="00344FCE">
              <w:rPr>
                <w:rFonts w:eastAsia="Times New Roman" w:cs="Times New Roman"/>
                <w:kern w:val="0"/>
                <w:sz w:val="22"/>
                <w:szCs w:val="22"/>
                <w:lang w:val="ro-RO"/>
              </w:rPr>
              <w:lastRenderedPageBreak/>
              <w:t>înnoptări ale acestora, respectiv creșterea veniturilor obținute de unitățile de cazare turistică deținătoare ale acestei distincții.</w:t>
            </w:r>
          </w:p>
        </w:tc>
        <w:tc>
          <w:tcPr>
            <w:tcW w:w="2409" w:type="dxa"/>
            <w:vMerge w:val="restart"/>
            <w:shd w:val="clear" w:color="auto" w:fill="auto"/>
            <w:vAlign w:val="center"/>
          </w:tcPr>
          <w:p w14:paraId="76CDE2C9"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53821E66"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41D4FFC1"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23645AA5"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5BF62303"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0CAA1757"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744E11A2"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72077A6C"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Intensitatea turismului</w:t>
            </w:r>
          </w:p>
          <w:p w14:paraId="23F063C4"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58302AA5"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Numărul de sosiri și de înnoptări în structurile de primire turistică având funcțiuni de cazare turistică</w:t>
            </w:r>
          </w:p>
        </w:tc>
        <w:tc>
          <w:tcPr>
            <w:tcW w:w="1985" w:type="dxa"/>
            <w:vMerge w:val="restart"/>
            <w:shd w:val="clear" w:color="auto" w:fill="auto"/>
            <w:vAlign w:val="center"/>
          </w:tcPr>
          <w:p w14:paraId="4AE0F0FB"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344FCE" w:rsidRPr="00344FCE" w14:paraId="2664B81C" w14:textId="77777777" w:rsidTr="00563FA0">
        <w:trPr>
          <w:trHeight w:val="20"/>
        </w:trPr>
        <w:tc>
          <w:tcPr>
            <w:tcW w:w="2787" w:type="dxa"/>
            <w:vMerge/>
            <w:shd w:val="clear" w:color="auto" w:fill="auto"/>
            <w:vAlign w:val="center"/>
          </w:tcPr>
          <w:p w14:paraId="64413537"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34A3621D"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7AF7B1EC"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0B719E34"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20CEE0EC"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3B9781C5"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Capacitatea de cazare turistică în funcțiune pe tipuri de structuri de primire turistică (în locuri-zile)</w:t>
            </w:r>
          </w:p>
        </w:tc>
        <w:tc>
          <w:tcPr>
            <w:tcW w:w="1985" w:type="dxa"/>
            <w:vMerge/>
            <w:shd w:val="clear" w:color="auto" w:fill="auto"/>
            <w:vAlign w:val="center"/>
          </w:tcPr>
          <w:p w14:paraId="3E5A39B5"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2DBB89CD" w14:textId="77777777" w:rsidTr="00563FA0">
        <w:trPr>
          <w:trHeight w:val="20"/>
        </w:trPr>
        <w:tc>
          <w:tcPr>
            <w:tcW w:w="2787" w:type="dxa"/>
            <w:vMerge/>
            <w:shd w:val="clear" w:color="auto" w:fill="auto"/>
            <w:vAlign w:val="center"/>
          </w:tcPr>
          <w:p w14:paraId="00F7DE78"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401E6255"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68AF2E52"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2390E41F"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088C350F"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auto"/>
            <w:vAlign w:val="center"/>
          </w:tcPr>
          <w:p w14:paraId="05DC31FB"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Densitatea presiunii turistice la nivel teritorial (nr. de sosiri ale turiștilor/ km</w:t>
            </w:r>
            <w:r w:rsidRPr="00344FCE">
              <w:rPr>
                <w:rFonts w:eastAsia="Times New Roman" w:cs="Times New Roman"/>
                <w:kern w:val="0"/>
                <w:sz w:val="22"/>
                <w:szCs w:val="22"/>
                <w:vertAlign w:val="superscript"/>
                <w:lang w:val="ro-RO"/>
              </w:rPr>
              <w:t>2</w:t>
            </w:r>
            <w:r w:rsidRPr="00344FCE">
              <w:rPr>
                <w:rFonts w:eastAsia="Times New Roman" w:cs="Times New Roman"/>
                <w:kern w:val="0"/>
                <w:sz w:val="22"/>
                <w:szCs w:val="22"/>
                <w:lang w:val="ro-RO"/>
              </w:rPr>
              <w:t>/an)</w:t>
            </w:r>
          </w:p>
        </w:tc>
        <w:tc>
          <w:tcPr>
            <w:tcW w:w="1985" w:type="dxa"/>
            <w:vMerge/>
            <w:shd w:val="clear" w:color="auto" w:fill="auto"/>
            <w:vAlign w:val="center"/>
          </w:tcPr>
          <w:p w14:paraId="6B762021"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005CA977" w14:textId="77777777" w:rsidTr="00563FA0">
        <w:trPr>
          <w:trHeight w:val="20"/>
        </w:trPr>
        <w:tc>
          <w:tcPr>
            <w:tcW w:w="2787" w:type="dxa"/>
            <w:vMerge/>
            <w:shd w:val="clear" w:color="auto" w:fill="auto"/>
            <w:vAlign w:val="center"/>
          </w:tcPr>
          <w:p w14:paraId="0EA24209"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01CC0E78"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0C53B1BE"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01D67695"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1B8FF136"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auto"/>
            <w:vAlign w:val="center"/>
          </w:tcPr>
          <w:p w14:paraId="7C256CF3"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Durata presiunii turistice (nr. înnoptări/km</w:t>
            </w:r>
            <w:r w:rsidRPr="00344FCE">
              <w:rPr>
                <w:rFonts w:eastAsia="Times New Roman" w:cs="Times New Roman"/>
                <w:kern w:val="0"/>
                <w:sz w:val="22"/>
                <w:szCs w:val="22"/>
                <w:vertAlign w:val="superscript"/>
                <w:lang w:val="ro-RO"/>
              </w:rPr>
              <w:t>2</w:t>
            </w:r>
            <w:r w:rsidRPr="00344FCE">
              <w:rPr>
                <w:rFonts w:eastAsia="Times New Roman" w:cs="Times New Roman"/>
                <w:kern w:val="0"/>
                <w:sz w:val="22"/>
                <w:szCs w:val="22"/>
                <w:lang w:val="ro-RO"/>
              </w:rPr>
              <w:t xml:space="preserve"> /an)</w:t>
            </w:r>
          </w:p>
        </w:tc>
        <w:tc>
          <w:tcPr>
            <w:tcW w:w="1985" w:type="dxa"/>
            <w:vMerge/>
            <w:shd w:val="clear" w:color="auto" w:fill="auto"/>
            <w:vAlign w:val="center"/>
          </w:tcPr>
          <w:p w14:paraId="42D1A967"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6C32C98E" w14:textId="77777777" w:rsidTr="00563FA0">
        <w:trPr>
          <w:trHeight w:val="20"/>
        </w:trPr>
        <w:tc>
          <w:tcPr>
            <w:tcW w:w="2787" w:type="dxa"/>
            <w:vMerge/>
            <w:shd w:val="clear" w:color="auto" w:fill="auto"/>
            <w:vAlign w:val="center"/>
          </w:tcPr>
          <w:p w14:paraId="7DDDF3EC"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46E39FB1"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25723460"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29501002"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7F82DAFD"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auto"/>
            <w:vAlign w:val="center"/>
          </w:tcPr>
          <w:p w14:paraId="5A1819F0"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Presiunea socială generată de turiști (nr. de sosiri ale turiștilor/nr. locuitori din destinație)</w:t>
            </w:r>
          </w:p>
        </w:tc>
        <w:tc>
          <w:tcPr>
            <w:tcW w:w="1985" w:type="dxa"/>
            <w:vMerge/>
            <w:shd w:val="clear" w:color="auto" w:fill="auto"/>
            <w:vAlign w:val="center"/>
          </w:tcPr>
          <w:p w14:paraId="69A7FA1B"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4070B7EF" w14:textId="77777777" w:rsidTr="00563FA0">
        <w:trPr>
          <w:trHeight w:val="20"/>
        </w:trPr>
        <w:tc>
          <w:tcPr>
            <w:tcW w:w="2787" w:type="dxa"/>
            <w:vMerge/>
            <w:shd w:val="clear" w:color="auto" w:fill="auto"/>
            <w:vAlign w:val="center"/>
          </w:tcPr>
          <w:p w14:paraId="736B2E11"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71D32827"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4CB84240"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53D2623F"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shd w:val="clear" w:color="auto" w:fill="auto"/>
            <w:vAlign w:val="center"/>
          </w:tcPr>
          <w:p w14:paraId="490FF24A"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Sustenabilitatea turismului</w:t>
            </w:r>
          </w:p>
        </w:tc>
        <w:tc>
          <w:tcPr>
            <w:tcW w:w="2268" w:type="dxa"/>
            <w:shd w:val="clear" w:color="auto" w:fill="auto"/>
            <w:vAlign w:val="center"/>
          </w:tcPr>
          <w:p w14:paraId="03CECDD7"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Număr de operatori de turism ce dețin eticheta ecologică</w:t>
            </w:r>
          </w:p>
        </w:tc>
        <w:tc>
          <w:tcPr>
            <w:tcW w:w="1985" w:type="dxa"/>
            <w:vMerge/>
            <w:shd w:val="clear" w:color="auto" w:fill="auto"/>
            <w:vAlign w:val="center"/>
          </w:tcPr>
          <w:p w14:paraId="2FBB5320"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48DD4EBA" w14:textId="77777777" w:rsidTr="00563FA0">
        <w:trPr>
          <w:trHeight w:val="20"/>
        </w:trPr>
        <w:tc>
          <w:tcPr>
            <w:tcW w:w="2787" w:type="dxa"/>
            <w:vMerge w:val="restart"/>
            <w:shd w:val="clear" w:color="auto" w:fill="auto"/>
            <w:vAlign w:val="center"/>
          </w:tcPr>
          <w:p w14:paraId="3F4D2657"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D.3 Program de stimulare a operatorilor de plaje și de porturi de agrement care reușesc să obțină distincția Blue Flag</w:t>
            </w:r>
          </w:p>
        </w:tc>
        <w:tc>
          <w:tcPr>
            <w:tcW w:w="1999" w:type="dxa"/>
            <w:vMerge w:val="restart"/>
            <w:shd w:val="clear" w:color="auto" w:fill="auto"/>
            <w:vAlign w:val="center"/>
          </w:tcPr>
          <w:p w14:paraId="0DC49B45"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MEAT, MMAP</w:t>
            </w:r>
          </w:p>
        </w:tc>
        <w:tc>
          <w:tcPr>
            <w:tcW w:w="1559" w:type="dxa"/>
            <w:vMerge w:val="restart"/>
            <w:shd w:val="clear" w:color="auto" w:fill="auto"/>
            <w:vAlign w:val="center"/>
          </w:tcPr>
          <w:p w14:paraId="4A855A5E"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tc>
        <w:tc>
          <w:tcPr>
            <w:tcW w:w="2127" w:type="dxa"/>
            <w:vMerge w:val="restart"/>
            <w:shd w:val="clear" w:color="auto" w:fill="auto"/>
            <w:vAlign w:val="center"/>
          </w:tcPr>
          <w:p w14:paraId="78E899BE"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numărului de întreprinderi din sectorul turismului din zona costieră care vor obține distincția“Blue Flag“;</w:t>
            </w:r>
          </w:p>
          <w:p w14:paraId="0E5F06D0"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Creșterea numărului de turiști și a numărului de înnoptări ale acestora, respectiv creșterea veniturilor obținute de unitățile de cazare turistică unde sunt găzduiți aceștia, precum și a întreprinderilor cu activitate de </w:t>
            </w:r>
            <w:r w:rsidRPr="00344FCE">
              <w:rPr>
                <w:rFonts w:eastAsia="Times New Roman" w:cs="Times New Roman"/>
                <w:kern w:val="0"/>
                <w:sz w:val="22"/>
                <w:szCs w:val="22"/>
                <w:lang w:val="ro-RO"/>
              </w:rPr>
              <w:lastRenderedPageBreak/>
              <w:t>exploatare plaje, respectiv care administrează porturi de agrement, deținătoare ale acestei distincții.</w:t>
            </w:r>
          </w:p>
          <w:p w14:paraId="6E95058B"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Calitate foarte bună a apelor de îmbăiere</w:t>
            </w:r>
          </w:p>
        </w:tc>
        <w:tc>
          <w:tcPr>
            <w:tcW w:w="2409" w:type="dxa"/>
            <w:vMerge w:val="restart"/>
            <w:shd w:val="clear" w:color="auto" w:fill="auto"/>
            <w:vAlign w:val="center"/>
          </w:tcPr>
          <w:p w14:paraId="6602973C"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0C70CED0"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5EBAB842"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3C3BACBF"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Intensitatea turismului</w:t>
            </w:r>
          </w:p>
        </w:tc>
        <w:tc>
          <w:tcPr>
            <w:tcW w:w="2268" w:type="dxa"/>
            <w:shd w:val="clear" w:color="auto" w:fill="auto"/>
            <w:vAlign w:val="center"/>
          </w:tcPr>
          <w:p w14:paraId="585EDD06"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Capacitatea de cazare turistică în funcțiune pe tipuri de structuri de primire turistică (în locuri-zile)</w:t>
            </w:r>
          </w:p>
        </w:tc>
        <w:tc>
          <w:tcPr>
            <w:tcW w:w="1985" w:type="dxa"/>
            <w:vMerge w:val="restart"/>
            <w:shd w:val="clear" w:color="auto" w:fill="auto"/>
            <w:vAlign w:val="center"/>
          </w:tcPr>
          <w:p w14:paraId="4A520D84"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344FCE" w:rsidRPr="00344FCE" w14:paraId="5F9B410C" w14:textId="77777777" w:rsidTr="00563FA0">
        <w:trPr>
          <w:trHeight w:val="20"/>
        </w:trPr>
        <w:tc>
          <w:tcPr>
            <w:tcW w:w="2787" w:type="dxa"/>
            <w:vMerge/>
            <w:shd w:val="clear" w:color="auto" w:fill="auto"/>
            <w:vAlign w:val="center"/>
          </w:tcPr>
          <w:p w14:paraId="6D22243D"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51D51CDD"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77C128EB"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484BA905"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409" w:type="dxa"/>
            <w:vMerge/>
            <w:shd w:val="clear" w:color="auto" w:fill="auto"/>
            <w:vAlign w:val="center"/>
          </w:tcPr>
          <w:p w14:paraId="19A00327"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2AA5BCF2"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Densitatea presiunii turistice la nivel teritorial (nr. de sosiri ale turiștilor/ km</w:t>
            </w:r>
            <w:r w:rsidRPr="00344FCE">
              <w:rPr>
                <w:rFonts w:eastAsia="Times New Roman" w:cs="Times New Roman"/>
                <w:kern w:val="0"/>
                <w:sz w:val="22"/>
                <w:szCs w:val="22"/>
                <w:vertAlign w:val="superscript"/>
                <w:lang w:val="ro-RO"/>
              </w:rPr>
              <w:t>2</w:t>
            </w:r>
            <w:r w:rsidRPr="00344FCE">
              <w:rPr>
                <w:rFonts w:eastAsia="Times New Roman" w:cs="Times New Roman"/>
                <w:kern w:val="0"/>
                <w:sz w:val="22"/>
                <w:szCs w:val="22"/>
                <w:lang w:val="ro-RO"/>
              </w:rPr>
              <w:t>/an)</w:t>
            </w:r>
          </w:p>
        </w:tc>
        <w:tc>
          <w:tcPr>
            <w:tcW w:w="1985" w:type="dxa"/>
            <w:vMerge/>
            <w:shd w:val="clear" w:color="auto" w:fill="auto"/>
            <w:vAlign w:val="center"/>
          </w:tcPr>
          <w:p w14:paraId="334E5839"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5854A8BE" w14:textId="77777777" w:rsidTr="00563FA0">
        <w:trPr>
          <w:trHeight w:val="20"/>
        </w:trPr>
        <w:tc>
          <w:tcPr>
            <w:tcW w:w="2787" w:type="dxa"/>
            <w:vMerge/>
            <w:shd w:val="clear" w:color="auto" w:fill="auto"/>
            <w:vAlign w:val="center"/>
          </w:tcPr>
          <w:p w14:paraId="621B47FE"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4BA5C4EC"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31806FEC"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27527093"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409" w:type="dxa"/>
            <w:vMerge/>
            <w:shd w:val="clear" w:color="auto" w:fill="auto"/>
            <w:vAlign w:val="center"/>
          </w:tcPr>
          <w:p w14:paraId="20B587F4"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6F2D593B"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Durata presiunii turistice (nr. înnoptări/km</w:t>
            </w:r>
            <w:r w:rsidRPr="00344FCE">
              <w:rPr>
                <w:rFonts w:eastAsia="Times New Roman" w:cs="Times New Roman"/>
                <w:kern w:val="0"/>
                <w:sz w:val="22"/>
                <w:szCs w:val="22"/>
                <w:vertAlign w:val="superscript"/>
                <w:lang w:val="ro-RO"/>
              </w:rPr>
              <w:t>2</w:t>
            </w:r>
            <w:r w:rsidRPr="00344FCE">
              <w:rPr>
                <w:rFonts w:eastAsia="Times New Roman" w:cs="Times New Roman"/>
                <w:kern w:val="0"/>
                <w:sz w:val="22"/>
                <w:szCs w:val="22"/>
                <w:lang w:val="ro-RO"/>
              </w:rPr>
              <w:t xml:space="preserve"> /an)</w:t>
            </w:r>
          </w:p>
        </w:tc>
        <w:tc>
          <w:tcPr>
            <w:tcW w:w="1985" w:type="dxa"/>
            <w:vMerge/>
            <w:shd w:val="clear" w:color="auto" w:fill="auto"/>
            <w:vAlign w:val="center"/>
          </w:tcPr>
          <w:p w14:paraId="39C5121D"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28930DC5" w14:textId="77777777" w:rsidTr="00563FA0">
        <w:trPr>
          <w:trHeight w:val="20"/>
        </w:trPr>
        <w:tc>
          <w:tcPr>
            <w:tcW w:w="2787" w:type="dxa"/>
            <w:vMerge/>
            <w:shd w:val="clear" w:color="auto" w:fill="auto"/>
            <w:vAlign w:val="center"/>
          </w:tcPr>
          <w:p w14:paraId="42DA626E"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4EFEF4E5"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2605D45A"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48B04E65"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409" w:type="dxa"/>
            <w:vMerge/>
            <w:shd w:val="clear" w:color="auto" w:fill="auto"/>
            <w:vAlign w:val="center"/>
          </w:tcPr>
          <w:p w14:paraId="2EBC6065"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0BCAC528"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Presiunea socială generată de turiști (nr. de sosiri ale turiștilor/nr. locuitori din destinație)</w:t>
            </w:r>
          </w:p>
        </w:tc>
        <w:tc>
          <w:tcPr>
            <w:tcW w:w="1985" w:type="dxa"/>
            <w:vMerge/>
            <w:shd w:val="clear" w:color="auto" w:fill="auto"/>
            <w:vAlign w:val="center"/>
          </w:tcPr>
          <w:p w14:paraId="7CFA476D"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6F6820A0" w14:textId="77777777" w:rsidTr="00563FA0">
        <w:trPr>
          <w:trHeight w:val="20"/>
        </w:trPr>
        <w:tc>
          <w:tcPr>
            <w:tcW w:w="2787" w:type="dxa"/>
            <w:vMerge/>
            <w:shd w:val="clear" w:color="auto" w:fill="auto"/>
            <w:vAlign w:val="center"/>
          </w:tcPr>
          <w:p w14:paraId="2C840B12"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60A97679"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6032DDFE"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1A7B318B"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409" w:type="dxa"/>
            <w:shd w:val="clear" w:color="auto" w:fill="auto"/>
            <w:vAlign w:val="center"/>
          </w:tcPr>
          <w:p w14:paraId="032853ED"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Sustenabilitatea turismului</w:t>
            </w:r>
          </w:p>
        </w:tc>
        <w:tc>
          <w:tcPr>
            <w:tcW w:w="2268" w:type="dxa"/>
            <w:shd w:val="clear" w:color="auto" w:fill="auto"/>
            <w:vAlign w:val="center"/>
          </w:tcPr>
          <w:p w14:paraId="3D2867F1"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Număr de plaje și porturi de agrement ce </w:t>
            </w:r>
            <w:r w:rsidRPr="00344FCE">
              <w:rPr>
                <w:rFonts w:eastAsia="Times New Roman" w:cs="Times New Roman"/>
                <w:kern w:val="0"/>
                <w:sz w:val="22"/>
                <w:szCs w:val="22"/>
                <w:lang w:val="ro-RO"/>
              </w:rPr>
              <w:lastRenderedPageBreak/>
              <w:t>dețin distincția Blue Flag</w:t>
            </w:r>
          </w:p>
        </w:tc>
        <w:tc>
          <w:tcPr>
            <w:tcW w:w="1985" w:type="dxa"/>
            <w:vMerge/>
            <w:shd w:val="clear" w:color="auto" w:fill="auto"/>
            <w:vAlign w:val="center"/>
          </w:tcPr>
          <w:p w14:paraId="52284EE9"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5BB9A7D4" w14:textId="77777777" w:rsidTr="00563FA0">
        <w:trPr>
          <w:trHeight w:val="20"/>
        </w:trPr>
        <w:tc>
          <w:tcPr>
            <w:tcW w:w="2787" w:type="dxa"/>
            <w:vMerge/>
            <w:shd w:val="clear" w:color="auto" w:fill="auto"/>
            <w:vAlign w:val="center"/>
          </w:tcPr>
          <w:p w14:paraId="08B88E1E"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2B30CF45"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0A8C50A7"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43FECE31"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409" w:type="dxa"/>
            <w:shd w:val="clear" w:color="auto" w:fill="auto"/>
            <w:vAlign w:val="center"/>
          </w:tcPr>
          <w:p w14:paraId="2138F822"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Calitatea apelor de îmbăiere</w:t>
            </w:r>
          </w:p>
        </w:tc>
        <w:tc>
          <w:tcPr>
            <w:tcW w:w="2268" w:type="dxa"/>
            <w:shd w:val="clear" w:color="auto" w:fill="auto"/>
            <w:vAlign w:val="center"/>
          </w:tcPr>
          <w:p w14:paraId="2193EB06"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Numărul de plaje cu stare excelentă conform Directivei Ape de Îmbăiere</w:t>
            </w:r>
          </w:p>
        </w:tc>
        <w:tc>
          <w:tcPr>
            <w:tcW w:w="1985" w:type="dxa"/>
            <w:vMerge/>
            <w:shd w:val="clear" w:color="auto" w:fill="auto"/>
            <w:vAlign w:val="center"/>
          </w:tcPr>
          <w:p w14:paraId="42AC0146"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323AB782" w14:textId="77777777" w:rsidTr="00563FA0">
        <w:trPr>
          <w:trHeight w:val="20"/>
        </w:trPr>
        <w:tc>
          <w:tcPr>
            <w:tcW w:w="2787" w:type="dxa"/>
            <w:vMerge w:val="restart"/>
            <w:shd w:val="clear" w:color="auto" w:fill="auto"/>
            <w:vAlign w:val="center"/>
          </w:tcPr>
          <w:p w14:paraId="7C686234" w14:textId="77777777" w:rsidR="00344FCE" w:rsidRPr="00344FCE" w:rsidRDefault="00344FCE" w:rsidP="00563FA0">
            <w:pPr>
              <w:spacing w:before="0" w:after="0" w:line="240" w:lineRule="auto"/>
              <w:ind w:firstLine="0"/>
              <w:rPr>
                <w:rFonts w:eastAsia="Times New Roman" w:cs="Times New Roman"/>
                <w:kern w:val="0"/>
                <w:sz w:val="20"/>
                <w:szCs w:val="20"/>
                <w:lang w:val="ro-RO"/>
              </w:rPr>
            </w:pPr>
            <w:r w:rsidRPr="00344FCE">
              <w:rPr>
                <w:rFonts w:eastAsia="Times New Roman" w:cs="Times New Roman"/>
                <w:kern w:val="0"/>
                <w:sz w:val="22"/>
                <w:szCs w:val="22"/>
                <w:lang w:val="ro-RO"/>
              </w:rPr>
              <w:t>D.4 Inițierea și implementarea unui program de dezvoltare a turismului subacvatic</w:t>
            </w:r>
          </w:p>
        </w:tc>
        <w:tc>
          <w:tcPr>
            <w:tcW w:w="1999" w:type="dxa"/>
            <w:vMerge w:val="restart"/>
            <w:shd w:val="clear" w:color="auto" w:fill="auto"/>
            <w:vAlign w:val="center"/>
          </w:tcPr>
          <w:p w14:paraId="4B8C5E33" w14:textId="7631936F"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MC, MCID (INCD GeoEcoMar), MApN (Centrul de scafandri)</w:t>
            </w:r>
          </w:p>
        </w:tc>
        <w:tc>
          <w:tcPr>
            <w:tcW w:w="1559" w:type="dxa"/>
            <w:vMerge w:val="restart"/>
            <w:shd w:val="clear" w:color="auto" w:fill="auto"/>
            <w:vAlign w:val="center"/>
          </w:tcPr>
          <w:p w14:paraId="6306A75D"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tc>
        <w:tc>
          <w:tcPr>
            <w:tcW w:w="2127" w:type="dxa"/>
            <w:vMerge w:val="restart"/>
            <w:shd w:val="clear" w:color="auto" w:fill="auto"/>
            <w:vAlign w:val="center"/>
          </w:tcPr>
          <w:p w14:paraId="114F76A7" w14:textId="77777777" w:rsidR="00344FCE" w:rsidRPr="00344FCE" w:rsidRDefault="00344FCE" w:rsidP="00563FA0">
            <w:pPr>
              <w:spacing w:before="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Creșterea numărului de operatori turistici ce oferă servicii de turism subacvatic</w:t>
            </w:r>
          </w:p>
          <w:p w14:paraId="30878C4E" w14:textId="77777777" w:rsidR="00344FCE" w:rsidRPr="00344FCE" w:rsidRDefault="00344FCE" w:rsidP="00563FA0">
            <w:pPr>
              <w:spacing w:before="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Creșterea veniturilor generate de activitatea de turism subacvatic</w:t>
            </w:r>
          </w:p>
          <w:p w14:paraId="5B1E698C" w14:textId="77777777" w:rsidR="00344FCE" w:rsidRPr="00344FCE" w:rsidRDefault="00344FCE" w:rsidP="00563FA0">
            <w:pPr>
              <w:spacing w:before="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Creșterea numărului de locuri de muncă generate de activitatea de turism subacvatic</w:t>
            </w:r>
          </w:p>
          <w:p w14:paraId="38C3F833" w14:textId="77777777" w:rsidR="00344FCE" w:rsidRPr="00344FCE" w:rsidRDefault="00344FCE" w:rsidP="00563FA0">
            <w:pPr>
              <w:spacing w:before="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Creșterea numărului de situri și obiecte subacvatice inventariate și protejate</w:t>
            </w:r>
          </w:p>
        </w:tc>
        <w:tc>
          <w:tcPr>
            <w:tcW w:w="2409" w:type="dxa"/>
            <w:vMerge w:val="restart"/>
            <w:shd w:val="clear" w:color="auto" w:fill="auto"/>
            <w:vAlign w:val="center"/>
          </w:tcPr>
          <w:p w14:paraId="51159C49"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Economie verde / albastră</w:t>
            </w:r>
          </w:p>
          <w:p w14:paraId="45197B9B"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7DA7B00A"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tc>
        <w:tc>
          <w:tcPr>
            <w:tcW w:w="2268"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14:paraId="25195B75"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Numărul persoanelor angajate în sectoarele Economiei Albastre - turism subacvatic</w:t>
            </w:r>
          </w:p>
        </w:tc>
        <w:tc>
          <w:tcPr>
            <w:tcW w:w="1985" w:type="dxa"/>
            <w:vMerge w:val="restart"/>
            <w:shd w:val="clear" w:color="auto" w:fill="auto"/>
            <w:vAlign w:val="center"/>
          </w:tcPr>
          <w:p w14:paraId="58D659AA"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344FCE" w:rsidRPr="00344FCE" w14:paraId="1797867E" w14:textId="77777777" w:rsidTr="00563FA0">
        <w:trPr>
          <w:trHeight w:val="20"/>
        </w:trPr>
        <w:tc>
          <w:tcPr>
            <w:tcW w:w="2787" w:type="dxa"/>
            <w:vMerge/>
            <w:shd w:val="clear" w:color="auto" w:fill="auto"/>
            <w:vAlign w:val="center"/>
          </w:tcPr>
          <w:p w14:paraId="119ECD85"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143F323F"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577766F0"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1AB4ED0A" w14:textId="77777777" w:rsidR="00344FCE" w:rsidRPr="00344FCE" w:rsidRDefault="00344FCE" w:rsidP="00563FA0">
            <w:pPr>
              <w:spacing w:before="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29F66908"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tc>
        <w:tc>
          <w:tcPr>
            <w:tcW w:w="2268"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center"/>
          </w:tcPr>
          <w:p w14:paraId="6D282DEC"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Total venituri generate de sectoarele Economiei Albastre - turism subacvatic</w:t>
            </w:r>
          </w:p>
        </w:tc>
        <w:tc>
          <w:tcPr>
            <w:tcW w:w="1985" w:type="dxa"/>
            <w:vMerge/>
            <w:shd w:val="clear" w:color="auto" w:fill="auto"/>
            <w:vAlign w:val="center"/>
          </w:tcPr>
          <w:p w14:paraId="3976A4A8"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r>
      <w:tr w:rsidR="00344FCE" w:rsidRPr="00344FCE" w14:paraId="24E2380A" w14:textId="77777777" w:rsidTr="00563FA0">
        <w:trPr>
          <w:trHeight w:val="20"/>
        </w:trPr>
        <w:tc>
          <w:tcPr>
            <w:tcW w:w="2787" w:type="dxa"/>
            <w:vMerge/>
            <w:shd w:val="clear" w:color="auto" w:fill="auto"/>
            <w:vAlign w:val="center"/>
          </w:tcPr>
          <w:p w14:paraId="2B0F51DD"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05C446B5"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55D942CD"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0AE4A365" w14:textId="77777777" w:rsidR="00344FCE" w:rsidRPr="00344FCE" w:rsidRDefault="00344FCE" w:rsidP="00563FA0">
            <w:pPr>
              <w:spacing w:before="0" w:line="240" w:lineRule="auto"/>
              <w:ind w:firstLine="0"/>
              <w:jc w:val="center"/>
              <w:rPr>
                <w:rFonts w:eastAsia="Times New Roman" w:cs="Times New Roman"/>
                <w:kern w:val="0"/>
                <w:sz w:val="22"/>
                <w:szCs w:val="22"/>
                <w:lang w:val="ro-RO"/>
              </w:rPr>
            </w:pPr>
          </w:p>
        </w:tc>
        <w:tc>
          <w:tcPr>
            <w:tcW w:w="2409" w:type="dxa"/>
            <w:shd w:val="clear" w:color="auto" w:fill="auto"/>
            <w:vAlign w:val="center"/>
          </w:tcPr>
          <w:p w14:paraId="005D02E8" w14:textId="77777777" w:rsidR="00344FCE" w:rsidRPr="00344FCE" w:rsidRDefault="00344FCE" w:rsidP="00563FA0">
            <w:pPr>
              <w:spacing w:before="0" w:after="0" w:line="240" w:lineRule="auto"/>
              <w:ind w:firstLine="0"/>
              <w:rPr>
                <w:rFonts w:eastAsia="Times New Roman" w:cs="Times New Roman"/>
                <w:kern w:val="0"/>
                <w:sz w:val="20"/>
                <w:szCs w:val="20"/>
                <w:lang w:val="ro-RO"/>
              </w:rPr>
            </w:pPr>
            <w:r w:rsidRPr="00344FCE">
              <w:rPr>
                <w:rFonts w:eastAsia="Times New Roman" w:cs="Times New Roman"/>
                <w:kern w:val="0"/>
                <w:sz w:val="22"/>
                <w:szCs w:val="22"/>
                <w:lang w:val="ro-RO"/>
              </w:rPr>
              <w:t>Protejarea patrimoniului cultural</w:t>
            </w:r>
          </w:p>
        </w:tc>
        <w:tc>
          <w:tcPr>
            <w:tcW w:w="2268" w:type="dxa"/>
            <w:shd w:val="clear" w:color="auto" w:fill="auto"/>
            <w:vAlign w:val="center"/>
          </w:tcPr>
          <w:p w14:paraId="0B452E04"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situri subacvatice inventariate</w:t>
            </w:r>
          </w:p>
        </w:tc>
        <w:tc>
          <w:tcPr>
            <w:tcW w:w="1985" w:type="dxa"/>
            <w:vMerge/>
            <w:shd w:val="clear" w:color="auto" w:fill="auto"/>
            <w:vAlign w:val="center"/>
          </w:tcPr>
          <w:p w14:paraId="7802F79D"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r>
      <w:tr w:rsidR="00344FCE" w:rsidRPr="00344FCE" w14:paraId="2DD2ADA7" w14:textId="77777777" w:rsidTr="00563FA0">
        <w:trPr>
          <w:trHeight w:val="20"/>
        </w:trPr>
        <w:tc>
          <w:tcPr>
            <w:tcW w:w="2787" w:type="dxa"/>
            <w:vMerge w:val="restart"/>
            <w:shd w:val="clear" w:color="auto" w:fill="auto"/>
            <w:vAlign w:val="center"/>
          </w:tcPr>
          <w:p w14:paraId="158CA57C"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D.5 Identificarea măsurilor pentru reabilitarea stocurilor de pești cu valoare comercială, încurajarea și susținerea implementării </w:t>
            </w:r>
            <w:r w:rsidRPr="00344FCE">
              <w:rPr>
                <w:rFonts w:eastAsia="Times New Roman" w:cs="Times New Roman"/>
                <w:kern w:val="0"/>
                <w:sz w:val="22"/>
                <w:szCs w:val="22"/>
                <w:lang w:val="ro-RO"/>
              </w:rPr>
              <w:lastRenderedPageBreak/>
              <w:t>procedurilor/tehnicilor și tehnologiilor de pescuit sustenabil prin acordarea de stimulente</w:t>
            </w:r>
          </w:p>
        </w:tc>
        <w:tc>
          <w:tcPr>
            <w:tcW w:w="1999" w:type="dxa"/>
            <w:vMerge w:val="restart"/>
            <w:shd w:val="clear" w:color="auto" w:fill="auto"/>
            <w:vAlign w:val="center"/>
          </w:tcPr>
          <w:p w14:paraId="4FB55552"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lastRenderedPageBreak/>
              <w:t xml:space="preserve">MADR (prin ANPA), MMAP (prin ARBDD, ANANP), MCID </w:t>
            </w:r>
            <w:r w:rsidRPr="00344FCE">
              <w:rPr>
                <w:rFonts w:eastAsia="Times New Roman" w:cs="Times New Roman"/>
                <w:kern w:val="0"/>
                <w:sz w:val="22"/>
                <w:szCs w:val="22"/>
                <w:lang w:val="ro-RO"/>
              </w:rPr>
              <w:lastRenderedPageBreak/>
              <w:t>(INCDM Grigore Antipa, INCDDD)</w:t>
            </w:r>
          </w:p>
        </w:tc>
        <w:tc>
          <w:tcPr>
            <w:tcW w:w="1559" w:type="dxa"/>
            <w:vMerge w:val="restart"/>
            <w:shd w:val="clear" w:color="auto" w:fill="auto"/>
            <w:vAlign w:val="center"/>
          </w:tcPr>
          <w:p w14:paraId="7A970B5E"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lastRenderedPageBreak/>
              <w:t>2030</w:t>
            </w:r>
          </w:p>
        </w:tc>
        <w:tc>
          <w:tcPr>
            <w:tcW w:w="2127" w:type="dxa"/>
            <w:vMerge w:val="restart"/>
            <w:shd w:val="clear" w:color="auto" w:fill="auto"/>
            <w:vAlign w:val="center"/>
          </w:tcPr>
          <w:p w14:paraId="0F9C1A86" w14:textId="77777777" w:rsidR="00344FCE" w:rsidRPr="00344FCE" w:rsidRDefault="00344FCE" w:rsidP="00563FA0">
            <w:pPr>
              <w:spacing w:before="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 xml:space="preserve">Creșterea suprafeței zonelor reabilitate ecologic pentru reproducere și creștere a stadiilor </w:t>
            </w:r>
            <w:r w:rsidRPr="00344FCE">
              <w:rPr>
                <w:rFonts w:eastAsia="Times New Roman" w:cs="Times New Roman"/>
                <w:kern w:val="0"/>
                <w:sz w:val="22"/>
                <w:szCs w:val="22"/>
                <w:lang w:val="ro-RO"/>
              </w:rPr>
              <w:lastRenderedPageBreak/>
              <w:t>timpurii, pentru refacerea stocurilor și rutelor de migraţie a peştilor;</w:t>
            </w:r>
          </w:p>
          <w:p w14:paraId="72B24671" w14:textId="77777777" w:rsidR="00344FCE" w:rsidRPr="00344FCE" w:rsidRDefault="00344FCE" w:rsidP="00563FA0">
            <w:pPr>
              <w:spacing w:before="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Realizarea de baze de reproducere (fixe sau volante) pentru specii de peşti tradiţional valoroase, care să asigure producerea de material biologic pentru popularea apelor naturale crescătoriilor (icre embrionate, larve, puiet);</w:t>
            </w:r>
          </w:p>
        </w:tc>
        <w:tc>
          <w:tcPr>
            <w:tcW w:w="2409" w:type="dxa"/>
            <w:shd w:val="clear" w:color="auto" w:fill="auto"/>
            <w:vAlign w:val="center"/>
          </w:tcPr>
          <w:p w14:paraId="3C454CFF"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lastRenderedPageBreak/>
              <w:t>Sustenabilitatea pescuitului</w:t>
            </w:r>
          </w:p>
        </w:tc>
        <w:tc>
          <w:tcPr>
            <w:tcW w:w="2268" w:type="dxa"/>
            <w:shd w:val="clear" w:color="auto" w:fill="auto"/>
            <w:vAlign w:val="center"/>
          </w:tcPr>
          <w:p w14:paraId="49A79480"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Numărul de unelte de pescuit prietenoase cu mediul</w:t>
            </w:r>
          </w:p>
        </w:tc>
        <w:tc>
          <w:tcPr>
            <w:tcW w:w="1985" w:type="dxa"/>
            <w:vMerge w:val="restart"/>
            <w:shd w:val="clear" w:color="auto" w:fill="auto"/>
            <w:vAlign w:val="center"/>
          </w:tcPr>
          <w:p w14:paraId="3CF8BF60"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344FCE" w:rsidRPr="00344FCE" w14:paraId="596194E9" w14:textId="77777777" w:rsidTr="00563FA0">
        <w:trPr>
          <w:trHeight w:val="20"/>
        </w:trPr>
        <w:tc>
          <w:tcPr>
            <w:tcW w:w="2787" w:type="dxa"/>
            <w:vMerge/>
            <w:shd w:val="clear" w:color="auto" w:fill="auto"/>
            <w:vAlign w:val="center"/>
          </w:tcPr>
          <w:p w14:paraId="065CA91A"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2BCFFE39"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655897E3"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12C7CEBD" w14:textId="77777777" w:rsidR="00344FCE" w:rsidRPr="00344FCE" w:rsidRDefault="00344FCE" w:rsidP="00563FA0">
            <w:pPr>
              <w:widowControl w:val="0"/>
              <w:pBdr>
                <w:top w:val="nil"/>
                <w:left w:val="nil"/>
                <w:bottom w:val="nil"/>
                <w:right w:val="nil"/>
                <w:between w:val="nil"/>
              </w:pBdr>
              <w:spacing w:before="0" w:line="240" w:lineRule="auto"/>
              <w:ind w:firstLine="0"/>
              <w:jc w:val="center"/>
              <w:rPr>
                <w:rFonts w:eastAsia="Times New Roman" w:cs="Times New Roman"/>
                <w:kern w:val="0"/>
                <w:sz w:val="22"/>
                <w:szCs w:val="22"/>
                <w:lang w:val="ro-RO"/>
              </w:rPr>
            </w:pPr>
          </w:p>
        </w:tc>
        <w:tc>
          <w:tcPr>
            <w:tcW w:w="2409" w:type="dxa"/>
            <w:vMerge w:val="restart"/>
            <w:shd w:val="clear" w:color="auto" w:fill="auto"/>
            <w:vAlign w:val="center"/>
          </w:tcPr>
          <w:p w14:paraId="1652D206"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Stocuri de resurse acvatice vii (pești, </w:t>
            </w:r>
            <w:r w:rsidRPr="00344FCE">
              <w:rPr>
                <w:rFonts w:eastAsia="Times New Roman" w:cs="Times New Roman"/>
                <w:kern w:val="0"/>
                <w:sz w:val="22"/>
                <w:szCs w:val="22"/>
                <w:lang w:val="ro-RO"/>
              </w:rPr>
              <w:lastRenderedPageBreak/>
              <w:t>moluște, crustacee) și debarcări/totalul capturilor de pești în lacuri litorale și mare</w:t>
            </w:r>
          </w:p>
        </w:tc>
        <w:tc>
          <w:tcPr>
            <w:tcW w:w="2268" w:type="dxa"/>
            <w:shd w:val="clear" w:color="auto" w:fill="auto"/>
            <w:vAlign w:val="center"/>
          </w:tcPr>
          <w:p w14:paraId="024FEDDA"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lastRenderedPageBreak/>
              <w:t xml:space="preserve">Starea principalelor stocuri de pește, </w:t>
            </w:r>
            <w:r w:rsidRPr="00344FCE">
              <w:rPr>
                <w:rFonts w:eastAsia="Times New Roman" w:cs="Times New Roman"/>
                <w:kern w:val="0"/>
                <w:sz w:val="22"/>
                <w:szCs w:val="22"/>
                <w:lang w:val="ro-RO"/>
              </w:rPr>
              <w:lastRenderedPageBreak/>
              <w:t>moluște și crustacee pe specii și zone</w:t>
            </w:r>
          </w:p>
        </w:tc>
        <w:tc>
          <w:tcPr>
            <w:tcW w:w="1985" w:type="dxa"/>
            <w:vMerge/>
            <w:shd w:val="clear" w:color="auto" w:fill="auto"/>
            <w:vAlign w:val="center"/>
          </w:tcPr>
          <w:p w14:paraId="4F64641D"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3F53CAF9" w14:textId="77777777" w:rsidTr="00563FA0">
        <w:trPr>
          <w:trHeight w:val="20"/>
        </w:trPr>
        <w:tc>
          <w:tcPr>
            <w:tcW w:w="2787" w:type="dxa"/>
            <w:vMerge/>
            <w:shd w:val="clear" w:color="auto" w:fill="auto"/>
            <w:vAlign w:val="center"/>
          </w:tcPr>
          <w:p w14:paraId="0F9AA077"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3A0AA556"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45759F3F"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4C6B06E8" w14:textId="77777777" w:rsidR="00344FCE" w:rsidRPr="00344FCE" w:rsidRDefault="00344FCE" w:rsidP="00563FA0">
            <w:pPr>
              <w:widowControl w:val="0"/>
              <w:pBdr>
                <w:top w:val="nil"/>
                <w:left w:val="nil"/>
                <w:bottom w:val="nil"/>
                <w:right w:val="nil"/>
                <w:between w:val="nil"/>
              </w:pBdr>
              <w:spacing w:before="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40F4D603"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0BC301DE"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Biomasa stocului reproducător și a stadiilor timpurii pe specii.</w:t>
            </w:r>
          </w:p>
        </w:tc>
        <w:tc>
          <w:tcPr>
            <w:tcW w:w="1985" w:type="dxa"/>
            <w:vMerge/>
            <w:shd w:val="clear" w:color="auto" w:fill="auto"/>
            <w:vAlign w:val="center"/>
          </w:tcPr>
          <w:p w14:paraId="532B4DC8"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595408C0" w14:textId="77777777" w:rsidTr="00563FA0">
        <w:trPr>
          <w:trHeight w:val="20"/>
        </w:trPr>
        <w:tc>
          <w:tcPr>
            <w:tcW w:w="2787" w:type="dxa"/>
            <w:vMerge/>
            <w:shd w:val="clear" w:color="auto" w:fill="auto"/>
            <w:vAlign w:val="center"/>
          </w:tcPr>
          <w:p w14:paraId="0C9E79B8"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36B0315B"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20623BAA"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7397A6CC" w14:textId="77777777" w:rsidR="00344FCE" w:rsidRPr="00344FCE" w:rsidRDefault="00344FCE" w:rsidP="00563FA0">
            <w:pPr>
              <w:widowControl w:val="0"/>
              <w:pBdr>
                <w:top w:val="nil"/>
                <w:left w:val="nil"/>
                <w:bottom w:val="nil"/>
                <w:right w:val="nil"/>
                <w:between w:val="nil"/>
              </w:pBdr>
              <w:spacing w:before="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1BE6C93C"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7FC2D6A3"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Valoarea totală a capturilor și mortalitatea peștilor pe specii</w:t>
            </w:r>
          </w:p>
        </w:tc>
        <w:tc>
          <w:tcPr>
            <w:tcW w:w="1985" w:type="dxa"/>
            <w:vMerge/>
            <w:shd w:val="clear" w:color="auto" w:fill="auto"/>
            <w:vAlign w:val="center"/>
          </w:tcPr>
          <w:p w14:paraId="70B1353B"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7C842AB7" w14:textId="77777777" w:rsidTr="00563FA0">
        <w:trPr>
          <w:trHeight w:val="20"/>
        </w:trPr>
        <w:tc>
          <w:tcPr>
            <w:tcW w:w="2787" w:type="dxa"/>
            <w:vMerge/>
            <w:shd w:val="clear" w:color="auto" w:fill="auto"/>
            <w:vAlign w:val="center"/>
          </w:tcPr>
          <w:p w14:paraId="07E09262"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4D5C6AE7"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6D7E0DAF"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17DFF6C0" w14:textId="77777777" w:rsidR="00344FCE" w:rsidRPr="00344FCE" w:rsidRDefault="00344FCE" w:rsidP="00563FA0">
            <w:pPr>
              <w:widowControl w:val="0"/>
              <w:pBdr>
                <w:top w:val="nil"/>
                <w:left w:val="nil"/>
                <w:bottom w:val="nil"/>
                <w:right w:val="nil"/>
                <w:between w:val="nil"/>
              </w:pBdr>
              <w:spacing w:before="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0609E71D"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44F40253"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Valoarea capturilor totale pe port și specii.</w:t>
            </w:r>
          </w:p>
        </w:tc>
        <w:tc>
          <w:tcPr>
            <w:tcW w:w="1985" w:type="dxa"/>
            <w:vMerge/>
            <w:shd w:val="clear" w:color="auto" w:fill="auto"/>
            <w:vAlign w:val="center"/>
          </w:tcPr>
          <w:p w14:paraId="600A0C3B"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518DB3C5" w14:textId="77777777" w:rsidTr="00563FA0">
        <w:trPr>
          <w:trHeight w:val="20"/>
        </w:trPr>
        <w:tc>
          <w:tcPr>
            <w:tcW w:w="2787" w:type="dxa"/>
            <w:vMerge w:val="restart"/>
            <w:shd w:val="clear" w:color="auto" w:fill="auto"/>
            <w:vAlign w:val="center"/>
          </w:tcPr>
          <w:p w14:paraId="7567B546"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D.6 Realizarea programelor de dezvoltarea a acvaculturii costiere (marine, terestre) prietenoase cu mediul</w:t>
            </w:r>
          </w:p>
        </w:tc>
        <w:tc>
          <w:tcPr>
            <w:tcW w:w="1999" w:type="dxa"/>
            <w:vMerge w:val="restart"/>
            <w:shd w:val="clear" w:color="auto" w:fill="auto"/>
            <w:vAlign w:val="center"/>
          </w:tcPr>
          <w:p w14:paraId="26A235F1"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MADR (prin ANPA), MMAP (prin ARBDD), MCID (INCDM Grigore Antipa, INCDDD)</w:t>
            </w:r>
          </w:p>
        </w:tc>
        <w:tc>
          <w:tcPr>
            <w:tcW w:w="1559" w:type="dxa"/>
            <w:vMerge w:val="restart"/>
            <w:shd w:val="clear" w:color="auto" w:fill="auto"/>
            <w:vAlign w:val="center"/>
          </w:tcPr>
          <w:p w14:paraId="37FC2D9A"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vMerge w:val="restart"/>
            <w:shd w:val="clear" w:color="auto" w:fill="auto"/>
            <w:vAlign w:val="center"/>
          </w:tcPr>
          <w:p w14:paraId="606E389F" w14:textId="77777777" w:rsidR="00344FCE" w:rsidRPr="00344FCE" w:rsidRDefault="00344FCE" w:rsidP="00563FA0">
            <w:pPr>
              <w:spacing w:before="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Creșterea numărului de locuri de muncă generată de activitatea de acvacultură;</w:t>
            </w:r>
          </w:p>
          <w:p w14:paraId="7F7F1721" w14:textId="77777777" w:rsidR="00344FCE" w:rsidRPr="00344FCE" w:rsidRDefault="00344FCE" w:rsidP="00563FA0">
            <w:pPr>
              <w:spacing w:before="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Creșterea veniturilor generate de activitatea de acvacultură</w:t>
            </w:r>
          </w:p>
        </w:tc>
        <w:tc>
          <w:tcPr>
            <w:tcW w:w="2409" w:type="dxa"/>
            <w:vMerge w:val="restart"/>
            <w:shd w:val="clear" w:color="auto" w:fill="auto"/>
            <w:vAlign w:val="center"/>
          </w:tcPr>
          <w:p w14:paraId="49A7585B"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Economie verde / albastră</w:t>
            </w:r>
          </w:p>
        </w:tc>
        <w:tc>
          <w:tcPr>
            <w:tcW w:w="2268" w:type="dxa"/>
            <w:shd w:val="clear" w:color="auto" w:fill="auto"/>
            <w:vAlign w:val="center"/>
          </w:tcPr>
          <w:p w14:paraId="33F56F34"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Numărul persoanelor angajate în sectoarele Economiei Albastre - acvacultură</w:t>
            </w:r>
          </w:p>
        </w:tc>
        <w:tc>
          <w:tcPr>
            <w:tcW w:w="1985" w:type="dxa"/>
            <w:vMerge w:val="restart"/>
            <w:shd w:val="clear" w:color="auto" w:fill="auto"/>
            <w:vAlign w:val="center"/>
          </w:tcPr>
          <w:p w14:paraId="69B7F70E"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344FCE" w:rsidRPr="00344FCE" w14:paraId="66D9D171" w14:textId="77777777" w:rsidTr="00563FA0">
        <w:trPr>
          <w:trHeight w:val="20"/>
        </w:trPr>
        <w:tc>
          <w:tcPr>
            <w:tcW w:w="2787" w:type="dxa"/>
            <w:vMerge/>
            <w:shd w:val="clear" w:color="auto" w:fill="auto"/>
            <w:vAlign w:val="center"/>
          </w:tcPr>
          <w:p w14:paraId="443664AF"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75C1586D"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156A390C"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271B471F" w14:textId="77777777" w:rsidR="00344FCE" w:rsidRPr="00344FCE" w:rsidRDefault="00344FCE" w:rsidP="00563FA0">
            <w:pPr>
              <w:widowControl w:val="0"/>
              <w:pBdr>
                <w:top w:val="nil"/>
                <w:left w:val="nil"/>
                <w:bottom w:val="nil"/>
                <w:right w:val="nil"/>
                <w:between w:val="nil"/>
              </w:pBdr>
              <w:spacing w:before="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5C8427DB"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54F9F438"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Total venituri generate de sectoarele Economiei Albastre - acvacultură</w:t>
            </w:r>
          </w:p>
        </w:tc>
        <w:tc>
          <w:tcPr>
            <w:tcW w:w="1985" w:type="dxa"/>
            <w:vMerge/>
            <w:shd w:val="clear" w:color="auto" w:fill="auto"/>
            <w:vAlign w:val="center"/>
          </w:tcPr>
          <w:p w14:paraId="141AE542"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1A87C2E4" w14:textId="77777777" w:rsidTr="00563FA0">
        <w:trPr>
          <w:trHeight w:val="20"/>
        </w:trPr>
        <w:tc>
          <w:tcPr>
            <w:tcW w:w="2787" w:type="dxa"/>
            <w:vMerge w:val="restart"/>
            <w:shd w:val="clear" w:color="auto" w:fill="auto"/>
            <w:vAlign w:val="center"/>
          </w:tcPr>
          <w:p w14:paraId="4D44CC4B"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D.7 Dezvoltarea infrastructurii pescărești și utilizarea de mijloace de pescuit (ambarcațiuni, echipamente și unelte) prietenoase cu mediul pentru evitarea deteriorării </w:t>
            </w:r>
            <w:r w:rsidRPr="00344FCE">
              <w:rPr>
                <w:rFonts w:eastAsia="Times New Roman" w:cs="Times New Roman"/>
                <w:kern w:val="0"/>
                <w:sz w:val="22"/>
                <w:szCs w:val="22"/>
                <w:lang w:val="ro-RO"/>
              </w:rPr>
              <w:lastRenderedPageBreak/>
              <w:t>substratului marin și diminuarea presiunii asupra mediului</w:t>
            </w:r>
          </w:p>
        </w:tc>
        <w:tc>
          <w:tcPr>
            <w:tcW w:w="1999" w:type="dxa"/>
            <w:vMerge w:val="restart"/>
            <w:shd w:val="clear" w:color="auto" w:fill="auto"/>
            <w:vAlign w:val="center"/>
          </w:tcPr>
          <w:p w14:paraId="635E36D4"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lastRenderedPageBreak/>
              <w:t>MADR (prin ANPA), MMAP (prin ARBDD), MCID (INCDM Grigore Antipa, INCDDD)</w:t>
            </w:r>
          </w:p>
        </w:tc>
        <w:tc>
          <w:tcPr>
            <w:tcW w:w="1559" w:type="dxa"/>
            <w:vMerge w:val="restart"/>
            <w:shd w:val="clear" w:color="auto" w:fill="auto"/>
            <w:vAlign w:val="center"/>
          </w:tcPr>
          <w:p w14:paraId="306A5E33"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vMerge w:val="restart"/>
            <w:shd w:val="clear" w:color="auto" w:fill="auto"/>
            <w:vAlign w:val="center"/>
          </w:tcPr>
          <w:p w14:paraId="7BAC95AD"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Creșterea numărului de ambarcațiuni de pescuit modernizate și dotate cu echipamente de pescuit moderne, </w:t>
            </w:r>
            <w:r w:rsidRPr="00344FCE">
              <w:rPr>
                <w:rFonts w:eastAsia="Times New Roman" w:cs="Times New Roman"/>
                <w:kern w:val="0"/>
                <w:sz w:val="22"/>
                <w:szCs w:val="22"/>
                <w:lang w:val="ro-RO"/>
              </w:rPr>
              <w:lastRenderedPageBreak/>
              <w:t>prietenoase cu mediul;</w:t>
            </w:r>
          </w:p>
          <w:p w14:paraId="26F7152C"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Reducerea suprafeței habitatelor bentale deteriorate/distruse în urma activității de pescuit</w:t>
            </w:r>
          </w:p>
        </w:tc>
        <w:tc>
          <w:tcPr>
            <w:tcW w:w="2409" w:type="dxa"/>
            <w:shd w:val="clear" w:color="auto" w:fill="auto"/>
            <w:vAlign w:val="center"/>
          </w:tcPr>
          <w:p w14:paraId="6FF3EE41"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lastRenderedPageBreak/>
              <w:t>Sustenabilitatea pescuitului</w:t>
            </w:r>
          </w:p>
          <w:p w14:paraId="7C08396F"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tc>
        <w:tc>
          <w:tcPr>
            <w:tcW w:w="2268" w:type="dxa"/>
            <w:tcBorders>
              <w:bottom w:val="single" w:sz="4" w:space="0" w:color="000000"/>
            </w:tcBorders>
            <w:shd w:val="clear" w:color="auto" w:fill="auto"/>
            <w:vAlign w:val="center"/>
          </w:tcPr>
          <w:p w14:paraId="6290410C"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Numărul de unelte de pescuit prietenoase cu mediul</w:t>
            </w:r>
          </w:p>
        </w:tc>
        <w:tc>
          <w:tcPr>
            <w:tcW w:w="1985" w:type="dxa"/>
            <w:vMerge w:val="restart"/>
            <w:shd w:val="clear" w:color="auto" w:fill="auto"/>
            <w:vAlign w:val="center"/>
          </w:tcPr>
          <w:p w14:paraId="531C4E96"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7FFFB98A"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107DD64D"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p w14:paraId="4693027E"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10D3704C"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2034</w:t>
            </w:r>
          </w:p>
        </w:tc>
      </w:tr>
      <w:tr w:rsidR="00344FCE" w:rsidRPr="00344FCE" w14:paraId="164A185E" w14:textId="77777777" w:rsidTr="00563FA0">
        <w:trPr>
          <w:trHeight w:val="20"/>
        </w:trPr>
        <w:tc>
          <w:tcPr>
            <w:tcW w:w="2787" w:type="dxa"/>
            <w:vMerge/>
            <w:shd w:val="clear" w:color="auto" w:fill="auto"/>
            <w:vAlign w:val="center"/>
          </w:tcPr>
          <w:p w14:paraId="654C6FE8"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406DF145"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54CDC3AD"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74D894FE"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409" w:type="dxa"/>
            <w:vMerge w:val="restart"/>
            <w:shd w:val="clear" w:color="auto" w:fill="auto"/>
            <w:vAlign w:val="center"/>
          </w:tcPr>
          <w:p w14:paraId="33D8C99D"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Management eficient al ariilor protejate</w:t>
            </w:r>
          </w:p>
        </w:tc>
        <w:tc>
          <w:tcPr>
            <w:tcW w:w="2268" w:type="dxa"/>
            <w:shd w:val="clear" w:color="auto" w:fill="auto"/>
            <w:vAlign w:val="center"/>
          </w:tcPr>
          <w:p w14:paraId="1EBB50E6"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Suprafața totală și ponderea zonelor degradate din ariile protejate în urma </w:t>
            </w:r>
            <w:r w:rsidRPr="00344FCE">
              <w:rPr>
                <w:rFonts w:eastAsia="Times New Roman" w:cs="Times New Roman"/>
                <w:kern w:val="0"/>
                <w:sz w:val="22"/>
                <w:szCs w:val="22"/>
                <w:lang w:val="ro-RO"/>
              </w:rPr>
              <w:lastRenderedPageBreak/>
              <w:t>desfășurării de activității umane</w:t>
            </w:r>
          </w:p>
        </w:tc>
        <w:tc>
          <w:tcPr>
            <w:tcW w:w="1985" w:type="dxa"/>
            <w:vMerge/>
            <w:shd w:val="clear" w:color="auto" w:fill="auto"/>
            <w:vAlign w:val="center"/>
          </w:tcPr>
          <w:p w14:paraId="131B3843"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160A59FF" w14:textId="77777777" w:rsidTr="00563FA0">
        <w:trPr>
          <w:trHeight w:val="20"/>
        </w:trPr>
        <w:tc>
          <w:tcPr>
            <w:tcW w:w="2787" w:type="dxa"/>
            <w:vMerge/>
            <w:shd w:val="clear" w:color="auto" w:fill="auto"/>
            <w:vAlign w:val="center"/>
          </w:tcPr>
          <w:p w14:paraId="33958034"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09640B42"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5E109793"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3D93CFE0"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409" w:type="dxa"/>
            <w:vMerge/>
            <w:shd w:val="clear" w:color="auto" w:fill="auto"/>
            <w:vAlign w:val="center"/>
          </w:tcPr>
          <w:p w14:paraId="6A9A864F"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451F7EE8"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Rata pierderii sau deteriorării ariilor protejate</w:t>
            </w:r>
          </w:p>
        </w:tc>
        <w:tc>
          <w:tcPr>
            <w:tcW w:w="1985" w:type="dxa"/>
            <w:vMerge/>
            <w:shd w:val="clear" w:color="auto" w:fill="auto"/>
            <w:vAlign w:val="center"/>
          </w:tcPr>
          <w:p w14:paraId="64546DEF"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6BD44217" w14:textId="77777777" w:rsidTr="00563FA0">
        <w:trPr>
          <w:trHeight w:val="20"/>
        </w:trPr>
        <w:tc>
          <w:tcPr>
            <w:tcW w:w="2787" w:type="dxa"/>
            <w:vMerge/>
            <w:shd w:val="clear" w:color="auto" w:fill="auto"/>
            <w:vAlign w:val="center"/>
          </w:tcPr>
          <w:p w14:paraId="262B3BE4"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63A572C4"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5D30BA58"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3169A673"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409" w:type="dxa"/>
            <w:vMerge/>
            <w:shd w:val="clear" w:color="auto" w:fill="auto"/>
            <w:vAlign w:val="center"/>
          </w:tcPr>
          <w:p w14:paraId="3D235382"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0F4771E1"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măsuri incluse în planurile de management care să corespundă dezideratului de conservare a ariilor protejate, a habitatelor naturale și a biodiversității</w:t>
            </w:r>
          </w:p>
        </w:tc>
        <w:tc>
          <w:tcPr>
            <w:tcW w:w="1985" w:type="dxa"/>
            <w:vMerge/>
            <w:shd w:val="clear" w:color="auto" w:fill="auto"/>
            <w:vAlign w:val="center"/>
          </w:tcPr>
          <w:p w14:paraId="42E87B70"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741BC140" w14:textId="77777777" w:rsidTr="00563FA0">
        <w:trPr>
          <w:trHeight w:val="20"/>
        </w:trPr>
        <w:tc>
          <w:tcPr>
            <w:tcW w:w="2787" w:type="dxa"/>
            <w:vMerge w:val="restart"/>
            <w:shd w:val="clear" w:color="auto" w:fill="auto"/>
            <w:vAlign w:val="center"/>
          </w:tcPr>
          <w:p w14:paraId="48F8545B"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D.8 Realizarea de programe  / proiecte pentru reabilitarea activităților tradiționale și valorificarea resursei stuficole din Delta Dunării</w:t>
            </w:r>
          </w:p>
        </w:tc>
        <w:tc>
          <w:tcPr>
            <w:tcW w:w="1999" w:type="dxa"/>
            <w:vMerge w:val="restart"/>
            <w:shd w:val="clear" w:color="auto" w:fill="auto"/>
            <w:vAlign w:val="center"/>
          </w:tcPr>
          <w:p w14:paraId="79C90564"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MMAP (prin ARBDD), MCID (Academia Română, INCDDD, INCD GeoEcoMar)</w:t>
            </w:r>
          </w:p>
        </w:tc>
        <w:tc>
          <w:tcPr>
            <w:tcW w:w="1559" w:type="dxa"/>
            <w:vMerge w:val="restart"/>
            <w:shd w:val="clear" w:color="auto" w:fill="auto"/>
            <w:vAlign w:val="center"/>
          </w:tcPr>
          <w:p w14:paraId="2FE0C178"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tc>
        <w:tc>
          <w:tcPr>
            <w:tcW w:w="2127" w:type="dxa"/>
            <w:vMerge w:val="restart"/>
            <w:shd w:val="clear" w:color="auto" w:fill="auto"/>
            <w:vAlign w:val="center"/>
          </w:tcPr>
          <w:p w14:paraId="5C6AE10C"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procentului suprafaței acoperită de stuf din Delta Dunării exploatată în scop economic, în mod sustenabil;</w:t>
            </w:r>
          </w:p>
          <w:p w14:paraId="0B487C01"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veniturilor generate de exploatarea sustenabilă a resursei stuficole</w:t>
            </w:r>
          </w:p>
        </w:tc>
        <w:tc>
          <w:tcPr>
            <w:tcW w:w="2409" w:type="dxa"/>
            <w:vMerge w:val="restart"/>
            <w:shd w:val="clear" w:color="auto" w:fill="auto"/>
            <w:vAlign w:val="center"/>
          </w:tcPr>
          <w:p w14:paraId="76C9E264"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39FF00BA"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Economie verde / albastră</w:t>
            </w:r>
          </w:p>
        </w:tc>
        <w:tc>
          <w:tcPr>
            <w:tcW w:w="2268" w:type="dxa"/>
            <w:shd w:val="clear" w:color="auto" w:fill="auto"/>
            <w:vAlign w:val="center"/>
          </w:tcPr>
          <w:p w14:paraId="06CBB6B7"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Numărul persoanelor angajate în sectoarele Economiei Albastre</w:t>
            </w:r>
          </w:p>
        </w:tc>
        <w:tc>
          <w:tcPr>
            <w:tcW w:w="1985" w:type="dxa"/>
            <w:vMerge w:val="restart"/>
            <w:shd w:val="clear" w:color="auto" w:fill="auto"/>
            <w:vAlign w:val="center"/>
          </w:tcPr>
          <w:p w14:paraId="502D4779"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344FCE" w:rsidRPr="00344FCE" w14:paraId="36922C6C" w14:textId="77777777" w:rsidTr="00563FA0">
        <w:trPr>
          <w:trHeight w:val="20"/>
        </w:trPr>
        <w:tc>
          <w:tcPr>
            <w:tcW w:w="2787" w:type="dxa"/>
            <w:vMerge/>
            <w:shd w:val="clear" w:color="auto" w:fill="auto"/>
            <w:vAlign w:val="center"/>
          </w:tcPr>
          <w:p w14:paraId="67D19B59"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6F41A322"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441C4E94"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0CFF6E18"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3E2F3887"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34987A85"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Total venituri generate de sectoarele Economiei Albastre</w:t>
            </w:r>
          </w:p>
        </w:tc>
        <w:tc>
          <w:tcPr>
            <w:tcW w:w="1985" w:type="dxa"/>
            <w:vMerge/>
            <w:shd w:val="clear" w:color="auto" w:fill="auto"/>
            <w:vAlign w:val="center"/>
          </w:tcPr>
          <w:p w14:paraId="58A1143C"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3133C0A7" w14:textId="77777777" w:rsidTr="00563FA0">
        <w:trPr>
          <w:trHeight w:val="20"/>
        </w:trPr>
        <w:tc>
          <w:tcPr>
            <w:tcW w:w="2787" w:type="dxa"/>
            <w:vMerge/>
            <w:shd w:val="clear" w:color="auto" w:fill="auto"/>
            <w:vAlign w:val="center"/>
          </w:tcPr>
          <w:p w14:paraId="20BEF0EC"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582D3E5D"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5ABE4B34"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5157E66D"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val="restart"/>
            <w:shd w:val="clear" w:color="auto" w:fill="auto"/>
            <w:vAlign w:val="center"/>
          </w:tcPr>
          <w:p w14:paraId="342FC9F3"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Management eficient al ariilor protejate</w:t>
            </w:r>
          </w:p>
        </w:tc>
        <w:tc>
          <w:tcPr>
            <w:tcW w:w="2268" w:type="dxa"/>
            <w:shd w:val="clear" w:color="auto" w:fill="auto"/>
            <w:vAlign w:val="center"/>
          </w:tcPr>
          <w:p w14:paraId="28634DC4"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Suprafața totală și ponderea zonelor degradate din ariile protejate în urma desfășurării de activității umane</w:t>
            </w:r>
          </w:p>
        </w:tc>
        <w:tc>
          <w:tcPr>
            <w:tcW w:w="1985" w:type="dxa"/>
            <w:vMerge/>
            <w:shd w:val="clear" w:color="auto" w:fill="auto"/>
            <w:vAlign w:val="center"/>
          </w:tcPr>
          <w:p w14:paraId="04AB0D8E"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6290244D" w14:textId="77777777" w:rsidTr="00563FA0">
        <w:trPr>
          <w:trHeight w:val="20"/>
        </w:trPr>
        <w:tc>
          <w:tcPr>
            <w:tcW w:w="2787" w:type="dxa"/>
            <w:vMerge/>
            <w:shd w:val="clear" w:color="auto" w:fill="auto"/>
            <w:vAlign w:val="center"/>
          </w:tcPr>
          <w:p w14:paraId="297285C2"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29823B12"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0420E1FB"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7C8A15C0"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58715019"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0E1AB7E9"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Rata pierderii sau deteriorării ariilor protejate</w:t>
            </w:r>
          </w:p>
        </w:tc>
        <w:tc>
          <w:tcPr>
            <w:tcW w:w="1985" w:type="dxa"/>
            <w:vMerge/>
            <w:shd w:val="clear" w:color="auto" w:fill="auto"/>
            <w:vAlign w:val="center"/>
          </w:tcPr>
          <w:p w14:paraId="320E1D8B"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142820DD" w14:textId="77777777" w:rsidTr="00563FA0">
        <w:trPr>
          <w:trHeight w:val="20"/>
        </w:trPr>
        <w:tc>
          <w:tcPr>
            <w:tcW w:w="2787" w:type="dxa"/>
            <w:vMerge/>
            <w:shd w:val="clear" w:color="auto" w:fill="auto"/>
            <w:vAlign w:val="center"/>
          </w:tcPr>
          <w:p w14:paraId="4ECD90C3"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3F376D2B"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4C63ECC7"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307F662F"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227FF563"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21F5A86A"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Număr de măsuri incluse în planurile de management care să corespundă dezideratului de conservare a ariilor </w:t>
            </w:r>
            <w:r w:rsidRPr="00344FCE">
              <w:rPr>
                <w:rFonts w:eastAsia="Times New Roman" w:cs="Times New Roman"/>
                <w:kern w:val="0"/>
                <w:sz w:val="22"/>
                <w:szCs w:val="22"/>
                <w:lang w:val="ro-RO"/>
              </w:rPr>
              <w:lastRenderedPageBreak/>
              <w:t>protejate, a habitatelor naturale și a biodiversității</w:t>
            </w:r>
          </w:p>
        </w:tc>
        <w:tc>
          <w:tcPr>
            <w:tcW w:w="1985" w:type="dxa"/>
            <w:vMerge/>
            <w:shd w:val="clear" w:color="auto" w:fill="auto"/>
            <w:vAlign w:val="center"/>
          </w:tcPr>
          <w:p w14:paraId="684AAEFD"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58FDA9F6" w14:textId="77777777" w:rsidTr="00563FA0">
        <w:trPr>
          <w:trHeight w:val="20"/>
        </w:trPr>
        <w:tc>
          <w:tcPr>
            <w:tcW w:w="2787" w:type="dxa"/>
            <w:vMerge w:val="restart"/>
            <w:shd w:val="clear" w:color="auto" w:fill="auto"/>
            <w:vAlign w:val="center"/>
          </w:tcPr>
          <w:p w14:paraId="628188E9"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D.9 Implementarea de programe de conștientizare și susținere a producătorilor agricoli privind beneficiile aplicării în  practică a noilor politici agricole</w:t>
            </w:r>
          </w:p>
        </w:tc>
        <w:tc>
          <w:tcPr>
            <w:tcW w:w="1999" w:type="dxa"/>
            <w:vMerge w:val="restart"/>
            <w:shd w:val="clear" w:color="auto" w:fill="auto"/>
            <w:vAlign w:val="center"/>
          </w:tcPr>
          <w:p w14:paraId="1E6E4F8D"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MADR</w:t>
            </w:r>
          </w:p>
        </w:tc>
        <w:tc>
          <w:tcPr>
            <w:tcW w:w="1559" w:type="dxa"/>
            <w:vMerge w:val="restart"/>
            <w:shd w:val="clear" w:color="auto" w:fill="auto"/>
            <w:vAlign w:val="center"/>
          </w:tcPr>
          <w:p w14:paraId="08EEA633"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tc>
        <w:tc>
          <w:tcPr>
            <w:tcW w:w="2127" w:type="dxa"/>
            <w:vMerge w:val="restart"/>
            <w:shd w:val="clear" w:color="auto" w:fill="auto"/>
            <w:vAlign w:val="center"/>
          </w:tcPr>
          <w:p w14:paraId="466A9B10"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procentului producției agricole ecologice din totalul producției agricole</w:t>
            </w:r>
          </w:p>
          <w:p w14:paraId="02CB98EC"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Reducerea cantității de deșeuri rezultate din activități agricole</w:t>
            </w:r>
          </w:p>
        </w:tc>
        <w:tc>
          <w:tcPr>
            <w:tcW w:w="2409" w:type="dxa"/>
            <w:vMerge w:val="restart"/>
            <w:shd w:val="clear" w:color="auto" w:fill="auto"/>
            <w:vAlign w:val="center"/>
          </w:tcPr>
          <w:p w14:paraId="57B63C9F"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05408406"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Agricultură sustenabilă</w:t>
            </w:r>
          </w:p>
          <w:p w14:paraId="17157FA6"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2ECEAFE3"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Procentul de teren agricol utilizat pentru agricultura ecologică</w:t>
            </w:r>
          </w:p>
        </w:tc>
        <w:tc>
          <w:tcPr>
            <w:tcW w:w="1985" w:type="dxa"/>
            <w:vMerge w:val="restart"/>
            <w:shd w:val="clear" w:color="auto" w:fill="auto"/>
            <w:vAlign w:val="center"/>
          </w:tcPr>
          <w:p w14:paraId="4A3E743A"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344FCE" w:rsidRPr="00344FCE" w14:paraId="640A692E" w14:textId="77777777" w:rsidTr="00563FA0">
        <w:trPr>
          <w:trHeight w:val="20"/>
        </w:trPr>
        <w:tc>
          <w:tcPr>
            <w:tcW w:w="2787" w:type="dxa"/>
            <w:vMerge/>
            <w:shd w:val="clear" w:color="auto" w:fill="auto"/>
            <w:vAlign w:val="center"/>
          </w:tcPr>
          <w:p w14:paraId="166E3ADB"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1DD49A09"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002600C6"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4CF85391" w14:textId="77777777" w:rsidR="00344FCE" w:rsidRPr="00344FCE" w:rsidRDefault="00344FCE" w:rsidP="00563FA0">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auto"/>
            <w:vAlign w:val="center"/>
          </w:tcPr>
          <w:p w14:paraId="6DAABEE3"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4A69F131"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Procentul de teren  agricol utilizat intensiv</w:t>
            </w:r>
          </w:p>
        </w:tc>
        <w:tc>
          <w:tcPr>
            <w:tcW w:w="1985" w:type="dxa"/>
            <w:vMerge/>
            <w:shd w:val="clear" w:color="auto" w:fill="auto"/>
            <w:vAlign w:val="center"/>
          </w:tcPr>
          <w:p w14:paraId="5D56BFD6"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371469BB" w14:textId="77777777" w:rsidTr="00563FA0">
        <w:trPr>
          <w:trHeight w:val="20"/>
        </w:trPr>
        <w:tc>
          <w:tcPr>
            <w:tcW w:w="2787" w:type="dxa"/>
            <w:vMerge/>
            <w:shd w:val="clear" w:color="auto" w:fill="auto"/>
            <w:vAlign w:val="center"/>
          </w:tcPr>
          <w:p w14:paraId="7E71EDE3"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73C0180B"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2B67647E"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38871169" w14:textId="77777777" w:rsidR="00344FCE" w:rsidRPr="00344FCE" w:rsidRDefault="00344FCE" w:rsidP="00563FA0">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shd w:val="clear" w:color="auto" w:fill="auto"/>
            <w:vAlign w:val="center"/>
          </w:tcPr>
          <w:p w14:paraId="30B3C89B"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Poluare cu substanțe periculoase</w:t>
            </w:r>
          </w:p>
        </w:tc>
        <w:tc>
          <w:tcPr>
            <w:tcW w:w="2268" w:type="dxa"/>
            <w:shd w:val="clear" w:color="auto" w:fill="auto"/>
            <w:vAlign w:val="center"/>
          </w:tcPr>
          <w:p w14:paraId="7C23A584"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Concentrații ale substanțelor periculoase în soluri</w:t>
            </w:r>
          </w:p>
        </w:tc>
        <w:tc>
          <w:tcPr>
            <w:tcW w:w="1985" w:type="dxa"/>
            <w:vMerge/>
            <w:shd w:val="clear" w:color="auto" w:fill="auto"/>
            <w:vAlign w:val="center"/>
          </w:tcPr>
          <w:p w14:paraId="7E91B688"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4FE1B143" w14:textId="77777777" w:rsidTr="00563FA0">
        <w:trPr>
          <w:trHeight w:val="20"/>
        </w:trPr>
        <w:tc>
          <w:tcPr>
            <w:tcW w:w="2787" w:type="dxa"/>
            <w:shd w:val="clear" w:color="auto" w:fill="auto"/>
            <w:vAlign w:val="center"/>
          </w:tcPr>
          <w:p w14:paraId="2528FB2F"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D.10 Implementarea proiectelor de transport fluvial verde în Delta Dunării</w:t>
            </w:r>
          </w:p>
        </w:tc>
        <w:tc>
          <w:tcPr>
            <w:tcW w:w="1999" w:type="dxa"/>
            <w:shd w:val="clear" w:color="auto" w:fill="auto"/>
            <w:vAlign w:val="center"/>
          </w:tcPr>
          <w:p w14:paraId="30390228"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MTI, MCID</w:t>
            </w:r>
          </w:p>
        </w:tc>
        <w:tc>
          <w:tcPr>
            <w:tcW w:w="1559" w:type="dxa"/>
            <w:shd w:val="clear" w:color="auto" w:fill="auto"/>
            <w:vAlign w:val="center"/>
          </w:tcPr>
          <w:p w14:paraId="16148855"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shd w:val="clear" w:color="auto" w:fill="auto"/>
            <w:vAlign w:val="center"/>
          </w:tcPr>
          <w:p w14:paraId="2CBEE984"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raportului ambarcațiuni nepoluante / ambarcațiuni poluante în Delta Dunării</w:t>
            </w:r>
          </w:p>
        </w:tc>
        <w:tc>
          <w:tcPr>
            <w:tcW w:w="2409" w:type="dxa"/>
            <w:shd w:val="clear" w:color="auto" w:fill="auto"/>
            <w:vAlign w:val="center"/>
          </w:tcPr>
          <w:p w14:paraId="33112F1E"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Transport sustenabil</w:t>
            </w:r>
          </w:p>
          <w:p w14:paraId="35495449"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59334BCF"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Procentul de ambarcațiuni ce folosesc surse alternative de energie</w:t>
            </w:r>
          </w:p>
        </w:tc>
        <w:tc>
          <w:tcPr>
            <w:tcW w:w="1985" w:type="dxa"/>
            <w:shd w:val="clear" w:color="auto" w:fill="auto"/>
            <w:vAlign w:val="center"/>
          </w:tcPr>
          <w:p w14:paraId="1FF0357E"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5D40EED3"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p w14:paraId="1F16FC81"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2034</w:t>
            </w:r>
          </w:p>
        </w:tc>
      </w:tr>
      <w:tr w:rsidR="00344FCE" w:rsidRPr="00344FCE" w14:paraId="48F6AF32" w14:textId="77777777" w:rsidTr="00563FA0">
        <w:trPr>
          <w:trHeight w:val="20"/>
        </w:trPr>
        <w:tc>
          <w:tcPr>
            <w:tcW w:w="2787" w:type="dxa"/>
            <w:vMerge w:val="restart"/>
            <w:shd w:val="clear" w:color="auto" w:fill="auto"/>
            <w:vAlign w:val="center"/>
          </w:tcPr>
          <w:p w14:paraId="205A2D5C"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D.11 Evaluarea potențialului de valorificare a resurselor energetice regenerabile din zonă: energia eoliană, “inshore” și „offshore”, energia valurilor, fotovoltaică, etc.</w:t>
            </w:r>
          </w:p>
        </w:tc>
        <w:tc>
          <w:tcPr>
            <w:tcW w:w="1999" w:type="dxa"/>
            <w:vMerge w:val="restart"/>
            <w:shd w:val="clear" w:color="auto" w:fill="auto"/>
            <w:vAlign w:val="center"/>
          </w:tcPr>
          <w:p w14:paraId="3E8AE9FB" w14:textId="34B96A1F"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w:t>
            </w:r>
            <w:r w:rsidR="00056FC5">
              <w:rPr>
                <w:rFonts w:eastAsia="Times New Roman" w:cs="Times New Roman"/>
                <w:kern w:val="0"/>
                <w:sz w:val="22"/>
                <w:szCs w:val="22"/>
                <w:lang w:val="ro-RO"/>
              </w:rPr>
              <w:t>inisterul Energiei</w:t>
            </w:r>
            <w:r w:rsidRPr="00344FCE">
              <w:rPr>
                <w:rFonts w:eastAsia="Times New Roman" w:cs="Times New Roman"/>
                <w:kern w:val="0"/>
                <w:sz w:val="22"/>
                <w:szCs w:val="22"/>
                <w:lang w:val="ro-RO"/>
              </w:rPr>
              <w:t>, MCDI, ME</w:t>
            </w:r>
          </w:p>
        </w:tc>
        <w:tc>
          <w:tcPr>
            <w:tcW w:w="1559" w:type="dxa"/>
            <w:vMerge w:val="restart"/>
            <w:shd w:val="clear" w:color="auto" w:fill="auto"/>
            <w:vAlign w:val="center"/>
          </w:tcPr>
          <w:p w14:paraId="723F0791"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tc>
        <w:tc>
          <w:tcPr>
            <w:tcW w:w="2127" w:type="dxa"/>
            <w:vMerge w:val="restart"/>
            <w:shd w:val="clear" w:color="auto" w:fill="auto"/>
            <w:vAlign w:val="center"/>
          </w:tcPr>
          <w:p w14:paraId="77122728"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ponderii energiei electrice provenită din surse regenerabile, neconvenționale</w:t>
            </w:r>
          </w:p>
        </w:tc>
        <w:tc>
          <w:tcPr>
            <w:tcW w:w="2409" w:type="dxa"/>
            <w:vMerge w:val="restart"/>
            <w:shd w:val="clear" w:color="auto" w:fill="auto"/>
            <w:vAlign w:val="center"/>
          </w:tcPr>
          <w:p w14:paraId="0E750F83"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Economie verde / albastră</w:t>
            </w:r>
          </w:p>
        </w:tc>
        <w:tc>
          <w:tcPr>
            <w:tcW w:w="2268" w:type="dxa"/>
            <w:shd w:val="clear" w:color="auto" w:fill="auto"/>
            <w:vAlign w:val="center"/>
          </w:tcPr>
          <w:p w14:paraId="3BE0D04F"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Numărul persoanelor angajate în sectoarele Economiei Albastre – energie verde</w:t>
            </w:r>
          </w:p>
        </w:tc>
        <w:tc>
          <w:tcPr>
            <w:tcW w:w="1985" w:type="dxa"/>
            <w:vMerge w:val="restart"/>
            <w:shd w:val="clear" w:color="auto" w:fill="auto"/>
            <w:vAlign w:val="center"/>
          </w:tcPr>
          <w:p w14:paraId="3AA4379F"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344FCE" w:rsidRPr="00344FCE" w14:paraId="12E5BB7D" w14:textId="77777777" w:rsidTr="00563FA0">
        <w:trPr>
          <w:trHeight w:val="20"/>
        </w:trPr>
        <w:tc>
          <w:tcPr>
            <w:tcW w:w="2787" w:type="dxa"/>
            <w:vMerge/>
            <w:shd w:val="clear" w:color="auto" w:fill="auto"/>
            <w:vAlign w:val="center"/>
          </w:tcPr>
          <w:p w14:paraId="3AABE23D"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6F13062A"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47E06874"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0713F2E6" w14:textId="77777777" w:rsidR="00344FCE" w:rsidRPr="00344FCE" w:rsidRDefault="00344FCE" w:rsidP="00563FA0">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auto"/>
            <w:vAlign w:val="center"/>
          </w:tcPr>
          <w:p w14:paraId="235A2358"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540AACE0"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Total venituri generate de sectoarele Economiei Albastre – energie verde</w:t>
            </w:r>
          </w:p>
        </w:tc>
        <w:tc>
          <w:tcPr>
            <w:tcW w:w="1985" w:type="dxa"/>
            <w:vMerge/>
            <w:shd w:val="clear" w:color="auto" w:fill="auto"/>
            <w:vAlign w:val="center"/>
          </w:tcPr>
          <w:p w14:paraId="3896F946"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2E19AE44" w14:textId="77777777" w:rsidTr="00563FA0">
        <w:trPr>
          <w:trHeight w:val="20"/>
        </w:trPr>
        <w:tc>
          <w:tcPr>
            <w:tcW w:w="2787" w:type="dxa"/>
            <w:vMerge w:val="restart"/>
            <w:shd w:val="clear" w:color="auto" w:fill="auto"/>
            <w:vAlign w:val="center"/>
          </w:tcPr>
          <w:p w14:paraId="125661B6"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D.12 Susținerea și dezvoltarea de noi instrumente (centre de excelență, proiecte pilot, servicii de extensie oferite de către universități, etc) pentru transferul cunoștințelor  din cercetare spre business în sectoarele Blue Economy</w:t>
            </w:r>
          </w:p>
        </w:tc>
        <w:tc>
          <w:tcPr>
            <w:tcW w:w="1999" w:type="dxa"/>
            <w:vMerge w:val="restart"/>
            <w:shd w:val="clear" w:color="auto" w:fill="auto"/>
            <w:vAlign w:val="center"/>
          </w:tcPr>
          <w:p w14:paraId="16EF388B"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MCID (INCDM Grigore Antipa, INCDDD, INCD GeoEcoMar, Academia Român</w:t>
            </w:r>
            <w:r w:rsidR="00BA1C09">
              <w:rPr>
                <w:rFonts w:eastAsia="Times New Roman" w:cs="Times New Roman"/>
                <w:kern w:val="0"/>
                <w:sz w:val="22"/>
                <w:szCs w:val="22"/>
                <w:lang w:val="ro-RO"/>
              </w:rPr>
              <w:t>ă), ME (UOC, UAIC, UB</w:t>
            </w:r>
            <w:r w:rsidRPr="00344FCE">
              <w:rPr>
                <w:rFonts w:eastAsia="Times New Roman" w:cs="Times New Roman"/>
                <w:kern w:val="0"/>
                <w:sz w:val="22"/>
                <w:szCs w:val="22"/>
                <w:lang w:val="ro-RO"/>
              </w:rPr>
              <w:t>)</w:t>
            </w:r>
          </w:p>
        </w:tc>
        <w:tc>
          <w:tcPr>
            <w:tcW w:w="1559" w:type="dxa"/>
            <w:vMerge w:val="restart"/>
            <w:shd w:val="clear" w:color="auto" w:fill="auto"/>
            <w:vAlign w:val="center"/>
          </w:tcPr>
          <w:p w14:paraId="7258F386"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vMerge w:val="restart"/>
            <w:shd w:val="clear" w:color="auto" w:fill="auto"/>
            <w:vAlign w:val="center"/>
          </w:tcPr>
          <w:p w14:paraId="59836360"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gradului de valorificare a rezultatelor cercetării prin transfer tehnologic</w:t>
            </w:r>
          </w:p>
        </w:tc>
        <w:tc>
          <w:tcPr>
            <w:tcW w:w="2409" w:type="dxa"/>
            <w:vMerge w:val="restart"/>
            <w:shd w:val="clear" w:color="auto" w:fill="auto"/>
            <w:vAlign w:val="center"/>
          </w:tcPr>
          <w:p w14:paraId="208831EB"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Economie verde / albastră</w:t>
            </w:r>
          </w:p>
        </w:tc>
        <w:tc>
          <w:tcPr>
            <w:tcW w:w="2268" w:type="dxa"/>
            <w:shd w:val="clear" w:color="auto" w:fill="auto"/>
            <w:vAlign w:val="center"/>
          </w:tcPr>
          <w:p w14:paraId="23EFC842"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Numărul persoanelor angajate în sectoarele Economiei Albastre - biotehnologii</w:t>
            </w:r>
          </w:p>
        </w:tc>
        <w:tc>
          <w:tcPr>
            <w:tcW w:w="1985" w:type="dxa"/>
            <w:vMerge w:val="restart"/>
            <w:shd w:val="clear" w:color="auto" w:fill="auto"/>
            <w:vAlign w:val="center"/>
          </w:tcPr>
          <w:p w14:paraId="40E2552F"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45EAB14F"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57A0F73E"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p w14:paraId="5539F3AB"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2B45C169"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2034</w:t>
            </w:r>
          </w:p>
        </w:tc>
      </w:tr>
      <w:tr w:rsidR="00344FCE" w:rsidRPr="00344FCE" w14:paraId="483ED189" w14:textId="77777777" w:rsidTr="00563FA0">
        <w:trPr>
          <w:trHeight w:val="20"/>
        </w:trPr>
        <w:tc>
          <w:tcPr>
            <w:tcW w:w="2787" w:type="dxa"/>
            <w:vMerge/>
            <w:shd w:val="clear" w:color="auto" w:fill="auto"/>
            <w:vAlign w:val="center"/>
          </w:tcPr>
          <w:p w14:paraId="2A3F275E"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auto"/>
            <w:vAlign w:val="center"/>
          </w:tcPr>
          <w:p w14:paraId="53D6119F"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auto"/>
            <w:vAlign w:val="center"/>
          </w:tcPr>
          <w:p w14:paraId="566EDDBF"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763DD22F"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3CB54132"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1092F934"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Total venituri generate de sectoarele Economiei Albastre – biotehnologii</w:t>
            </w:r>
          </w:p>
        </w:tc>
        <w:tc>
          <w:tcPr>
            <w:tcW w:w="1985" w:type="dxa"/>
            <w:vMerge/>
            <w:shd w:val="clear" w:color="auto" w:fill="auto"/>
            <w:vAlign w:val="center"/>
          </w:tcPr>
          <w:p w14:paraId="716EF1CA"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7BDBEA2B" w14:textId="77777777" w:rsidTr="00563FA0">
        <w:trPr>
          <w:trHeight w:val="20"/>
        </w:trPr>
        <w:tc>
          <w:tcPr>
            <w:tcW w:w="2787" w:type="dxa"/>
            <w:vMerge w:val="restart"/>
            <w:tcBorders>
              <w:top w:val="single" w:sz="4" w:space="0" w:color="000000"/>
              <w:left w:val="single" w:sz="4" w:space="0" w:color="000000"/>
              <w:right w:val="single" w:sz="4" w:space="0" w:color="000000"/>
            </w:tcBorders>
            <w:vAlign w:val="center"/>
          </w:tcPr>
          <w:p w14:paraId="2CF9580D"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cs="Times New Roman"/>
                <w:color w:val="000000"/>
                <w:kern w:val="0"/>
                <w:sz w:val="22"/>
                <w:szCs w:val="22"/>
                <w:lang w:val="ro-RO"/>
              </w:rPr>
              <w:lastRenderedPageBreak/>
              <w:t>D.13 Dezvoltarea programelor/proiectelor privind porturile “verzi” de la litoralul românesc al Mării Negre</w:t>
            </w:r>
          </w:p>
        </w:tc>
        <w:tc>
          <w:tcPr>
            <w:tcW w:w="1999" w:type="dxa"/>
            <w:vMerge w:val="restart"/>
            <w:tcBorders>
              <w:top w:val="single" w:sz="4" w:space="0" w:color="000000"/>
              <w:left w:val="single" w:sz="4" w:space="0" w:color="000000"/>
              <w:right w:val="single" w:sz="4" w:space="0" w:color="000000"/>
            </w:tcBorders>
            <w:vAlign w:val="center"/>
          </w:tcPr>
          <w:p w14:paraId="74B3B80C"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cs="Times New Roman"/>
                <w:color w:val="000000"/>
                <w:kern w:val="0"/>
                <w:sz w:val="22"/>
                <w:szCs w:val="22"/>
                <w:lang w:val="ro-RO"/>
              </w:rPr>
              <w:t>CN APM, MT</w:t>
            </w:r>
          </w:p>
        </w:tc>
        <w:tc>
          <w:tcPr>
            <w:tcW w:w="1559" w:type="dxa"/>
            <w:vMerge w:val="restart"/>
            <w:tcBorders>
              <w:top w:val="single" w:sz="4" w:space="0" w:color="000000"/>
              <w:left w:val="single" w:sz="4" w:space="0" w:color="000000"/>
              <w:right w:val="single" w:sz="4" w:space="0" w:color="000000"/>
            </w:tcBorders>
            <w:vAlign w:val="center"/>
          </w:tcPr>
          <w:p w14:paraId="2DA88F95"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cs="Times New Roman"/>
                <w:color w:val="000000"/>
                <w:kern w:val="0"/>
                <w:sz w:val="22"/>
                <w:szCs w:val="22"/>
                <w:lang w:val="ro-RO"/>
              </w:rPr>
              <w:t>2040</w:t>
            </w:r>
          </w:p>
        </w:tc>
        <w:tc>
          <w:tcPr>
            <w:tcW w:w="2127" w:type="dxa"/>
            <w:vMerge w:val="restart"/>
            <w:shd w:val="clear" w:color="auto" w:fill="auto"/>
            <w:vAlign w:val="center"/>
          </w:tcPr>
          <w:p w14:paraId="36991E45"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Reducerea emisiilor de gaze cu efect de seră</w:t>
            </w:r>
          </w:p>
          <w:p w14:paraId="2B2B206C"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Reducerea emisiilor de poluanți atmosferici</w:t>
            </w:r>
          </w:p>
          <w:p w14:paraId="3087A388"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Reducerea cantității de deșeuri rezultate din activitățile portuare și transport maritim;</w:t>
            </w:r>
          </w:p>
          <w:p w14:paraId="5E995925"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Reducerea emisiilor de poluanți în apă</w:t>
            </w:r>
          </w:p>
          <w:p w14:paraId="3BFDB7E2"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Creșterea numărului de locuri de muncă generată de dezvoltarea verde a porturilor maritime;</w:t>
            </w:r>
          </w:p>
          <w:p w14:paraId="0F8431F8"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Creșterea veniturilor generate de dezvoltarea verde a porturilor maritime.</w:t>
            </w:r>
          </w:p>
        </w:tc>
        <w:tc>
          <w:tcPr>
            <w:tcW w:w="2409" w:type="dxa"/>
            <w:vMerge w:val="restart"/>
            <w:shd w:val="clear" w:color="auto" w:fill="auto"/>
            <w:vAlign w:val="center"/>
          </w:tcPr>
          <w:p w14:paraId="5D7DBAE7" w14:textId="77777777" w:rsidR="00344FCE" w:rsidRPr="00344FCE" w:rsidRDefault="00344FCE" w:rsidP="00563FA0">
            <w:pPr>
              <w:spacing w:before="0" w:after="0" w:line="240" w:lineRule="auto"/>
              <w:ind w:firstLine="0"/>
              <w:rPr>
                <w:rFonts w:cs="Times New Roman"/>
                <w:color w:val="000000"/>
                <w:kern w:val="0"/>
                <w:sz w:val="22"/>
                <w:szCs w:val="22"/>
                <w:lang w:val="ro-RO"/>
              </w:rPr>
            </w:pPr>
          </w:p>
          <w:p w14:paraId="3B781885"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cs="Times New Roman"/>
                <w:color w:val="000000"/>
                <w:kern w:val="0"/>
                <w:sz w:val="22"/>
                <w:szCs w:val="22"/>
                <w:lang w:val="ro-RO"/>
              </w:rPr>
              <w:t>Economie verde / albastră</w:t>
            </w:r>
          </w:p>
        </w:tc>
        <w:tc>
          <w:tcPr>
            <w:tcW w:w="2268" w:type="dxa"/>
            <w:shd w:val="clear" w:color="auto" w:fill="auto"/>
            <w:vAlign w:val="center"/>
          </w:tcPr>
          <w:p w14:paraId="09516FAD" w14:textId="77777777" w:rsidR="00344FCE" w:rsidRPr="00344FCE" w:rsidRDefault="00344FCE" w:rsidP="00563FA0">
            <w:pPr>
              <w:spacing w:before="0" w:after="0" w:line="240" w:lineRule="auto"/>
              <w:ind w:firstLine="0"/>
              <w:rPr>
                <w:rFonts w:cs="Times New Roman"/>
                <w:kern w:val="0"/>
                <w:sz w:val="22"/>
                <w:szCs w:val="22"/>
                <w:lang w:val="ro-RO"/>
              </w:rPr>
            </w:pPr>
            <w:r w:rsidRPr="00344FCE">
              <w:rPr>
                <w:rFonts w:cs="Times New Roman"/>
                <w:color w:val="000000"/>
                <w:kern w:val="0"/>
                <w:sz w:val="22"/>
                <w:szCs w:val="22"/>
                <w:lang w:val="ro-RO"/>
              </w:rPr>
              <w:t>Numărul persoanelor angajate în sectoarele Economiei Albastre - biotehnologii</w:t>
            </w:r>
          </w:p>
        </w:tc>
        <w:tc>
          <w:tcPr>
            <w:tcW w:w="1985" w:type="dxa"/>
            <w:vMerge w:val="restart"/>
            <w:shd w:val="clear" w:color="auto" w:fill="auto"/>
            <w:vAlign w:val="center"/>
          </w:tcPr>
          <w:p w14:paraId="1435ECA8"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73C4B455"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5C470FC5"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p w14:paraId="2D34F22D"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633B7A9E"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2034</w:t>
            </w:r>
          </w:p>
        </w:tc>
      </w:tr>
      <w:tr w:rsidR="00344FCE" w:rsidRPr="00344FCE" w14:paraId="3DD1BA19" w14:textId="77777777" w:rsidTr="00563FA0">
        <w:trPr>
          <w:trHeight w:val="20"/>
        </w:trPr>
        <w:tc>
          <w:tcPr>
            <w:tcW w:w="2787" w:type="dxa"/>
            <w:vMerge/>
            <w:tcBorders>
              <w:left w:val="single" w:sz="4" w:space="0" w:color="000000"/>
              <w:right w:val="single" w:sz="4" w:space="0" w:color="000000"/>
            </w:tcBorders>
            <w:vAlign w:val="center"/>
          </w:tcPr>
          <w:p w14:paraId="3EB36D9B" w14:textId="77777777" w:rsidR="00344FCE" w:rsidRPr="00344FCE" w:rsidRDefault="00344FCE" w:rsidP="00563FA0">
            <w:pPr>
              <w:spacing w:before="0" w:after="0" w:line="240" w:lineRule="auto"/>
              <w:ind w:firstLine="0"/>
              <w:rPr>
                <w:rFonts w:cs="Times New Roman"/>
                <w:color w:val="000000"/>
                <w:kern w:val="0"/>
                <w:sz w:val="22"/>
                <w:szCs w:val="22"/>
                <w:lang w:val="ro-RO"/>
              </w:rPr>
            </w:pPr>
          </w:p>
        </w:tc>
        <w:tc>
          <w:tcPr>
            <w:tcW w:w="1999" w:type="dxa"/>
            <w:vMerge/>
            <w:tcBorders>
              <w:left w:val="single" w:sz="4" w:space="0" w:color="000000"/>
              <w:right w:val="single" w:sz="4" w:space="0" w:color="000000"/>
            </w:tcBorders>
            <w:vAlign w:val="center"/>
          </w:tcPr>
          <w:p w14:paraId="0480A210" w14:textId="77777777" w:rsidR="00344FCE" w:rsidRPr="00344FCE" w:rsidRDefault="00344FCE" w:rsidP="00344FCE">
            <w:pPr>
              <w:spacing w:before="0" w:after="0" w:line="240" w:lineRule="auto"/>
              <w:ind w:firstLine="0"/>
              <w:jc w:val="center"/>
              <w:rPr>
                <w:rFonts w:cs="Times New Roman"/>
                <w:color w:val="000000"/>
                <w:kern w:val="0"/>
                <w:sz w:val="22"/>
                <w:szCs w:val="22"/>
                <w:lang w:val="ro-RO"/>
              </w:rPr>
            </w:pPr>
          </w:p>
        </w:tc>
        <w:tc>
          <w:tcPr>
            <w:tcW w:w="1559" w:type="dxa"/>
            <w:vMerge/>
            <w:tcBorders>
              <w:left w:val="single" w:sz="4" w:space="0" w:color="000000"/>
              <w:right w:val="single" w:sz="4" w:space="0" w:color="000000"/>
            </w:tcBorders>
            <w:vAlign w:val="center"/>
          </w:tcPr>
          <w:p w14:paraId="55D5EF9E" w14:textId="77777777" w:rsidR="00344FCE" w:rsidRPr="00344FCE" w:rsidRDefault="00344FCE" w:rsidP="00344FCE">
            <w:pPr>
              <w:spacing w:before="0" w:after="0" w:line="240" w:lineRule="auto"/>
              <w:ind w:firstLine="0"/>
              <w:jc w:val="center"/>
              <w:rPr>
                <w:rFonts w:cs="Times New Roman"/>
                <w:color w:val="000000"/>
                <w:kern w:val="0"/>
                <w:sz w:val="22"/>
                <w:szCs w:val="22"/>
                <w:lang w:val="ro-RO"/>
              </w:rPr>
            </w:pPr>
          </w:p>
        </w:tc>
        <w:tc>
          <w:tcPr>
            <w:tcW w:w="2127" w:type="dxa"/>
            <w:vMerge/>
            <w:shd w:val="clear" w:color="auto" w:fill="auto"/>
            <w:vAlign w:val="center"/>
          </w:tcPr>
          <w:p w14:paraId="0B5655E5"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0A29EF56" w14:textId="77777777" w:rsidR="00344FCE" w:rsidRPr="00344FCE" w:rsidRDefault="00344FCE" w:rsidP="00563FA0">
            <w:pPr>
              <w:spacing w:before="0" w:after="0" w:line="240" w:lineRule="auto"/>
              <w:ind w:firstLine="0"/>
              <w:rPr>
                <w:rFonts w:cs="Times New Roman"/>
                <w:color w:val="000000"/>
                <w:kern w:val="0"/>
                <w:sz w:val="22"/>
                <w:szCs w:val="22"/>
                <w:lang w:val="ro-RO"/>
              </w:rPr>
            </w:pPr>
          </w:p>
        </w:tc>
        <w:tc>
          <w:tcPr>
            <w:tcW w:w="2268" w:type="dxa"/>
            <w:shd w:val="clear" w:color="auto" w:fill="auto"/>
            <w:vAlign w:val="center"/>
          </w:tcPr>
          <w:p w14:paraId="05CF721D" w14:textId="77777777" w:rsidR="00344FCE" w:rsidRPr="00344FCE" w:rsidRDefault="00344FCE" w:rsidP="00563FA0">
            <w:pPr>
              <w:spacing w:before="0" w:after="0" w:line="240" w:lineRule="auto"/>
              <w:ind w:firstLine="0"/>
              <w:rPr>
                <w:rFonts w:cs="Times New Roman"/>
                <w:kern w:val="0"/>
                <w:sz w:val="22"/>
                <w:szCs w:val="22"/>
                <w:lang w:val="ro-RO"/>
              </w:rPr>
            </w:pPr>
            <w:r w:rsidRPr="00344FCE">
              <w:rPr>
                <w:rFonts w:cs="Times New Roman"/>
                <w:color w:val="000000"/>
                <w:kern w:val="0"/>
                <w:sz w:val="22"/>
                <w:szCs w:val="22"/>
                <w:lang w:val="ro-RO"/>
              </w:rPr>
              <w:t>Total venituri generate de sectoarele Economiei Albastre – biotehnologii</w:t>
            </w:r>
          </w:p>
        </w:tc>
        <w:tc>
          <w:tcPr>
            <w:tcW w:w="1985" w:type="dxa"/>
            <w:vMerge/>
            <w:shd w:val="clear" w:color="auto" w:fill="auto"/>
            <w:vAlign w:val="center"/>
          </w:tcPr>
          <w:p w14:paraId="02597B09"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r>
      <w:tr w:rsidR="00344FCE" w:rsidRPr="00344FCE" w14:paraId="2DAE6F27" w14:textId="77777777" w:rsidTr="00563FA0">
        <w:trPr>
          <w:trHeight w:val="20"/>
        </w:trPr>
        <w:tc>
          <w:tcPr>
            <w:tcW w:w="2787" w:type="dxa"/>
            <w:vMerge/>
            <w:tcBorders>
              <w:left w:val="single" w:sz="4" w:space="0" w:color="000000"/>
              <w:right w:val="single" w:sz="4" w:space="0" w:color="000000"/>
            </w:tcBorders>
            <w:vAlign w:val="center"/>
          </w:tcPr>
          <w:p w14:paraId="31DD22E8" w14:textId="77777777" w:rsidR="00344FCE" w:rsidRPr="00344FCE" w:rsidRDefault="00344FCE" w:rsidP="00563FA0">
            <w:pPr>
              <w:spacing w:before="0" w:after="0" w:line="240" w:lineRule="auto"/>
              <w:ind w:firstLine="0"/>
              <w:rPr>
                <w:rFonts w:cs="Times New Roman"/>
                <w:color w:val="000000"/>
                <w:kern w:val="0"/>
                <w:sz w:val="22"/>
                <w:szCs w:val="22"/>
                <w:lang w:val="ro-RO"/>
              </w:rPr>
            </w:pPr>
          </w:p>
        </w:tc>
        <w:tc>
          <w:tcPr>
            <w:tcW w:w="1999" w:type="dxa"/>
            <w:vMerge/>
            <w:tcBorders>
              <w:left w:val="single" w:sz="4" w:space="0" w:color="000000"/>
              <w:right w:val="single" w:sz="4" w:space="0" w:color="000000"/>
            </w:tcBorders>
            <w:vAlign w:val="center"/>
          </w:tcPr>
          <w:p w14:paraId="0B90F640" w14:textId="77777777" w:rsidR="00344FCE" w:rsidRPr="00344FCE" w:rsidRDefault="00344FCE" w:rsidP="00344FCE">
            <w:pPr>
              <w:spacing w:before="0" w:after="0" w:line="240" w:lineRule="auto"/>
              <w:ind w:firstLine="0"/>
              <w:jc w:val="center"/>
              <w:rPr>
                <w:rFonts w:cs="Times New Roman"/>
                <w:color w:val="000000"/>
                <w:kern w:val="0"/>
                <w:sz w:val="22"/>
                <w:szCs w:val="22"/>
                <w:lang w:val="ro-RO"/>
              </w:rPr>
            </w:pPr>
          </w:p>
        </w:tc>
        <w:tc>
          <w:tcPr>
            <w:tcW w:w="1559" w:type="dxa"/>
            <w:vMerge/>
            <w:tcBorders>
              <w:left w:val="single" w:sz="4" w:space="0" w:color="000000"/>
              <w:right w:val="single" w:sz="4" w:space="0" w:color="000000"/>
            </w:tcBorders>
            <w:vAlign w:val="center"/>
          </w:tcPr>
          <w:p w14:paraId="5343B22A" w14:textId="77777777" w:rsidR="00344FCE" w:rsidRPr="00344FCE" w:rsidRDefault="00344FCE" w:rsidP="00344FCE">
            <w:pPr>
              <w:spacing w:before="0" w:after="0" w:line="240" w:lineRule="auto"/>
              <w:ind w:firstLine="0"/>
              <w:jc w:val="center"/>
              <w:rPr>
                <w:rFonts w:cs="Times New Roman"/>
                <w:color w:val="000000"/>
                <w:kern w:val="0"/>
                <w:sz w:val="22"/>
                <w:szCs w:val="22"/>
                <w:lang w:val="ro-RO"/>
              </w:rPr>
            </w:pPr>
          </w:p>
        </w:tc>
        <w:tc>
          <w:tcPr>
            <w:tcW w:w="2127" w:type="dxa"/>
            <w:vMerge/>
            <w:shd w:val="clear" w:color="auto" w:fill="auto"/>
            <w:vAlign w:val="center"/>
          </w:tcPr>
          <w:p w14:paraId="6716E8F2"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2409" w:type="dxa"/>
            <w:shd w:val="clear" w:color="auto" w:fill="auto"/>
            <w:vAlign w:val="center"/>
          </w:tcPr>
          <w:p w14:paraId="74F37722"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cs="Times New Roman"/>
                <w:color w:val="000000"/>
                <w:kern w:val="0"/>
                <w:sz w:val="22"/>
                <w:szCs w:val="22"/>
                <w:lang w:val="ro-RO"/>
              </w:rPr>
              <w:t>Calitatea aerului</w:t>
            </w:r>
          </w:p>
        </w:tc>
        <w:tc>
          <w:tcPr>
            <w:tcW w:w="2268" w:type="dxa"/>
            <w:shd w:val="clear" w:color="auto" w:fill="auto"/>
            <w:vAlign w:val="center"/>
          </w:tcPr>
          <w:p w14:paraId="3B2E50C8" w14:textId="77777777" w:rsidR="00344FCE" w:rsidRPr="00344FCE" w:rsidRDefault="00344FCE" w:rsidP="00563FA0">
            <w:pPr>
              <w:spacing w:before="0" w:after="0" w:line="240" w:lineRule="auto"/>
              <w:ind w:firstLine="0"/>
              <w:rPr>
                <w:rFonts w:cs="Times New Roman"/>
                <w:kern w:val="0"/>
                <w:sz w:val="22"/>
                <w:szCs w:val="22"/>
                <w:lang w:val="ro-RO"/>
              </w:rPr>
            </w:pPr>
            <w:r w:rsidRPr="00344FCE">
              <w:rPr>
                <w:rFonts w:cs="Times New Roman"/>
                <w:color w:val="000000"/>
                <w:kern w:val="0"/>
                <w:sz w:val="22"/>
                <w:szCs w:val="22"/>
                <w:lang w:val="ro-RO"/>
              </w:rPr>
              <w:t>Concentrațiile poluanților atmosferici (valori orare, la 8 ore, zilnice)</w:t>
            </w:r>
          </w:p>
        </w:tc>
        <w:tc>
          <w:tcPr>
            <w:tcW w:w="1985" w:type="dxa"/>
            <w:vMerge/>
            <w:shd w:val="clear" w:color="auto" w:fill="auto"/>
            <w:vAlign w:val="center"/>
          </w:tcPr>
          <w:p w14:paraId="7ADDE530"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r>
      <w:tr w:rsidR="00344FCE" w:rsidRPr="00344FCE" w14:paraId="5B4A5E05" w14:textId="77777777" w:rsidTr="00563FA0">
        <w:trPr>
          <w:trHeight w:val="20"/>
        </w:trPr>
        <w:tc>
          <w:tcPr>
            <w:tcW w:w="2787" w:type="dxa"/>
            <w:vMerge/>
            <w:tcBorders>
              <w:left w:val="single" w:sz="4" w:space="0" w:color="000000"/>
              <w:right w:val="single" w:sz="4" w:space="0" w:color="000000"/>
            </w:tcBorders>
            <w:vAlign w:val="center"/>
          </w:tcPr>
          <w:p w14:paraId="17EB09CE" w14:textId="77777777" w:rsidR="00344FCE" w:rsidRPr="00344FCE" w:rsidRDefault="00344FCE" w:rsidP="00563FA0">
            <w:pPr>
              <w:spacing w:before="0" w:after="0" w:line="240" w:lineRule="auto"/>
              <w:ind w:firstLine="0"/>
              <w:rPr>
                <w:rFonts w:cs="Times New Roman"/>
                <w:color w:val="000000"/>
                <w:kern w:val="0"/>
                <w:sz w:val="22"/>
                <w:szCs w:val="22"/>
                <w:lang w:val="ro-RO"/>
              </w:rPr>
            </w:pPr>
          </w:p>
        </w:tc>
        <w:tc>
          <w:tcPr>
            <w:tcW w:w="1999" w:type="dxa"/>
            <w:vMerge/>
            <w:tcBorders>
              <w:left w:val="single" w:sz="4" w:space="0" w:color="000000"/>
              <w:right w:val="single" w:sz="4" w:space="0" w:color="000000"/>
            </w:tcBorders>
            <w:vAlign w:val="center"/>
          </w:tcPr>
          <w:p w14:paraId="2EE3E71F" w14:textId="77777777" w:rsidR="00344FCE" w:rsidRPr="00344FCE" w:rsidRDefault="00344FCE" w:rsidP="00344FCE">
            <w:pPr>
              <w:spacing w:before="0" w:after="0" w:line="240" w:lineRule="auto"/>
              <w:ind w:firstLine="0"/>
              <w:jc w:val="center"/>
              <w:rPr>
                <w:rFonts w:cs="Times New Roman"/>
                <w:color w:val="000000"/>
                <w:kern w:val="0"/>
                <w:sz w:val="22"/>
                <w:szCs w:val="22"/>
                <w:lang w:val="ro-RO"/>
              </w:rPr>
            </w:pPr>
          </w:p>
        </w:tc>
        <w:tc>
          <w:tcPr>
            <w:tcW w:w="1559" w:type="dxa"/>
            <w:vMerge/>
            <w:tcBorders>
              <w:left w:val="single" w:sz="4" w:space="0" w:color="000000"/>
              <w:right w:val="single" w:sz="4" w:space="0" w:color="000000"/>
            </w:tcBorders>
            <w:vAlign w:val="center"/>
          </w:tcPr>
          <w:p w14:paraId="78266E72" w14:textId="77777777" w:rsidR="00344FCE" w:rsidRPr="00344FCE" w:rsidRDefault="00344FCE" w:rsidP="00344FCE">
            <w:pPr>
              <w:spacing w:before="0" w:after="0" w:line="240" w:lineRule="auto"/>
              <w:ind w:firstLine="0"/>
              <w:jc w:val="center"/>
              <w:rPr>
                <w:rFonts w:cs="Times New Roman"/>
                <w:color w:val="000000"/>
                <w:kern w:val="0"/>
                <w:sz w:val="22"/>
                <w:szCs w:val="22"/>
                <w:lang w:val="ro-RO"/>
              </w:rPr>
            </w:pPr>
          </w:p>
        </w:tc>
        <w:tc>
          <w:tcPr>
            <w:tcW w:w="2127" w:type="dxa"/>
            <w:vMerge/>
            <w:shd w:val="clear" w:color="auto" w:fill="auto"/>
            <w:vAlign w:val="center"/>
          </w:tcPr>
          <w:p w14:paraId="7567F19D"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2409" w:type="dxa"/>
            <w:vMerge w:val="restart"/>
            <w:shd w:val="clear" w:color="auto" w:fill="auto"/>
            <w:vAlign w:val="center"/>
          </w:tcPr>
          <w:p w14:paraId="2FAD0AF3" w14:textId="77777777" w:rsidR="00344FCE" w:rsidRPr="00344FCE" w:rsidRDefault="00344FCE" w:rsidP="00563FA0">
            <w:pPr>
              <w:spacing w:before="0" w:after="0" w:line="240" w:lineRule="auto"/>
              <w:ind w:firstLine="0"/>
              <w:rPr>
                <w:rFonts w:cs="Times New Roman"/>
                <w:color w:val="000000"/>
                <w:kern w:val="0"/>
                <w:sz w:val="22"/>
                <w:szCs w:val="22"/>
                <w:lang w:val="ro-RO"/>
              </w:rPr>
            </w:pPr>
          </w:p>
          <w:p w14:paraId="1C89C9F2"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cs="Times New Roman"/>
                <w:color w:val="000000"/>
                <w:kern w:val="0"/>
                <w:sz w:val="22"/>
                <w:szCs w:val="22"/>
                <w:lang w:val="ro-RO"/>
              </w:rPr>
              <w:t>Transport sustenabil</w:t>
            </w:r>
          </w:p>
        </w:tc>
        <w:tc>
          <w:tcPr>
            <w:tcW w:w="2268" w:type="dxa"/>
            <w:shd w:val="clear" w:color="auto" w:fill="auto"/>
            <w:vAlign w:val="center"/>
          </w:tcPr>
          <w:p w14:paraId="6D150F32" w14:textId="77777777" w:rsidR="00344FCE" w:rsidRPr="00344FCE" w:rsidRDefault="00344FCE" w:rsidP="00563FA0">
            <w:pPr>
              <w:spacing w:before="0" w:after="0" w:line="240" w:lineRule="auto"/>
              <w:ind w:firstLine="0"/>
              <w:rPr>
                <w:rFonts w:cs="Times New Roman"/>
                <w:kern w:val="0"/>
                <w:sz w:val="22"/>
                <w:szCs w:val="22"/>
                <w:lang w:val="ro-RO"/>
              </w:rPr>
            </w:pPr>
            <w:r w:rsidRPr="00344FCE">
              <w:rPr>
                <w:rFonts w:cs="Times New Roman"/>
                <w:color w:val="000000"/>
                <w:kern w:val="0"/>
                <w:sz w:val="22"/>
                <w:szCs w:val="22"/>
                <w:lang w:val="ro-RO"/>
              </w:rPr>
              <w:t>Procentul de vehicule ce folosesc surse alternative de energie</w:t>
            </w:r>
          </w:p>
        </w:tc>
        <w:tc>
          <w:tcPr>
            <w:tcW w:w="1985" w:type="dxa"/>
            <w:vMerge/>
            <w:shd w:val="clear" w:color="auto" w:fill="auto"/>
            <w:vAlign w:val="center"/>
          </w:tcPr>
          <w:p w14:paraId="5BF4D98A"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r>
      <w:tr w:rsidR="00344FCE" w:rsidRPr="00344FCE" w14:paraId="64E6E657" w14:textId="77777777" w:rsidTr="00563FA0">
        <w:trPr>
          <w:trHeight w:val="20"/>
        </w:trPr>
        <w:tc>
          <w:tcPr>
            <w:tcW w:w="2787" w:type="dxa"/>
            <w:vMerge/>
            <w:tcBorders>
              <w:left w:val="single" w:sz="4" w:space="0" w:color="000000"/>
              <w:right w:val="single" w:sz="4" w:space="0" w:color="000000"/>
            </w:tcBorders>
            <w:vAlign w:val="center"/>
          </w:tcPr>
          <w:p w14:paraId="4F05CC51" w14:textId="77777777" w:rsidR="00344FCE" w:rsidRPr="00344FCE" w:rsidRDefault="00344FCE" w:rsidP="00563FA0">
            <w:pPr>
              <w:spacing w:before="0" w:after="0" w:line="240" w:lineRule="auto"/>
              <w:ind w:firstLine="0"/>
              <w:rPr>
                <w:rFonts w:cs="Times New Roman"/>
                <w:color w:val="000000"/>
                <w:kern w:val="0"/>
                <w:sz w:val="22"/>
                <w:szCs w:val="22"/>
                <w:lang w:val="ro-RO"/>
              </w:rPr>
            </w:pPr>
          </w:p>
        </w:tc>
        <w:tc>
          <w:tcPr>
            <w:tcW w:w="1999" w:type="dxa"/>
            <w:vMerge/>
            <w:tcBorders>
              <w:left w:val="single" w:sz="4" w:space="0" w:color="000000"/>
              <w:right w:val="single" w:sz="4" w:space="0" w:color="000000"/>
            </w:tcBorders>
            <w:vAlign w:val="center"/>
          </w:tcPr>
          <w:p w14:paraId="2C7C2BD9" w14:textId="77777777" w:rsidR="00344FCE" w:rsidRPr="00344FCE" w:rsidRDefault="00344FCE" w:rsidP="00344FCE">
            <w:pPr>
              <w:spacing w:before="0" w:after="0" w:line="240" w:lineRule="auto"/>
              <w:ind w:firstLine="0"/>
              <w:jc w:val="center"/>
              <w:rPr>
                <w:rFonts w:cs="Times New Roman"/>
                <w:color w:val="000000"/>
                <w:kern w:val="0"/>
                <w:sz w:val="22"/>
                <w:szCs w:val="22"/>
                <w:lang w:val="ro-RO"/>
              </w:rPr>
            </w:pPr>
          </w:p>
        </w:tc>
        <w:tc>
          <w:tcPr>
            <w:tcW w:w="1559" w:type="dxa"/>
            <w:vMerge/>
            <w:tcBorders>
              <w:left w:val="single" w:sz="4" w:space="0" w:color="000000"/>
              <w:right w:val="single" w:sz="4" w:space="0" w:color="000000"/>
            </w:tcBorders>
            <w:vAlign w:val="center"/>
          </w:tcPr>
          <w:p w14:paraId="32AAF74E" w14:textId="77777777" w:rsidR="00344FCE" w:rsidRPr="00344FCE" w:rsidRDefault="00344FCE" w:rsidP="00344FCE">
            <w:pPr>
              <w:spacing w:before="0" w:after="0" w:line="240" w:lineRule="auto"/>
              <w:ind w:firstLine="0"/>
              <w:jc w:val="center"/>
              <w:rPr>
                <w:rFonts w:cs="Times New Roman"/>
                <w:color w:val="000000"/>
                <w:kern w:val="0"/>
                <w:sz w:val="22"/>
                <w:szCs w:val="22"/>
                <w:lang w:val="ro-RO"/>
              </w:rPr>
            </w:pPr>
          </w:p>
        </w:tc>
        <w:tc>
          <w:tcPr>
            <w:tcW w:w="2127" w:type="dxa"/>
            <w:vMerge/>
            <w:shd w:val="clear" w:color="auto" w:fill="auto"/>
            <w:vAlign w:val="center"/>
          </w:tcPr>
          <w:p w14:paraId="63DE2C26"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2409" w:type="dxa"/>
            <w:vMerge/>
            <w:shd w:val="clear" w:color="auto" w:fill="auto"/>
            <w:vAlign w:val="center"/>
          </w:tcPr>
          <w:p w14:paraId="5D508C36" w14:textId="77777777" w:rsidR="00344FCE" w:rsidRPr="00344FCE" w:rsidRDefault="00344FCE" w:rsidP="00563FA0">
            <w:pPr>
              <w:spacing w:before="0" w:after="0" w:line="240" w:lineRule="auto"/>
              <w:ind w:firstLine="0"/>
              <w:rPr>
                <w:rFonts w:cs="Times New Roman"/>
                <w:color w:val="000000"/>
                <w:kern w:val="0"/>
                <w:sz w:val="22"/>
                <w:szCs w:val="22"/>
                <w:lang w:val="ro-RO"/>
              </w:rPr>
            </w:pPr>
          </w:p>
        </w:tc>
        <w:tc>
          <w:tcPr>
            <w:tcW w:w="2268" w:type="dxa"/>
            <w:shd w:val="clear" w:color="auto" w:fill="auto"/>
            <w:vAlign w:val="center"/>
          </w:tcPr>
          <w:p w14:paraId="761FEEB9" w14:textId="77777777" w:rsidR="00344FCE" w:rsidRPr="00344FCE" w:rsidRDefault="00344FCE" w:rsidP="00563FA0">
            <w:pPr>
              <w:spacing w:before="0" w:after="0" w:line="240" w:lineRule="auto"/>
              <w:ind w:firstLine="0"/>
              <w:rPr>
                <w:rFonts w:cs="Times New Roman"/>
                <w:kern w:val="0"/>
                <w:sz w:val="22"/>
                <w:szCs w:val="22"/>
                <w:lang w:val="ro-RO"/>
              </w:rPr>
            </w:pPr>
            <w:r w:rsidRPr="00344FCE">
              <w:rPr>
                <w:rFonts w:cs="Times New Roman"/>
                <w:color w:val="000000"/>
                <w:kern w:val="0"/>
                <w:sz w:val="22"/>
                <w:szCs w:val="22"/>
                <w:lang w:val="ro-RO"/>
              </w:rPr>
              <w:t>Procentul de ambarcațiuni ce folosesc surse alternative de energie</w:t>
            </w:r>
          </w:p>
        </w:tc>
        <w:tc>
          <w:tcPr>
            <w:tcW w:w="1985" w:type="dxa"/>
            <w:vMerge/>
            <w:shd w:val="clear" w:color="auto" w:fill="auto"/>
            <w:vAlign w:val="center"/>
          </w:tcPr>
          <w:p w14:paraId="421619C1"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r>
      <w:tr w:rsidR="00344FCE" w:rsidRPr="00344FCE" w14:paraId="4DF4C926" w14:textId="77777777" w:rsidTr="00563FA0">
        <w:trPr>
          <w:trHeight w:val="20"/>
        </w:trPr>
        <w:tc>
          <w:tcPr>
            <w:tcW w:w="2787" w:type="dxa"/>
            <w:vMerge/>
            <w:tcBorders>
              <w:left w:val="single" w:sz="4" w:space="0" w:color="000000"/>
              <w:bottom w:val="single" w:sz="4" w:space="0" w:color="000000"/>
              <w:right w:val="single" w:sz="4" w:space="0" w:color="000000"/>
            </w:tcBorders>
            <w:vAlign w:val="center"/>
          </w:tcPr>
          <w:p w14:paraId="091F80A9" w14:textId="77777777" w:rsidR="00344FCE" w:rsidRPr="00344FCE" w:rsidRDefault="00344FCE" w:rsidP="00563FA0">
            <w:pPr>
              <w:spacing w:before="0" w:after="0" w:line="240" w:lineRule="auto"/>
              <w:ind w:firstLine="0"/>
              <w:rPr>
                <w:rFonts w:cs="Times New Roman"/>
                <w:color w:val="000000"/>
                <w:kern w:val="0"/>
                <w:sz w:val="22"/>
                <w:szCs w:val="22"/>
                <w:lang w:val="ro-RO"/>
              </w:rPr>
            </w:pPr>
          </w:p>
        </w:tc>
        <w:tc>
          <w:tcPr>
            <w:tcW w:w="1999" w:type="dxa"/>
            <w:vMerge/>
            <w:tcBorders>
              <w:left w:val="single" w:sz="4" w:space="0" w:color="000000"/>
              <w:bottom w:val="single" w:sz="4" w:space="0" w:color="000000"/>
              <w:right w:val="single" w:sz="4" w:space="0" w:color="000000"/>
            </w:tcBorders>
            <w:vAlign w:val="center"/>
          </w:tcPr>
          <w:p w14:paraId="189779D6" w14:textId="77777777" w:rsidR="00344FCE" w:rsidRPr="00344FCE" w:rsidRDefault="00344FCE" w:rsidP="00344FCE">
            <w:pPr>
              <w:spacing w:before="0" w:after="0" w:line="240" w:lineRule="auto"/>
              <w:ind w:firstLine="0"/>
              <w:jc w:val="center"/>
              <w:rPr>
                <w:rFonts w:cs="Times New Roman"/>
                <w:color w:val="000000"/>
                <w:kern w:val="0"/>
                <w:sz w:val="22"/>
                <w:szCs w:val="22"/>
                <w:lang w:val="ro-RO"/>
              </w:rPr>
            </w:pPr>
          </w:p>
        </w:tc>
        <w:tc>
          <w:tcPr>
            <w:tcW w:w="1559" w:type="dxa"/>
            <w:vMerge/>
            <w:tcBorders>
              <w:left w:val="single" w:sz="4" w:space="0" w:color="000000"/>
              <w:bottom w:val="single" w:sz="4" w:space="0" w:color="000000"/>
              <w:right w:val="single" w:sz="4" w:space="0" w:color="000000"/>
            </w:tcBorders>
            <w:vAlign w:val="center"/>
          </w:tcPr>
          <w:p w14:paraId="0629C131" w14:textId="77777777" w:rsidR="00344FCE" w:rsidRPr="00344FCE" w:rsidRDefault="00344FCE" w:rsidP="00344FCE">
            <w:pPr>
              <w:spacing w:before="0" w:after="0" w:line="240" w:lineRule="auto"/>
              <w:ind w:firstLine="0"/>
              <w:jc w:val="center"/>
              <w:rPr>
                <w:rFonts w:cs="Times New Roman"/>
                <w:color w:val="000000"/>
                <w:kern w:val="0"/>
                <w:sz w:val="22"/>
                <w:szCs w:val="22"/>
                <w:lang w:val="ro-RO"/>
              </w:rPr>
            </w:pPr>
          </w:p>
        </w:tc>
        <w:tc>
          <w:tcPr>
            <w:tcW w:w="2127" w:type="dxa"/>
            <w:vMerge/>
            <w:shd w:val="clear" w:color="auto" w:fill="auto"/>
            <w:vAlign w:val="center"/>
          </w:tcPr>
          <w:p w14:paraId="0AE51BFE"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2409" w:type="dxa"/>
            <w:shd w:val="clear" w:color="auto" w:fill="auto"/>
            <w:vAlign w:val="center"/>
          </w:tcPr>
          <w:p w14:paraId="126F92AD"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Poluare cu substanțe periculoase</w:t>
            </w:r>
          </w:p>
        </w:tc>
        <w:tc>
          <w:tcPr>
            <w:tcW w:w="2268" w:type="dxa"/>
            <w:tcBorders>
              <w:bottom w:val="single" w:sz="4" w:space="0" w:color="000000"/>
            </w:tcBorders>
            <w:shd w:val="clear" w:color="auto" w:fill="auto"/>
            <w:vAlign w:val="center"/>
          </w:tcPr>
          <w:p w14:paraId="5D5AC18D" w14:textId="77777777" w:rsidR="00344FCE" w:rsidRPr="00344FCE" w:rsidRDefault="00344FCE" w:rsidP="00563FA0">
            <w:pPr>
              <w:spacing w:before="0" w:after="0" w:line="240" w:lineRule="auto"/>
              <w:ind w:firstLine="0"/>
              <w:rPr>
                <w:rFonts w:cs="Times New Roman"/>
                <w:kern w:val="0"/>
                <w:sz w:val="22"/>
                <w:szCs w:val="22"/>
                <w:lang w:val="ro-RO"/>
              </w:rPr>
            </w:pPr>
            <w:r w:rsidRPr="00344FCE">
              <w:rPr>
                <w:rFonts w:cs="Times New Roman"/>
                <w:color w:val="000000"/>
                <w:kern w:val="0"/>
                <w:sz w:val="22"/>
                <w:szCs w:val="22"/>
                <w:lang w:val="ro-RO"/>
              </w:rPr>
              <w:t>Evacuări de substanțe periculoase în mediul acvatic din surse punctiforme</w:t>
            </w:r>
          </w:p>
        </w:tc>
        <w:tc>
          <w:tcPr>
            <w:tcW w:w="1985" w:type="dxa"/>
            <w:vMerge/>
            <w:shd w:val="clear" w:color="auto" w:fill="auto"/>
            <w:vAlign w:val="center"/>
          </w:tcPr>
          <w:p w14:paraId="7DC01BBB"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r>
      <w:tr w:rsidR="00344FCE" w:rsidRPr="00344FCE" w14:paraId="636E7085" w14:textId="77777777" w:rsidTr="00563FA0">
        <w:trPr>
          <w:trHeight w:val="20"/>
        </w:trPr>
        <w:tc>
          <w:tcPr>
            <w:tcW w:w="2787" w:type="dxa"/>
            <w:shd w:val="clear" w:color="auto" w:fill="F2F2F2"/>
            <w:vAlign w:val="center"/>
          </w:tcPr>
          <w:p w14:paraId="42D58627"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E.1 Crearea unui cadru coerent, integrat și sinergic de planificare spațială specific pentru teritoriul transfrontalier și regional</w:t>
            </w:r>
          </w:p>
        </w:tc>
        <w:tc>
          <w:tcPr>
            <w:tcW w:w="1999" w:type="dxa"/>
            <w:shd w:val="clear" w:color="auto" w:fill="F2F2F2"/>
            <w:vAlign w:val="center"/>
          </w:tcPr>
          <w:p w14:paraId="14886DB9"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MDLPA, autorități locale (prin CJ Constanța și Tulcea), MAE</w:t>
            </w:r>
          </w:p>
        </w:tc>
        <w:tc>
          <w:tcPr>
            <w:tcW w:w="1559" w:type="dxa"/>
            <w:shd w:val="clear" w:color="auto" w:fill="F2F2F2"/>
            <w:vAlign w:val="center"/>
          </w:tcPr>
          <w:p w14:paraId="50E606BB"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tc>
        <w:tc>
          <w:tcPr>
            <w:tcW w:w="2127" w:type="dxa"/>
            <w:shd w:val="clear" w:color="auto" w:fill="F2F2F2"/>
            <w:vAlign w:val="center"/>
          </w:tcPr>
          <w:p w14:paraId="239D1A70"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Realizarea metodologiilor de elaborare a planurilor de amenajare a teritoriului zonal transfrontalier și interjudețean</w:t>
            </w:r>
          </w:p>
        </w:tc>
        <w:tc>
          <w:tcPr>
            <w:tcW w:w="2409" w:type="dxa"/>
            <w:shd w:val="clear" w:color="auto" w:fill="F2F2F2"/>
            <w:vAlign w:val="center"/>
          </w:tcPr>
          <w:p w14:paraId="5D0C00BE"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Planificarea spațială a teritoriului</w:t>
            </w:r>
          </w:p>
          <w:p w14:paraId="308572DC"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tc>
        <w:tc>
          <w:tcPr>
            <w:tcW w:w="2268" w:type="dxa"/>
            <w:tcBorders>
              <w:bottom w:val="single" w:sz="4" w:space="0" w:color="000000"/>
            </w:tcBorders>
            <w:shd w:val="clear" w:color="auto" w:fill="F2F2F2"/>
            <w:vAlign w:val="center"/>
          </w:tcPr>
          <w:p w14:paraId="0A9422BD"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PATZ</w:t>
            </w:r>
          </w:p>
        </w:tc>
        <w:tc>
          <w:tcPr>
            <w:tcW w:w="1985" w:type="dxa"/>
            <w:shd w:val="clear" w:color="auto" w:fill="F2F2F2"/>
            <w:vAlign w:val="center"/>
          </w:tcPr>
          <w:p w14:paraId="700564B4"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19F54880"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71EB1AC2"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r>
      <w:tr w:rsidR="00344FCE" w:rsidRPr="00344FCE" w14:paraId="7BDF5A5E" w14:textId="77777777" w:rsidTr="00563FA0">
        <w:trPr>
          <w:trHeight w:val="20"/>
        </w:trPr>
        <w:tc>
          <w:tcPr>
            <w:tcW w:w="2787" w:type="dxa"/>
            <w:vMerge w:val="restart"/>
            <w:shd w:val="clear" w:color="auto" w:fill="F2F2F2"/>
            <w:vAlign w:val="center"/>
          </w:tcPr>
          <w:p w14:paraId="1EDF9BD3"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E.2 Crearea unui cadru coerent și integrat de </w:t>
            </w:r>
            <w:r w:rsidRPr="00344FCE">
              <w:rPr>
                <w:rFonts w:eastAsia="Times New Roman" w:cs="Times New Roman"/>
                <w:kern w:val="0"/>
                <w:sz w:val="22"/>
                <w:szCs w:val="22"/>
                <w:lang w:val="ro-RO"/>
              </w:rPr>
              <w:lastRenderedPageBreak/>
              <w:t>planificare strategică și planificare spațială la nivel zonal și local, specific zonei costiere</w:t>
            </w:r>
          </w:p>
        </w:tc>
        <w:tc>
          <w:tcPr>
            <w:tcW w:w="1999" w:type="dxa"/>
            <w:vMerge w:val="restart"/>
            <w:shd w:val="clear" w:color="auto" w:fill="F2F2F2"/>
            <w:vAlign w:val="center"/>
          </w:tcPr>
          <w:p w14:paraId="0369AAA6"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lastRenderedPageBreak/>
              <w:t xml:space="preserve">MDLPA, autorități locale (prin Consilii </w:t>
            </w:r>
            <w:r w:rsidRPr="00344FCE">
              <w:rPr>
                <w:rFonts w:eastAsia="Times New Roman" w:cs="Times New Roman"/>
                <w:kern w:val="0"/>
                <w:sz w:val="22"/>
                <w:szCs w:val="22"/>
                <w:lang w:val="ro-RO"/>
              </w:rPr>
              <w:lastRenderedPageBreak/>
              <w:t>Locale, CJ Constanța și Tulcea)</w:t>
            </w:r>
          </w:p>
        </w:tc>
        <w:tc>
          <w:tcPr>
            <w:tcW w:w="1559" w:type="dxa"/>
            <w:vMerge w:val="restart"/>
            <w:shd w:val="clear" w:color="auto" w:fill="F2F2F2"/>
            <w:vAlign w:val="center"/>
          </w:tcPr>
          <w:p w14:paraId="07C4503D"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lastRenderedPageBreak/>
              <w:t>2030</w:t>
            </w:r>
          </w:p>
        </w:tc>
        <w:tc>
          <w:tcPr>
            <w:tcW w:w="2127" w:type="dxa"/>
            <w:vMerge w:val="restart"/>
            <w:shd w:val="clear" w:color="auto" w:fill="F2F2F2"/>
            <w:vAlign w:val="center"/>
          </w:tcPr>
          <w:p w14:paraId="1146F4E7"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Realizarea regulamentului-cadru zona litorală;</w:t>
            </w:r>
          </w:p>
          <w:p w14:paraId="6A2DF2FE"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Planurile de amenajare a teritoriului zonal metropolitan / intercomunitar actualizate și aprobate</w:t>
            </w:r>
          </w:p>
          <w:p w14:paraId="7FCFF980"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PUG-uri actualizate și aprobate pentru toate UAT din zona costieră;</w:t>
            </w:r>
          </w:p>
          <w:p w14:paraId="68A38DAC"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PUZ-uri aprobate pentru toate zone prioritare definite/stabilite</w:t>
            </w:r>
          </w:p>
        </w:tc>
        <w:tc>
          <w:tcPr>
            <w:tcW w:w="2409" w:type="dxa"/>
            <w:vMerge w:val="restart"/>
            <w:shd w:val="clear" w:color="auto" w:fill="F2F2F2"/>
            <w:vAlign w:val="center"/>
          </w:tcPr>
          <w:p w14:paraId="657EE828"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Planificarea spațială a teritoriului</w:t>
            </w:r>
          </w:p>
        </w:tc>
        <w:tc>
          <w:tcPr>
            <w:tcW w:w="2268" w:type="dxa"/>
            <w:shd w:val="clear" w:color="auto" w:fill="F2F2F2"/>
            <w:vAlign w:val="center"/>
          </w:tcPr>
          <w:p w14:paraId="509D3D38"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PUG-uri actualizate și aprobate</w:t>
            </w:r>
          </w:p>
        </w:tc>
        <w:tc>
          <w:tcPr>
            <w:tcW w:w="1985" w:type="dxa"/>
            <w:vMerge w:val="restart"/>
            <w:shd w:val="clear" w:color="auto" w:fill="F2F2F2"/>
            <w:vAlign w:val="center"/>
          </w:tcPr>
          <w:p w14:paraId="3B425C65"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344FCE" w:rsidRPr="00344FCE" w14:paraId="23855A53" w14:textId="77777777" w:rsidTr="00563FA0">
        <w:trPr>
          <w:trHeight w:val="20"/>
        </w:trPr>
        <w:tc>
          <w:tcPr>
            <w:tcW w:w="2787" w:type="dxa"/>
            <w:vMerge/>
            <w:shd w:val="clear" w:color="auto" w:fill="F2F2F2"/>
            <w:vAlign w:val="center"/>
          </w:tcPr>
          <w:p w14:paraId="429AB385"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43E5DA65"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63F82FCD"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434EC6E1"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F2F2F2"/>
            <w:vAlign w:val="center"/>
          </w:tcPr>
          <w:p w14:paraId="403085CC"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F2F2F2"/>
            <w:vAlign w:val="center"/>
          </w:tcPr>
          <w:p w14:paraId="2089B7B5"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PUZ-uri pentru zone prioritare elaborate și aprobate</w:t>
            </w:r>
          </w:p>
        </w:tc>
        <w:tc>
          <w:tcPr>
            <w:tcW w:w="1985" w:type="dxa"/>
            <w:vMerge/>
            <w:shd w:val="clear" w:color="auto" w:fill="F2F2F2"/>
            <w:vAlign w:val="center"/>
          </w:tcPr>
          <w:p w14:paraId="5E595100"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24066D48" w14:textId="77777777" w:rsidTr="00563FA0">
        <w:trPr>
          <w:trHeight w:val="20"/>
        </w:trPr>
        <w:tc>
          <w:tcPr>
            <w:tcW w:w="2787" w:type="dxa"/>
            <w:vMerge/>
            <w:shd w:val="clear" w:color="auto" w:fill="F2F2F2"/>
            <w:vAlign w:val="center"/>
          </w:tcPr>
          <w:p w14:paraId="4DE6D627"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2BB27242"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77D60A84"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695E6129"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F2F2F2"/>
            <w:vAlign w:val="center"/>
          </w:tcPr>
          <w:p w14:paraId="64C261CC"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tcBorders>
              <w:bottom w:val="single" w:sz="4" w:space="0" w:color="000000"/>
            </w:tcBorders>
            <w:shd w:val="clear" w:color="auto" w:fill="F2F2F2"/>
            <w:vAlign w:val="center"/>
          </w:tcPr>
          <w:p w14:paraId="102EAB46"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PATZ</w:t>
            </w:r>
          </w:p>
        </w:tc>
        <w:tc>
          <w:tcPr>
            <w:tcW w:w="1985" w:type="dxa"/>
            <w:vMerge/>
            <w:shd w:val="clear" w:color="auto" w:fill="F2F2F2"/>
            <w:vAlign w:val="center"/>
          </w:tcPr>
          <w:p w14:paraId="696D5FF0"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06519C44" w14:textId="77777777" w:rsidTr="00563FA0">
        <w:trPr>
          <w:trHeight w:val="20"/>
        </w:trPr>
        <w:tc>
          <w:tcPr>
            <w:tcW w:w="2787" w:type="dxa"/>
            <w:vMerge/>
            <w:shd w:val="clear" w:color="auto" w:fill="F2F2F2"/>
            <w:vAlign w:val="center"/>
          </w:tcPr>
          <w:p w14:paraId="259B16A2"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49C01686"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692CEC11"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7B693CC3"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val="restart"/>
            <w:shd w:val="clear" w:color="auto" w:fill="F2F2F2"/>
            <w:vAlign w:val="center"/>
          </w:tcPr>
          <w:p w14:paraId="0F4CF6F5"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16AAE10F"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3488BDF0"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Tendința dezvoltării funcțiunilor urbane (locuire, turism, spații verzi/plantate, etc.) în zona costieră</w:t>
            </w:r>
          </w:p>
          <w:p w14:paraId="7CEB7095"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tc>
        <w:tc>
          <w:tcPr>
            <w:tcW w:w="2268" w:type="dxa"/>
            <w:shd w:val="clear" w:color="auto" w:fill="F2F2F2"/>
            <w:vAlign w:val="center"/>
          </w:tcPr>
          <w:p w14:paraId="6F4B0082"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Procent suprafață teren ocupat și/sau destinat pentru  funcțiunile urbane (locuire, turism, spații verzi/plantate, etc.) raportat la total suprafață zonă costieră și UAT-uri din zona costieră</w:t>
            </w:r>
          </w:p>
        </w:tc>
        <w:tc>
          <w:tcPr>
            <w:tcW w:w="1985" w:type="dxa"/>
            <w:vMerge/>
            <w:shd w:val="clear" w:color="auto" w:fill="F2F2F2"/>
            <w:vAlign w:val="center"/>
          </w:tcPr>
          <w:p w14:paraId="2B5F6926"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32ABBEF8" w14:textId="77777777" w:rsidTr="00563FA0">
        <w:trPr>
          <w:trHeight w:val="20"/>
        </w:trPr>
        <w:tc>
          <w:tcPr>
            <w:tcW w:w="2787" w:type="dxa"/>
            <w:vMerge/>
            <w:shd w:val="clear" w:color="auto" w:fill="F2F2F2"/>
            <w:vAlign w:val="center"/>
          </w:tcPr>
          <w:p w14:paraId="03E49ECB"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74AC8D29"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1AB05FAC"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7B531409"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F2F2F2"/>
            <w:vAlign w:val="center"/>
          </w:tcPr>
          <w:p w14:paraId="3D349335"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F2F2F2"/>
            <w:vAlign w:val="center"/>
          </w:tcPr>
          <w:p w14:paraId="25002E80"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Procent suprafață teren ocupat și/sau destinat pentru  funcțiunile urbane (locuire, turism, spații verzi/plantate, etc.) raportat la km linie de coastă</w:t>
            </w:r>
          </w:p>
        </w:tc>
        <w:tc>
          <w:tcPr>
            <w:tcW w:w="1985" w:type="dxa"/>
            <w:vMerge/>
            <w:shd w:val="clear" w:color="auto" w:fill="F2F2F2"/>
            <w:vAlign w:val="center"/>
          </w:tcPr>
          <w:p w14:paraId="13049A9A"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38C634AB" w14:textId="77777777" w:rsidTr="00563FA0">
        <w:trPr>
          <w:trHeight w:val="20"/>
        </w:trPr>
        <w:tc>
          <w:tcPr>
            <w:tcW w:w="2787" w:type="dxa"/>
            <w:vMerge/>
            <w:shd w:val="clear" w:color="auto" w:fill="F2F2F2"/>
            <w:vAlign w:val="center"/>
          </w:tcPr>
          <w:p w14:paraId="01C9EC57"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3A7C7A95"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547769B7"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041F7C2F"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F2F2F2"/>
            <w:vAlign w:val="center"/>
          </w:tcPr>
          <w:p w14:paraId="46EBBD5D"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tcBorders>
              <w:bottom w:val="single" w:sz="4" w:space="0" w:color="000000"/>
            </w:tcBorders>
            <w:shd w:val="clear" w:color="auto" w:fill="F2F2F2"/>
            <w:vAlign w:val="center"/>
          </w:tcPr>
          <w:p w14:paraId="5CCC6BA8"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Suprafață teren ocupat și/sau destinat pentru  funcțiunile urbane (locuire, turism, spații verzi/plantate, etc.) raportat la izocronele privind accesul la țărmul mării</w:t>
            </w:r>
          </w:p>
        </w:tc>
        <w:tc>
          <w:tcPr>
            <w:tcW w:w="1985" w:type="dxa"/>
            <w:vMerge/>
            <w:shd w:val="clear" w:color="auto" w:fill="F2F2F2"/>
            <w:vAlign w:val="center"/>
          </w:tcPr>
          <w:p w14:paraId="294AE1D3"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2EA4D8E4" w14:textId="77777777" w:rsidTr="00563FA0">
        <w:trPr>
          <w:trHeight w:val="20"/>
        </w:trPr>
        <w:tc>
          <w:tcPr>
            <w:tcW w:w="2787" w:type="dxa"/>
            <w:vMerge/>
            <w:shd w:val="clear" w:color="auto" w:fill="F2F2F2"/>
            <w:vAlign w:val="center"/>
          </w:tcPr>
          <w:p w14:paraId="26DF55DF"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60EE0601"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266944D5"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2F826B82"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val="restart"/>
            <w:shd w:val="clear" w:color="auto" w:fill="F2F2F2"/>
            <w:vAlign w:val="center"/>
          </w:tcPr>
          <w:p w14:paraId="396322AF"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Impactul dezvoltării spațiale și al urbanizării în zona costieră</w:t>
            </w:r>
          </w:p>
        </w:tc>
        <w:tc>
          <w:tcPr>
            <w:tcW w:w="2268" w:type="dxa"/>
            <w:shd w:val="clear" w:color="auto" w:fill="F2F2F2"/>
            <w:vAlign w:val="center"/>
          </w:tcPr>
          <w:p w14:paraId="2B365FDA"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Procent suprafață terenuri pentru utilizări  urbane (intravilane) raportat la total suprafață zonă costieră și UAT-uri din zona costieră</w:t>
            </w:r>
          </w:p>
        </w:tc>
        <w:tc>
          <w:tcPr>
            <w:tcW w:w="1985" w:type="dxa"/>
            <w:vMerge/>
            <w:shd w:val="clear" w:color="auto" w:fill="F2F2F2"/>
            <w:vAlign w:val="center"/>
          </w:tcPr>
          <w:p w14:paraId="60080496"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4F6102C6" w14:textId="77777777" w:rsidTr="00563FA0">
        <w:trPr>
          <w:trHeight w:val="20"/>
        </w:trPr>
        <w:tc>
          <w:tcPr>
            <w:tcW w:w="2787" w:type="dxa"/>
            <w:vMerge/>
            <w:shd w:val="clear" w:color="auto" w:fill="F2F2F2"/>
            <w:vAlign w:val="center"/>
          </w:tcPr>
          <w:p w14:paraId="052179F9"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999" w:type="dxa"/>
            <w:vMerge/>
            <w:shd w:val="clear" w:color="auto" w:fill="F2F2F2"/>
            <w:vAlign w:val="center"/>
          </w:tcPr>
          <w:p w14:paraId="70510272"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1559" w:type="dxa"/>
            <w:vMerge/>
            <w:shd w:val="clear" w:color="auto" w:fill="F2F2F2"/>
            <w:vAlign w:val="center"/>
          </w:tcPr>
          <w:p w14:paraId="6ED7CA12"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676FFBB7"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vMerge/>
            <w:shd w:val="clear" w:color="auto" w:fill="F2F2F2"/>
            <w:vAlign w:val="center"/>
          </w:tcPr>
          <w:p w14:paraId="4E1879F7"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F2F2F2"/>
            <w:vAlign w:val="center"/>
          </w:tcPr>
          <w:p w14:paraId="1C0BD472"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Procent suprafață terenuri pentru utilizări  urbane (intravilane) raportat la km linie de coastă</w:t>
            </w:r>
          </w:p>
        </w:tc>
        <w:tc>
          <w:tcPr>
            <w:tcW w:w="1985" w:type="dxa"/>
            <w:vMerge/>
            <w:shd w:val="clear" w:color="auto" w:fill="F2F2F2"/>
            <w:vAlign w:val="center"/>
          </w:tcPr>
          <w:p w14:paraId="0CE1D97B"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4BE3ACE4" w14:textId="77777777" w:rsidTr="00563FA0">
        <w:trPr>
          <w:trHeight w:val="20"/>
        </w:trPr>
        <w:tc>
          <w:tcPr>
            <w:tcW w:w="2787" w:type="dxa"/>
            <w:vMerge w:val="restart"/>
            <w:shd w:val="clear" w:color="auto" w:fill="F2F2F2"/>
            <w:vAlign w:val="center"/>
          </w:tcPr>
          <w:p w14:paraId="57B43D85"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E.3 Crearea unui mecanism eficient de implementare, monitorizare și verificare a instrumentelor de planificare spațială în zona costieră</w:t>
            </w:r>
          </w:p>
        </w:tc>
        <w:tc>
          <w:tcPr>
            <w:tcW w:w="1999" w:type="dxa"/>
            <w:vMerge w:val="restart"/>
            <w:shd w:val="clear" w:color="auto" w:fill="F2F2F2"/>
            <w:vAlign w:val="center"/>
          </w:tcPr>
          <w:p w14:paraId="38A8FE1E"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MDLPA, autorități locale (prin Consilii Locale, CJ Constanța și Tulcea)</w:t>
            </w:r>
          </w:p>
        </w:tc>
        <w:tc>
          <w:tcPr>
            <w:tcW w:w="1559" w:type="dxa"/>
            <w:vMerge w:val="restart"/>
            <w:shd w:val="clear" w:color="auto" w:fill="F2F2F2"/>
            <w:vAlign w:val="center"/>
          </w:tcPr>
          <w:p w14:paraId="4629A6D4"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2030</w:t>
            </w:r>
          </w:p>
        </w:tc>
        <w:tc>
          <w:tcPr>
            <w:tcW w:w="2127" w:type="dxa"/>
            <w:vMerge w:val="restart"/>
            <w:shd w:val="clear" w:color="auto" w:fill="F2F2F2"/>
            <w:vAlign w:val="center"/>
          </w:tcPr>
          <w:p w14:paraId="46F1FC5D"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Mecanism eficient de implementare, monitorizare și verificare a instrumentelor de planificare spațială în zona costieră funcțional la nivelul celor 19 UAT-uri din zona costieră și la nivelul celor 2 Consilii județene (Constanța și Tulcea)</w:t>
            </w:r>
          </w:p>
        </w:tc>
        <w:tc>
          <w:tcPr>
            <w:tcW w:w="2409" w:type="dxa"/>
            <w:vMerge w:val="restart"/>
            <w:shd w:val="clear" w:color="auto" w:fill="F2F2F2"/>
            <w:vAlign w:val="center"/>
          </w:tcPr>
          <w:p w14:paraId="4C6B6476"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Planificarea spațială a teritoriului</w:t>
            </w:r>
          </w:p>
          <w:p w14:paraId="4EF9D331"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2268" w:type="dxa"/>
            <w:shd w:val="clear" w:color="auto" w:fill="F2F2F2"/>
            <w:vAlign w:val="center"/>
          </w:tcPr>
          <w:p w14:paraId="6127CDD9"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Număr PUG-uri actualizate și aprobate</w:t>
            </w:r>
          </w:p>
          <w:p w14:paraId="4F10EFDF"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57CF2962"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4173799B"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060D0375"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3C4A524E"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1985" w:type="dxa"/>
            <w:vMerge w:val="restart"/>
            <w:shd w:val="clear" w:color="auto" w:fill="F2F2F2"/>
            <w:vAlign w:val="center"/>
          </w:tcPr>
          <w:p w14:paraId="0A445A06"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p w14:paraId="7B3E49EE"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1FA720AE"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699D785E"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591FA116"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p w14:paraId="2D73BB42"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r>
      <w:tr w:rsidR="00344FCE" w:rsidRPr="00344FCE" w14:paraId="58D01ECA" w14:textId="77777777" w:rsidTr="00563FA0">
        <w:trPr>
          <w:trHeight w:val="20"/>
        </w:trPr>
        <w:tc>
          <w:tcPr>
            <w:tcW w:w="2787" w:type="dxa"/>
            <w:vMerge/>
            <w:shd w:val="clear" w:color="auto" w:fill="F2F2F2"/>
            <w:vAlign w:val="center"/>
          </w:tcPr>
          <w:p w14:paraId="786C7F77"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F2F2F2"/>
            <w:vAlign w:val="center"/>
          </w:tcPr>
          <w:p w14:paraId="7562F3DC"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F2F2F2"/>
            <w:vAlign w:val="center"/>
          </w:tcPr>
          <w:p w14:paraId="70323408"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F2F2F2"/>
            <w:vAlign w:val="center"/>
          </w:tcPr>
          <w:p w14:paraId="51031383" w14:textId="77777777" w:rsidR="00344FCE" w:rsidRPr="00344FCE" w:rsidRDefault="00344FCE" w:rsidP="00563FA0">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F2F2F2"/>
            <w:vAlign w:val="center"/>
          </w:tcPr>
          <w:p w14:paraId="7E10651F"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268" w:type="dxa"/>
            <w:shd w:val="clear" w:color="auto" w:fill="F2F2F2"/>
            <w:vAlign w:val="center"/>
          </w:tcPr>
          <w:p w14:paraId="560462FA"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Număr de PUZ-uri pentru zone prioritare elaborate și aprobate</w:t>
            </w:r>
          </w:p>
        </w:tc>
        <w:tc>
          <w:tcPr>
            <w:tcW w:w="1985" w:type="dxa"/>
            <w:vMerge/>
            <w:shd w:val="clear" w:color="auto" w:fill="F2F2F2"/>
            <w:vAlign w:val="center"/>
          </w:tcPr>
          <w:p w14:paraId="0155EF75"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17154733" w14:textId="77777777" w:rsidTr="00563FA0">
        <w:trPr>
          <w:trHeight w:val="20"/>
        </w:trPr>
        <w:tc>
          <w:tcPr>
            <w:tcW w:w="2787" w:type="dxa"/>
            <w:shd w:val="clear" w:color="auto" w:fill="auto"/>
            <w:vAlign w:val="center"/>
          </w:tcPr>
          <w:p w14:paraId="433A0992"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F.1 Reorganizarea Comitetului Național al Zonei Costiere</w:t>
            </w:r>
          </w:p>
        </w:tc>
        <w:tc>
          <w:tcPr>
            <w:tcW w:w="1999" w:type="dxa"/>
            <w:shd w:val="clear" w:color="auto" w:fill="auto"/>
            <w:vAlign w:val="center"/>
          </w:tcPr>
          <w:p w14:paraId="248DF158"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MMAP</w:t>
            </w:r>
          </w:p>
        </w:tc>
        <w:tc>
          <w:tcPr>
            <w:tcW w:w="1559" w:type="dxa"/>
            <w:shd w:val="clear" w:color="auto" w:fill="auto"/>
            <w:vAlign w:val="center"/>
          </w:tcPr>
          <w:p w14:paraId="7470857F"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2025</w:t>
            </w:r>
          </w:p>
        </w:tc>
        <w:tc>
          <w:tcPr>
            <w:tcW w:w="2127" w:type="dxa"/>
            <w:shd w:val="clear" w:color="auto" w:fill="auto"/>
            <w:vAlign w:val="center"/>
          </w:tcPr>
          <w:p w14:paraId="1BBE52BF"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Comitet Național al Zonei Costiere funcțional</w:t>
            </w:r>
          </w:p>
        </w:tc>
        <w:tc>
          <w:tcPr>
            <w:tcW w:w="2409" w:type="dxa"/>
            <w:shd w:val="clear" w:color="auto" w:fill="auto"/>
            <w:vAlign w:val="center"/>
          </w:tcPr>
          <w:p w14:paraId="6F793BBB"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2268" w:type="dxa"/>
            <w:shd w:val="clear" w:color="auto" w:fill="auto"/>
            <w:vAlign w:val="center"/>
          </w:tcPr>
          <w:p w14:paraId="18F566AD"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1985" w:type="dxa"/>
            <w:shd w:val="clear" w:color="auto" w:fill="auto"/>
            <w:vAlign w:val="center"/>
          </w:tcPr>
          <w:p w14:paraId="1970CA80"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r>
      <w:tr w:rsidR="00344FCE" w:rsidRPr="00344FCE" w14:paraId="634A0DF5" w14:textId="77777777" w:rsidTr="00563FA0">
        <w:trPr>
          <w:trHeight w:val="20"/>
        </w:trPr>
        <w:tc>
          <w:tcPr>
            <w:tcW w:w="2787" w:type="dxa"/>
            <w:vMerge w:val="restart"/>
            <w:shd w:val="clear" w:color="auto" w:fill="auto"/>
            <w:vAlign w:val="center"/>
          </w:tcPr>
          <w:p w14:paraId="265939EF"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F.2 Înființarea și asigurarea funcționalității  Observatorului Zonei Costiere</w:t>
            </w:r>
          </w:p>
        </w:tc>
        <w:tc>
          <w:tcPr>
            <w:tcW w:w="1999" w:type="dxa"/>
            <w:vMerge w:val="restart"/>
            <w:shd w:val="clear" w:color="auto" w:fill="auto"/>
            <w:vAlign w:val="center"/>
          </w:tcPr>
          <w:p w14:paraId="48104776"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MMAP</w:t>
            </w:r>
          </w:p>
        </w:tc>
        <w:tc>
          <w:tcPr>
            <w:tcW w:w="1559" w:type="dxa"/>
            <w:vMerge w:val="restart"/>
            <w:shd w:val="clear" w:color="auto" w:fill="auto"/>
            <w:vAlign w:val="center"/>
          </w:tcPr>
          <w:p w14:paraId="33925834"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vMerge w:val="restart"/>
            <w:shd w:val="clear" w:color="auto" w:fill="auto"/>
            <w:vAlign w:val="center"/>
          </w:tcPr>
          <w:p w14:paraId="104E90AB"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Observatorul Zonei Costiere funcțional</w:t>
            </w:r>
          </w:p>
        </w:tc>
        <w:tc>
          <w:tcPr>
            <w:tcW w:w="2409" w:type="dxa"/>
            <w:vMerge w:val="restart"/>
            <w:shd w:val="clear" w:color="auto" w:fill="auto"/>
            <w:vAlign w:val="center"/>
          </w:tcPr>
          <w:p w14:paraId="3110B86E"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Observator al Zonei Costiere funcțional</w:t>
            </w:r>
          </w:p>
        </w:tc>
        <w:tc>
          <w:tcPr>
            <w:tcW w:w="2268" w:type="dxa"/>
            <w:shd w:val="clear" w:color="auto" w:fill="auto"/>
            <w:vAlign w:val="center"/>
          </w:tcPr>
          <w:p w14:paraId="6980124D"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furnizori de date</w:t>
            </w:r>
          </w:p>
        </w:tc>
        <w:tc>
          <w:tcPr>
            <w:tcW w:w="1985" w:type="dxa"/>
            <w:vMerge w:val="restart"/>
            <w:shd w:val="clear" w:color="auto" w:fill="auto"/>
            <w:vAlign w:val="center"/>
          </w:tcPr>
          <w:p w14:paraId="714AF29B"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344FCE" w:rsidRPr="00344FCE" w14:paraId="6DEA6B82" w14:textId="77777777" w:rsidTr="00563FA0">
        <w:trPr>
          <w:trHeight w:val="20"/>
        </w:trPr>
        <w:tc>
          <w:tcPr>
            <w:tcW w:w="2787" w:type="dxa"/>
            <w:vMerge/>
            <w:shd w:val="clear" w:color="auto" w:fill="auto"/>
            <w:vAlign w:val="center"/>
          </w:tcPr>
          <w:p w14:paraId="2B064E57"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2BF82D62"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6AF1D0E8"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59E838FC" w14:textId="77777777" w:rsidR="00344FCE" w:rsidRPr="00344FCE" w:rsidRDefault="00344FCE" w:rsidP="00563FA0">
            <w:pPr>
              <w:widowControl w:val="0"/>
              <w:pBdr>
                <w:top w:val="nil"/>
                <w:left w:val="nil"/>
                <w:bottom w:val="nil"/>
                <w:right w:val="nil"/>
                <w:between w:val="nil"/>
              </w:pBdr>
              <w:spacing w:before="0" w:line="240" w:lineRule="auto"/>
              <w:ind w:firstLine="0"/>
              <w:rPr>
                <w:rFonts w:eastAsia="Times New Roman" w:cs="Times New Roman"/>
                <w:kern w:val="0"/>
                <w:sz w:val="22"/>
                <w:szCs w:val="22"/>
                <w:lang w:val="ro-RO"/>
              </w:rPr>
            </w:pPr>
          </w:p>
        </w:tc>
        <w:tc>
          <w:tcPr>
            <w:tcW w:w="2409" w:type="dxa"/>
            <w:vMerge/>
            <w:shd w:val="clear" w:color="auto" w:fill="auto"/>
            <w:vAlign w:val="center"/>
          </w:tcPr>
          <w:p w14:paraId="3CDEFA2F"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5130A05C"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beneficiari ai datelor și informațiilor</w:t>
            </w:r>
          </w:p>
        </w:tc>
        <w:tc>
          <w:tcPr>
            <w:tcW w:w="1985" w:type="dxa"/>
            <w:vMerge/>
            <w:shd w:val="clear" w:color="auto" w:fill="auto"/>
            <w:vAlign w:val="center"/>
          </w:tcPr>
          <w:p w14:paraId="5184C79B"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10730805" w14:textId="77777777" w:rsidTr="00563FA0">
        <w:trPr>
          <w:trHeight w:val="20"/>
        </w:trPr>
        <w:tc>
          <w:tcPr>
            <w:tcW w:w="2787" w:type="dxa"/>
            <w:vMerge w:val="restart"/>
            <w:shd w:val="clear" w:color="auto" w:fill="auto"/>
            <w:vAlign w:val="center"/>
          </w:tcPr>
          <w:p w14:paraId="552B5123"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F.3 Elaborarea și implementarea Planului de comunicare al Strategiei naționale pentru managementul integrat a zonei costiere</w:t>
            </w:r>
          </w:p>
        </w:tc>
        <w:tc>
          <w:tcPr>
            <w:tcW w:w="1999" w:type="dxa"/>
            <w:vMerge w:val="restart"/>
            <w:shd w:val="clear" w:color="auto" w:fill="auto"/>
            <w:vAlign w:val="center"/>
          </w:tcPr>
          <w:p w14:paraId="79D48FBE"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MMAP</w:t>
            </w:r>
          </w:p>
        </w:tc>
        <w:tc>
          <w:tcPr>
            <w:tcW w:w="1559" w:type="dxa"/>
            <w:vMerge w:val="restart"/>
            <w:shd w:val="clear" w:color="auto" w:fill="auto"/>
            <w:vAlign w:val="center"/>
          </w:tcPr>
          <w:p w14:paraId="6A9B58AB"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vMerge w:val="restart"/>
            <w:shd w:val="clear" w:color="auto" w:fill="auto"/>
            <w:vAlign w:val="center"/>
          </w:tcPr>
          <w:p w14:paraId="64A580A5" w14:textId="77777777" w:rsidR="00344FCE" w:rsidRPr="00344FCE" w:rsidRDefault="00344FCE" w:rsidP="00563FA0">
            <w:pPr>
              <w:spacing w:before="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Plan de comunicare al Strategiei naționale pentru managementul integrat a zonei costiere</w:t>
            </w:r>
          </w:p>
        </w:tc>
        <w:tc>
          <w:tcPr>
            <w:tcW w:w="2409" w:type="dxa"/>
            <w:shd w:val="clear" w:color="auto" w:fill="auto"/>
            <w:vAlign w:val="center"/>
          </w:tcPr>
          <w:p w14:paraId="3C4522B1"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Plan de comunicare al Strategiei</w:t>
            </w:r>
          </w:p>
          <w:p w14:paraId="4350B798"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0AA00D27"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numărul de vizitatori ai website-ului dedicat;</w:t>
            </w:r>
          </w:p>
          <w:p w14:paraId="392536DC"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numărul articolelor de presă care promovează evenimentul de lansare a implementării Strategiei;</w:t>
            </w:r>
          </w:p>
          <w:p w14:paraId="63B65768"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lastRenderedPageBreak/>
              <w:t>- numărul de buletine informative și comunicate de presă;</w:t>
            </w:r>
          </w:p>
          <w:p w14:paraId="6544278A"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număr de conferințe de presă;</w:t>
            </w:r>
          </w:p>
          <w:p w14:paraId="02ADD585"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numărul de participanți la dezbateri publice / procese consultative;</w:t>
            </w:r>
          </w:p>
          <w:p w14:paraId="61E4F082"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numărul de postări în social media;</w:t>
            </w:r>
          </w:p>
          <w:p w14:paraId="26EB96FA"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numărul de spoturi publicitare (radio, tv);</w:t>
            </w:r>
          </w:p>
          <w:p w14:paraId="370BC6F1"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numărul de evenimente dedicate publicului larg;</w:t>
            </w:r>
          </w:p>
          <w:p w14:paraId="59DBE863"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numărul de eveniment dedicate publicului specializat.</w:t>
            </w:r>
          </w:p>
        </w:tc>
        <w:tc>
          <w:tcPr>
            <w:tcW w:w="1985" w:type="dxa"/>
            <w:vMerge w:val="restart"/>
            <w:shd w:val="clear" w:color="auto" w:fill="auto"/>
            <w:vAlign w:val="center"/>
          </w:tcPr>
          <w:p w14:paraId="646EF9D3"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lastRenderedPageBreak/>
              <w:t>Anual</w:t>
            </w:r>
          </w:p>
        </w:tc>
      </w:tr>
      <w:tr w:rsidR="00344FCE" w:rsidRPr="00344FCE" w14:paraId="41F83519" w14:textId="77777777" w:rsidTr="00563FA0">
        <w:trPr>
          <w:trHeight w:val="20"/>
        </w:trPr>
        <w:tc>
          <w:tcPr>
            <w:tcW w:w="2787" w:type="dxa"/>
            <w:vMerge/>
            <w:shd w:val="clear" w:color="auto" w:fill="auto"/>
            <w:vAlign w:val="center"/>
          </w:tcPr>
          <w:p w14:paraId="28075EAA"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999" w:type="dxa"/>
            <w:vMerge/>
            <w:shd w:val="clear" w:color="auto" w:fill="auto"/>
            <w:vAlign w:val="center"/>
          </w:tcPr>
          <w:p w14:paraId="3DC77819"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1559" w:type="dxa"/>
            <w:vMerge/>
            <w:shd w:val="clear" w:color="auto" w:fill="auto"/>
            <w:vAlign w:val="center"/>
          </w:tcPr>
          <w:p w14:paraId="285736D8"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127" w:type="dxa"/>
            <w:vMerge/>
            <w:shd w:val="clear" w:color="auto" w:fill="auto"/>
            <w:vAlign w:val="center"/>
          </w:tcPr>
          <w:p w14:paraId="34DFB531"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c>
          <w:tcPr>
            <w:tcW w:w="2409" w:type="dxa"/>
            <w:shd w:val="clear" w:color="auto" w:fill="auto"/>
            <w:vAlign w:val="center"/>
          </w:tcPr>
          <w:p w14:paraId="0536DF89"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Gradul de informare și implicare a cetățenilor</w:t>
            </w:r>
          </w:p>
        </w:tc>
        <w:tc>
          <w:tcPr>
            <w:tcW w:w="2268" w:type="dxa"/>
            <w:shd w:val="clear" w:color="auto" w:fill="auto"/>
            <w:vAlign w:val="center"/>
          </w:tcPr>
          <w:p w14:paraId="252A503B"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cetățeni participanți la dezbateri publice / procese consultative</w:t>
            </w:r>
          </w:p>
        </w:tc>
        <w:tc>
          <w:tcPr>
            <w:tcW w:w="1985" w:type="dxa"/>
            <w:vMerge/>
            <w:shd w:val="clear" w:color="auto" w:fill="auto"/>
            <w:vAlign w:val="center"/>
          </w:tcPr>
          <w:p w14:paraId="6354A985" w14:textId="77777777" w:rsidR="00344FCE" w:rsidRPr="00344FCE" w:rsidRDefault="00344FCE" w:rsidP="00344FCE">
            <w:pPr>
              <w:widowControl w:val="0"/>
              <w:pBdr>
                <w:top w:val="nil"/>
                <w:left w:val="nil"/>
                <w:bottom w:val="nil"/>
                <w:right w:val="nil"/>
                <w:between w:val="nil"/>
              </w:pBdr>
              <w:spacing w:before="0" w:after="0" w:line="240" w:lineRule="auto"/>
              <w:ind w:firstLine="0"/>
              <w:jc w:val="center"/>
              <w:rPr>
                <w:rFonts w:eastAsia="Times New Roman" w:cs="Times New Roman"/>
                <w:kern w:val="0"/>
                <w:sz w:val="22"/>
                <w:szCs w:val="22"/>
                <w:lang w:val="ro-RO"/>
              </w:rPr>
            </w:pPr>
          </w:p>
        </w:tc>
      </w:tr>
      <w:tr w:rsidR="00344FCE" w:rsidRPr="00344FCE" w14:paraId="03261018" w14:textId="77777777" w:rsidTr="00563FA0">
        <w:trPr>
          <w:trHeight w:val="20"/>
        </w:trPr>
        <w:tc>
          <w:tcPr>
            <w:tcW w:w="2787" w:type="dxa"/>
            <w:shd w:val="clear" w:color="auto" w:fill="auto"/>
            <w:vAlign w:val="center"/>
          </w:tcPr>
          <w:p w14:paraId="6A19DB7E"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F.4 Promovarea și implementarea unui instrument de tip citizen-science în vederea implicării directe a cetățenilor, pe bază de voluntariat, în acțiuni de monitorizare a stării și proceselor din zona costieră</w:t>
            </w:r>
          </w:p>
        </w:tc>
        <w:tc>
          <w:tcPr>
            <w:tcW w:w="1999" w:type="dxa"/>
            <w:shd w:val="clear" w:color="auto" w:fill="auto"/>
            <w:vAlign w:val="center"/>
          </w:tcPr>
          <w:p w14:paraId="7D0661B0"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MMAP, ME (UOC, UB), MCID (INCDM Grigore Antipa, INCD GeoEcoMar, INCDDD)</w:t>
            </w:r>
          </w:p>
        </w:tc>
        <w:tc>
          <w:tcPr>
            <w:tcW w:w="1559" w:type="dxa"/>
            <w:shd w:val="clear" w:color="auto" w:fill="auto"/>
            <w:vAlign w:val="center"/>
          </w:tcPr>
          <w:p w14:paraId="78DE92DF"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shd w:val="clear" w:color="auto" w:fill="auto"/>
            <w:vAlign w:val="center"/>
          </w:tcPr>
          <w:p w14:paraId="0DB5719F"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numărului de cetățeni (voluntari) implicați în monitorizarea stării și proceselor din zona costieră;</w:t>
            </w:r>
          </w:p>
        </w:tc>
        <w:tc>
          <w:tcPr>
            <w:tcW w:w="2409" w:type="dxa"/>
            <w:shd w:val="clear" w:color="auto" w:fill="auto"/>
            <w:vAlign w:val="center"/>
          </w:tcPr>
          <w:p w14:paraId="04D496F0"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Gradul de informare și implicare a cetățenilor</w:t>
            </w:r>
          </w:p>
        </w:tc>
        <w:tc>
          <w:tcPr>
            <w:tcW w:w="2268" w:type="dxa"/>
            <w:shd w:val="clear" w:color="auto" w:fill="auto"/>
            <w:vAlign w:val="center"/>
          </w:tcPr>
          <w:p w14:paraId="6AAF352D"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voluntari implicați în monitorizarea zonei costiere</w:t>
            </w:r>
          </w:p>
        </w:tc>
        <w:tc>
          <w:tcPr>
            <w:tcW w:w="1985" w:type="dxa"/>
            <w:shd w:val="clear" w:color="auto" w:fill="auto"/>
            <w:vAlign w:val="center"/>
          </w:tcPr>
          <w:p w14:paraId="5E97DDD5"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344FCE" w:rsidRPr="00344FCE" w14:paraId="722882BC" w14:textId="77777777" w:rsidTr="00563FA0">
        <w:trPr>
          <w:trHeight w:val="20"/>
        </w:trPr>
        <w:tc>
          <w:tcPr>
            <w:tcW w:w="2787" w:type="dxa"/>
            <w:shd w:val="clear" w:color="auto" w:fill="auto"/>
            <w:vAlign w:val="center"/>
          </w:tcPr>
          <w:p w14:paraId="664428C8"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 xml:space="preserve">F.5 Revizuirea delimitării zonei costiere prevăzută în OUG 202/2002, precum și a limitelor de restricție </w:t>
            </w:r>
            <w:r w:rsidRPr="00344FCE">
              <w:rPr>
                <w:rFonts w:eastAsia="Times New Roman" w:cs="Times New Roman"/>
                <w:kern w:val="0"/>
                <w:sz w:val="22"/>
                <w:szCs w:val="22"/>
                <w:lang w:val="ro-RO"/>
              </w:rPr>
              <w:lastRenderedPageBreak/>
              <w:t>temporară stabilite prin actele normative subsecvente Legea 597/ 31.10. 2001, Hotărârea Guvernului nr. 546/07.04.2004 și Hotărârea Guvernului nr. 749/14.05.2004</w:t>
            </w:r>
          </w:p>
        </w:tc>
        <w:tc>
          <w:tcPr>
            <w:tcW w:w="1999" w:type="dxa"/>
            <w:shd w:val="clear" w:color="auto" w:fill="auto"/>
            <w:vAlign w:val="center"/>
          </w:tcPr>
          <w:p w14:paraId="5FDD661C"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lastRenderedPageBreak/>
              <w:t>MMAP, MDLPA</w:t>
            </w:r>
          </w:p>
        </w:tc>
        <w:tc>
          <w:tcPr>
            <w:tcW w:w="1559" w:type="dxa"/>
            <w:shd w:val="clear" w:color="auto" w:fill="auto"/>
            <w:vAlign w:val="center"/>
          </w:tcPr>
          <w:p w14:paraId="4BA32EC4"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2027</w:t>
            </w:r>
          </w:p>
        </w:tc>
        <w:tc>
          <w:tcPr>
            <w:tcW w:w="2127" w:type="dxa"/>
            <w:shd w:val="clear" w:color="auto" w:fill="auto"/>
            <w:vAlign w:val="center"/>
          </w:tcPr>
          <w:p w14:paraId="4E45F2F0" w14:textId="77777777" w:rsidR="00344FCE" w:rsidRPr="00344FCE" w:rsidRDefault="00344FCE" w:rsidP="00563FA0">
            <w:pPr>
              <w:spacing w:before="0" w:after="100" w:afterAutospacing="1"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Delimitarea spațiilor sensibile / critice / vulnerable din zona costieră</w:t>
            </w:r>
          </w:p>
        </w:tc>
        <w:tc>
          <w:tcPr>
            <w:tcW w:w="2409" w:type="dxa"/>
            <w:shd w:val="clear" w:color="auto" w:fill="auto"/>
            <w:vAlign w:val="center"/>
          </w:tcPr>
          <w:p w14:paraId="6C85C3F1"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2268" w:type="dxa"/>
            <w:shd w:val="clear" w:color="auto" w:fill="auto"/>
            <w:vAlign w:val="center"/>
          </w:tcPr>
          <w:p w14:paraId="62BADDD3"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p>
        </w:tc>
        <w:tc>
          <w:tcPr>
            <w:tcW w:w="1985" w:type="dxa"/>
            <w:shd w:val="clear" w:color="auto" w:fill="auto"/>
            <w:vAlign w:val="center"/>
          </w:tcPr>
          <w:p w14:paraId="35DCC96F"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344FCE" w:rsidRPr="00344FCE" w14:paraId="5ECD09E5" w14:textId="77777777" w:rsidTr="00563FA0">
        <w:trPr>
          <w:trHeight w:val="20"/>
        </w:trPr>
        <w:tc>
          <w:tcPr>
            <w:tcW w:w="2787" w:type="dxa"/>
            <w:shd w:val="clear" w:color="auto" w:fill="auto"/>
            <w:vAlign w:val="center"/>
          </w:tcPr>
          <w:p w14:paraId="172C5737"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F.6 Programe pentru furnizarea de Asistență Tehnică pentru îmbunătățirea / consolidarea capacității administrative  a actorilor instituționali implicați în implementarea managementului integrat al zonei costiere</w:t>
            </w:r>
          </w:p>
        </w:tc>
        <w:tc>
          <w:tcPr>
            <w:tcW w:w="1999" w:type="dxa"/>
            <w:shd w:val="clear" w:color="auto" w:fill="auto"/>
            <w:vAlign w:val="center"/>
          </w:tcPr>
          <w:p w14:paraId="1B1AA8A2"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MMAP</w:t>
            </w:r>
          </w:p>
        </w:tc>
        <w:tc>
          <w:tcPr>
            <w:tcW w:w="1559" w:type="dxa"/>
            <w:shd w:val="clear" w:color="auto" w:fill="auto"/>
            <w:vAlign w:val="center"/>
          </w:tcPr>
          <w:p w14:paraId="68C4058C"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shd w:val="clear" w:color="auto" w:fill="auto"/>
            <w:vAlign w:val="center"/>
          </w:tcPr>
          <w:p w14:paraId="4315BCA0" w14:textId="77777777" w:rsidR="00344FCE" w:rsidRPr="00344FCE" w:rsidRDefault="00344FCE" w:rsidP="00563FA0">
            <w:pPr>
              <w:spacing w:before="0" w:after="100" w:afterAutospacing="1"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numărului beneficiari ai programelor de Asistență Tehnică</w:t>
            </w:r>
          </w:p>
        </w:tc>
        <w:tc>
          <w:tcPr>
            <w:tcW w:w="2409" w:type="dxa"/>
            <w:shd w:val="clear" w:color="auto" w:fill="auto"/>
            <w:vAlign w:val="center"/>
          </w:tcPr>
          <w:p w14:paraId="33F22E20"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Nivelul de instruire al actorilor implicați în managementul integrat al zonei costiere</w:t>
            </w:r>
          </w:p>
        </w:tc>
        <w:tc>
          <w:tcPr>
            <w:tcW w:w="2268" w:type="dxa"/>
            <w:shd w:val="clear" w:color="auto" w:fill="auto"/>
            <w:vAlign w:val="center"/>
          </w:tcPr>
          <w:p w14:paraId="6CE05FF5"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programe de asistență tehnică</w:t>
            </w:r>
          </w:p>
        </w:tc>
        <w:tc>
          <w:tcPr>
            <w:tcW w:w="1985" w:type="dxa"/>
            <w:shd w:val="clear" w:color="auto" w:fill="auto"/>
            <w:vAlign w:val="center"/>
          </w:tcPr>
          <w:p w14:paraId="76CE2E24"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344FCE" w:rsidRPr="00344FCE" w14:paraId="71A30FC0" w14:textId="77777777" w:rsidTr="00563FA0">
        <w:trPr>
          <w:trHeight w:val="20"/>
        </w:trPr>
        <w:tc>
          <w:tcPr>
            <w:tcW w:w="2787" w:type="dxa"/>
            <w:vMerge w:val="restart"/>
            <w:shd w:val="clear" w:color="auto" w:fill="auto"/>
            <w:vAlign w:val="center"/>
          </w:tcPr>
          <w:p w14:paraId="7B0188E7"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F.7 Dezvoltarea unui sistem eficient de supraveghere și control a utilizării resurselor zonei costiere</w:t>
            </w:r>
          </w:p>
        </w:tc>
        <w:tc>
          <w:tcPr>
            <w:tcW w:w="1999" w:type="dxa"/>
            <w:vMerge w:val="restart"/>
            <w:shd w:val="clear" w:color="auto" w:fill="auto"/>
            <w:vAlign w:val="center"/>
          </w:tcPr>
          <w:p w14:paraId="04EE09A5" w14:textId="6559A984"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MMAP (pri</w:t>
            </w:r>
            <w:r w:rsidR="00BA434A">
              <w:rPr>
                <w:rFonts w:eastAsia="Times New Roman" w:cs="Times New Roman"/>
                <w:kern w:val="0"/>
                <w:sz w:val="22"/>
                <w:szCs w:val="22"/>
                <w:lang w:val="ro-RO"/>
              </w:rPr>
              <w:t>n</w:t>
            </w:r>
            <w:r w:rsidRPr="00344FCE">
              <w:rPr>
                <w:rFonts w:eastAsia="Times New Roman" w:cs="Times New Roman"/>
                <w:kern w:val="0"/>
                <w:sz w:val="22"/>
                <w:szCs w:val="22"/>
                <w:lang w:val="ro-RO"/>
              </w:rPr>
              <w:t>,</w:t>
            </w:r>
            <w:r w:rsidR="00BA434A">
              <w:rPr>
                <w:rFonts w:eastAsia="Times New Roman" w:cs="Times New Roman"/>
                <w:kern w:val="0"/>
                <w:sz w:val="22"/>
                <w:szCs w:val="22"/>
                <w:lang w:val="ro-RO"/>
              </w:rPr>
              <w:t xml:space="preserve"> </w:t>
            </w:r>
            <w:r w:rsidRPr="00344FCE">
              <w:rPr>
                <w:rFonts w:eastAsia="Times New Roman" w:cs="Times New Roman"/>
                <w:kern w:val="0"/>
                <w:sz w:val="22"/>
                <w:szCs w:val="22"/>
                <w:lang w:val="ro-RO"/>
              </w:rPr>
              <w:t>ARBDD, ANANP, GNM), MADR (prin ANPA), MAI și ANRM.</w:t>
            </w:r>
          </w:p>
        </w:tc>
        <w:tc>
          <w:tcPr>
            <w:tcW w:w="1559" w:type="dxa"/>
            <w:vMerge w:val="restart"/>
            <w:shd w:val="clear" w:color="auto" w:fill="auto"/>
            <w:vAlign w:val="center"/>
          </w:tcPr>
          <w:p w14:paraId="3AF4BF01"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2040</w:t>
            </w:r>
          </w:p>
        </w:tc>
        <w:tc>
          <w:tcPr>
            <w:tcW w:w="2127" w:type="dxa"/>
            <w:vMerge w:val="restart"/>
            <w:shd w:val="clear" w:color="auto" w:fill="auto"/>
            <w:vAlign w:val="center"/>
          </w:tcPr>
          <w:p w14:paraId="5A506ED1"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Creșterea gradului de eficiență a acțiunilor de control și supraveghere</w:t>
            </w:r>
          </w:p>
        </w:tc>
        <w:tc>
          <w:tcPr>
            <w:tcW w:w="2409" w:type="dxa"/>
            <w:vMerge w:val="restart"/>
            <w:shd w:val="clear" w:color="auto" w:fill="auto"/>
            <w:vAlign w:val="center"/>
          </w:tcPr>
          <w:p w14:paraId="5AB81F84"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649DF1C1"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1A505B0C" w14:textId="77777777" w:rsidR="00344FCE" w:rsidRPr="00344FCE" w:rsidRDefault="00344FCE" w:rsidP="00563FA0">
            <w:pPr>
              <w:spacing w:before="0" w:after="0" w:line="240" w:lineRule="auto"/>
              <w:ind w:firstLine="0"/>
              <w:rPr>
                <w:rFonts w:eastAsia="Times New Roman" w:cs="Times New Roman"/>
                <w:kern w:val="0"/>
                <w:sz w:val="22"/>
                <w:szCs w:val="22"/>
                <w:lang w:val="ro-RO"/>
              </w:rPr>
            </w:pPr>
          </w:p>
          <w:p w14:paraId="17C19E59"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Controlul activităților socio-economice</w:t>
            </w:r>
          </w:p>
        </w:tc>
        <w:tc>
          <w:tcPr>
            <w:tcW w:w="2268" w:type="dxa"/>
            <w:shd w:val="clear" w:color="auto" w:fill="auto"/>
            <w:vAlign w:val="center"/>
          </w:tcPr>
          <w:p w14:paraId="79E47EA4"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controale / an</w:t>
            </w:r>
          </w:p>
        </w:tc>
        <w:tc>
          <w:tcPr>
            <w:tcW w:w="1985" w:type="dxa"/>
            <w:vMerge w:val="restart"/>
            <w:shd w:val="clear" w:color="auto" w:fill="auto"/>
            <w:vAlign w:val="center"/>
          </w:tcPr>
          <w:p w14:paraId="4DDB5044" w14:textId="77777777" w:rsidR="00344FCE" w:rsidRPr="00344FCE" w:rsidRDefault="00344FCE" w:rsidP="00344FCE">
            <w:pPr>
              <w:spacing w:before="0" w:after="0" w:line="240" w:lineRule="auto"/>
              <w:ind w:firstLine="0"/>
              <w:jc w:val="center"/>
              <w:rPr>
                <w:rFonts w:eastAsia="Times New Roman" w:cs="Times New Roman"/>
                <w:kern w:val="0"/>
                <w:sz w:val="22"/>
                <w:szCs w:val="22"/>
                <w:lang w:val="ro-RO"/>
              </w:rPr>
            </w:pPr>
            <w:r w:rsidRPr="00344FCE">
              <w:rPr>
                <w:rFonts w:eastAsia="Times New Roman" w:cs="Times New Roman"/>
                <w:kern w:val="0"/>
                <w:sz w:val="22"/>
                <w:szCs w:val="22"/>
                <w:lang w:val="ro-RO"/>
              </w:rPr>
              <w:t>Anual</w:t>
            </w:r>
          </w:p>
        </w:tc>
      </w:tr>
      <w:tr w:rsidR="00344FCE" w:rsidRPr="00344FCE" w14:paraId="628389DF" w14:textId="77777777" w:rsidTr="00563FA0">
        <w:trPr>
          <w:trHeight w:val="20"/>
        </w:trPr>
        <w:tc>
          <w:tcPr>
            <w:tcW w:w="2787" w:type="dxa"/>
            <w:vMerge/>
            <w:shd w:val="clear" w:color="auto" w:fill="auto"/>
            <w:vAlign w:val="center"/>
          </w:tcPr>
          <w:p w14:paraId="17A02ACB" w14:textId="77777777" w:rsidR="00344FCE" w:rsidRPr="00344FCE" w:rsidRDefault="00344FCE" w:rsidP="00344FCE">
            <w:pPr>
              <w:widowControl w:val="0"/>
              <w:pBdr>
                <w:top w:val="nil"/>
                <w:left w:val="nil"/>
                <w:bottom w:val="nil"/>
                <w:right w:val="nil"/>
                <w:between w:val="nil"/>
              </w:pBdr>
              <w:spacing w:before="0" w:after="0"/>
              <w:ind w:firstLine="0"/>
              <w:jc w:val="center"/>
              <w:rPr>
                <w:rFonts w:eastAsia="Times New Roman" w:cs="Times New Roman"/>
                <w:kern w:val="0"/>
                <w:sz w:val="22"/>
                <w:szCs w:val="22"/>
                <w:lang w:val="ro-RO"/>
              </w:rPr>
            </w:pPr>
          </w:p>
        </w:tc>
        <w:tc>
          <w:tcPr>
            <w:tcW w:w="1999" w:type="dxa"/>
            <w:vMerge/>
            <w:shd w:val="clear" w:color="auto" w:fill="auto"/>
            <w:vAlign w:val="center"/>
          </w:tcPr>
          <w:p w14:paraId="769672E7" w14:textId="77777777" w:rsidR="00344FCE" w:rsidRPr="00344FCE" w:rsidRDefault="00344FCE" w:rsidP="00344FCE">
            <w:pPr>
              <w:widowControl w:val="0"/>
              <w:pBdr>
                <w:top w:val="nil"/>
                <w:left w:val="nil"/>
                <w:bottom w:val="nil"/>
                <w:right w:val="nil"/>
                <w:between w:val="nil"/>
              </w:pBdr>
              <w:spacing w:before="0" w:after="0"/>
              <w:ind w:firstLine="0"/>
              <w:jc w:val="center"/>
              <w:rPr>
                <w:rFonts w:eastAsia="Times New Roman" w:cs="Times New Roman"/>
                <w:kern w:val="0"/>
                <w:sz w:val="22"/>
                <w:szCs w:val="22"/>
                <w:lang w:val="ro-RO"/>
              </w:rPr>
            </w:pPr>
          </w:p>
        </w:tc>
        <w:tc>
          <w:tcPr>
            <w:tcW w:w="1559" w:type="dxa"/>
            <w:vMerge/>
            <w:shd w:val="clear" w:color="auto" w:fill="auto"/>
            <w:vAlign w:val="center"/>
          </w:tcPr>
          <w:p w14:paraId="04C2FADD" w14:textId="77777777" w:rsidR="00344FCE" w:rsidRPr="00344FCE" w:rsidRDefault="00344FCE" w:rsidP="00344FCE">
            <w:pPr>
              <w:widowControl w:val="0"/>
              <w:pBdr>
                <w:top w:val="nil"/>
                <w:left w:val="nil"/>
                <w:bottom w:val="nil"/>
                <w:right w:val="nil"/>
                <w:between w:val="nil"/>
              </w:pBdr>
              <w:spacing w:before="0" w:after="0"/>
              <w:ind w:firstLine="0"/>
              <w:jc w:val="center"/>
              <w:rPr>
                <w:rFonts w:eastAsia="Times New Roman" w:cs="Times New Roman"/>
                <w:kern w:val="0"/>
                <w:sz w:val="22"/>
                <w:szCs w:val="22"/>
                <w:lang w:val="ro-RO"/>
              </w:rPr>
            </w:pPr>
          </w:p>
        </w:tc>
        <w:tc>
          <w:tcPr>
            <w:tcW w:w="2127" w:type="dxa"/>
            <w:vMerge/>
            <w:shd w:val="clear" w:color="auto" w:fill="auto"/>
            <w:vAlign w:val="center"/>
          </w:tcPr>
          <w:p w14:paraId="471E95F9" w14:textId="77777777" w:rsidR="00344FCE" w:rsidRPr="00344FCE" w:rsidRDefault="00344FCE" w:rsidP="00563FA0">
            <w:pPr>
              <w:widowControl w:val="0"/>
              <w:pBdr>
                <w:top w:val="nil"/>
                <w:left w:val="nil"/>
                <w:bottom w:val="nil"/>
                <w:right w:val="nil"/>
                <w:between w:val="nil"/>
              </w:pBdr>
              <w:spacing w:before="0" w:after="0"/>
              <w:ind w:firstLine="0"/>
              <w:rPr>
                <w:rFonts w:eastAsia="Times New Roman" w:cs="Times New Roman"/>
                <w:kern w:val="0"/>
                <w:sz w:val="22"/>
                <w:szCs w:val="22"/>
                <w:lang w:val="ro-RO"/>
              </w:rPr>
            </w:pPr>
          </w:p>
        </w:tc>
        <w:tc>
          <w:tcPr>
            <w:tcW w:w="2409" w:type="dxa"/>
            <w:vMerge/>
            <w:shd w:val="clear" w:color="auto" w:fill="auto"/>
            <w:vAlign w:val="center"/>
          </w:tcPr>
          <w:p w14:paraId="7B6C594E"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06AAFC1A"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Total venituri încasate în urma activităților de control</w:t>
            </w:r>
          </w:p>
        </w:tc>
        <w:tc>
          <w:tcPr>
            <w:tcW w:w="1985" w:type="dxa"/>
            <w:vMerge/>
            <w:shd w:val="clear" w:color="auto" w:fill="auto"/>
            <w:vAlign w:val="center"/>
          </w:tcPr>
          <w:p w14:paraId="6896212C" w14:textId="77777777" w:rsidR="00344FCE" w:rsidRPr="00344FCE" w:rsidRDefault="00344FCE" w:rsidP="00344FCE">
            <w:pPr>
              <w:widowControl w:val="0"/>
              <w:pBdr>
                <w:top w:val="nil"/>
                <w:left w:val="nil"/>
                <w:bottom w:val="nil"/>
                <w:right w:val="nil"/>
                <w:between w:val="nil"/>
              </w:pBdr>
              <w:spacing w:before="0" w:after="0"/>
              <w:ind w:firstLine="0"/>
              <w:jc w:val="center"/>
              <w:rPr>
                <w:rFonts w:eastAsia="Times New Roman" w:cs="Times New Roman"/>
                <w:kern w:val="0"/>
                <w:sz w:val="22"/>
                <w:szCs w:val="22"/>
                <w:lang w:val="ro-RO"/>
              </w:rPr>
            </w:pPr>
          </w:p>
        </w:tc>
      </w:tr>
      <w:tr w:rsidR="00344FCE" w:rsidRPr="00344FCE" w14:paraId="485D11F4" w14:textId="77777777" w:rsidTr="00563FA0">
        <w:trPr>
          <w:trHeight w:val="20"/>
        </w:trPr>
        <w:tc>
          <w:tcPr>
            <w:tcW w:w="2787" w:type="dxa"/>
            <w:vMerge/>
            <w:shd w:val="clear" w:color="auto" w:fill="auto"/>
            <w:vAlign w:val="center"/>
          </w:tcPr>
          <w:p w14:paraId="6B4D17A3" w14:textId="77777777" w:rsidR="00344FCE" w:rsidRPr="00344FCE" w:rsidRDefault="00344FCE" w:rsidP="00344FCE">
            <w:pPr>
              <w:widowControl w:val="0"/>
              <w:pBdr>
                <w:top w:val="nil"/>
                <w:left w:val="nil"/>
                <w:bottom w:val="nil"/>
                <w:right w:val="nil"/>
                <w:between w:val="nil"/>
              </w:pBdr>
              <w:spacing w:before="0" w:after="0"/>
              <w:ind w:firstLine="0"/>
              <w:jc w:val="center"/>
              <w:rPr>
                <w:rFonts w:eastAsia="Times New Roman" w:cs="Times New Roman"/>
                <w:kern w:val="0"/>
                <w:sz w:val="22"/>
                <w:szCs w:val="22"/>
                <w:lang w:val="ro-RO"/>
              </w:rPr>
            </w:pPr>
          </w:p>
        </w:tc>
        <w:tc>
          <w:tcPr>
            <w:tcW w:w="1999" w:type="dxa"/>
            <w:vMerge/>
            <w:shd w:val="clear" w:color="auto" w:fill="auto"/>
            <w:vAlign w:val="center"/>
          </w:tcPr>
          <w:p w14:paraId="0790AA13" w14:textId="77777777" w:rsidR="00344FCE" w:rsidRPr="00344FCE" w:rsidRDefault="00344FCE" w:rsidP="00344FCE">
            <w:pPr>
              <w:widowControl w:val="0"/>
              <w:pBdr>
                <w:top w:val="nil"/>
                <w:left w:val="nil"/>
                <w:bottom w:val="nil"/>
                <w:right w:val="nil"/>
                <w:between w:val="nil"/>
              </w:pBdr>
              <w:spacing w:before="0" w:after="0"/>
              <w:ind w:firstLine="0"/>
              <w:jc w:val="center"/>
              <w:rPr>
                <w:rFonts w:eastAsia="Times New Roman" w:cs="Times New Roman"/>
                <w:kern w:val="0"/>
                <w:sz w:val="22"/>
                <w:szCs w:val="22"/>
                <w:lang w:val="ro-RO"/>
              </w:rPr>
            </w:pPr>
          </w:p>
        </w:tc>
        <w:tc>
          <w:tcPr>
            <w:tcW w:w="1559" w:type="dxa"/>
            <w:vMerge/>
            <w:shd w:val="clear" w:color="auto" w:fill="auto"/>
            <w:vAlign w:val="center"/>
          </w:tcPr>
          <w:p w14:paraId="53D95712" w14:textId="77777777" w:rsidR="00344FCE" w:rsidRPr="00344FCE" w:rsidRDefault="00344FCE" w:rsidP="00344FCE">
            <w:pPr>
              <w:widowControl w:val="0"/>
              <w:pBdr>
                <w:top w:val="nil"/>
                <w:left w:val="nil"/>
                <w:bottom w:val="nil"/>
                <w:right w:val="nil"/>
                <w:between w:val="nil"/>
              </w:pBdr>
              <w:spacing w:before="0" w:after="0"/>
              <w:ind w:firstLine="0"/>
              <w:jc w:val="center"/>
              <w:rPr>
                <w:rFonts w:eastAsia="Times New Roman" w:cs="Times New Roman"/>
                <w:kern w:val="0"/>
                <w:sz w:val="22"/>
                <w:szCs w:val="22"/>
                <w:lang w:val="ro-RO"/>
              </w:rPr>
            </w:pPr>
          </w:p>
        </w:tc>
        <w:tc>
          <w:tcPr>
            <w:tcW w:w="2127" w:type="dxa"/>
            <w:vMerge/>
            <w:shd w:val="clear" w:color="auto" w:fill="auto"/>
            <w:vAlign w:val="center"/>
          </w:tcPr>
          <w:p w14:paraId="53EE21E8" w14:textId="77777777" w:rsidR="00344FCE" w:rsidRPr="00344FCE" w:rsidRDefault="00344FCE" w:rsidP="00563FA0">
            <w:pPr>
              <w:widowControl w:val="0"/>
              <w:pBdr>
                <w:top w:val="nil"/>
                <w:left w:val="nil"/>
                <w:bottom w:val="nil"/>
                <w:right w:val="nil"/>
                <w:between w:val="nil"/>
              </w:pBdr>
              <w:spacing w:before="0" w:after="0"/>
              <w:ind w:firstLine="0"/>
              <w:rPr>
                <w:rFonts w:eastAsia="Times New Roman" w:cs="Times New Roman"/>
                <w:kern w:val="0"/>
                <w:sz w:val="22"/>
                <w:szCs w:val="22"/>
                <w:lang w:val="ro-RO"/>
              </w:rPr>
            </w:pPr>
          </w:p>
        </w:tc>
        <w:tc>
          <w:tcPr>
            <w:tcW w:w="2409" w:type="dxa"/>
            <w:vMerge/>
            <w:shd w:val="clear" w:color="auto" w:fill="auto"/>
            <w:vAlign w:val="center"/>
          </w:tcPr>
          <w:p w14:paraId="7197AF59"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632EE304" w14:textId="77777777" w:rsidR="00344FCE" w:rsidRPr="00344FCE" w:rsidRDefault="00344FCE" w:rsidP="00563FA0">
            <w:pPr>
              <w:spacing w:before="0" w:after="0" w:line="240"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Valoarea economică a resurselor exploatate ilegal</w:t>
            </w:r>
          </w:p>
        </w:tc>
        <w:tc>
          <w:tcPr>
            <w:tcW w:w="1985" w:type="dxa"/>
            <w:vMerge/>
            <w:shd w:val="clear" w:color="auto" w:fill="auto"/>
            <w:vAlign w:val="center"/>
          </w:tcPr>
          <w:p w14:paraId="18C7E9B2" w14:textId="77777777" w:rsidR="00344FCE" w:rsidRPr="00344FCE" w:rsidRDefault="00344FCE" w:rsidP="00344FCE">
            <w:pPr>
              <w:widowControl w:val="0"/>
              <w:pBdr>
                <w:top w:val="nil"/>
                <w:left w:val="nil"/>
                <w:bottom w:val="nil"/>
                <w:right w:val="nil"/>
                <w:between w:val="nil"/>
              </w:pBdr>
              <w:spacing w:before="0" w:after="0"/>
              <w:ind w:firstLine="0"/>
              <w:jc w:val="center"/>
              <w:rPr>
                <w:rFonts w:eastAsia="Times New Roman" w:cs="Times New Roman"/>
                <w:kern w:val="0"/>
                <w:sz w:val="22"/>
                <w:szCs w:val="22"/>
                <w:lang w:val="ro-RO"/>
              </w:rPr>
            </w:pPr>
          </w:p>
        </w:tc>
      </w:tr>
      <w:tr w:rsidR="00344FCE" w:rsidRPr="00344FCE" w14:paraId="5872DF7E" w14:textId="77777777" w:rsidTr="00563FA0">
        <w:trPr>
          <w:trHeight w:val="20"/>
        </w:trPr>
        <w:tc>
          <w:tcPr>
            <w:tcW w:w="2787" w:type="dxa"/>
            <w:vMerge/>
            <w:shd w:val="clear" w:color="auto" w:fill="auto"/>
            <w:vAlign w:val="center"/>
          </w:tcPr>
          <w:p w14:paraId="358691A3" w14:textId="77777777" w:rsidR="00344FCE" w:rsidRPr="00344FCE" w:rsidRDefault="00344FCE" w:rsidP="00344FCE">
            <w:pPr>
              <w:widowControl w:val="0"/>
              <w:pBdr>
                <w:top w:val="nil"/>
                <w:left w:val="nil"/>
                <w:bottom w:val="nil"/>
                <w:right w:val="nil"/>
                <w:between w:val="nil"/>
              </w:pBdr>
              <w:spacing w:before="0" w:after="0"/>
              <w:ind w:firstLine="0"/>
              <w:jc w:val="center"/>
              <w:rPr>
                <w:rFonts w:eastAsia="Times New Roman" w:cs="Times New Roman"/>
                <w:kern w:val="0"/>
                <w:sz w:val="22"/>
                <w:szCs w:val="22"/>
                <w:lang w:val="ro-RO"/>
              </w:rPr>
            </w:pPr>
          </w:p>
        </w:tc>
        <w:tc>
          <w:tcPr>
            <w:tcW w:w="1999" w:type="dxa"/>
            <w:vMerge/>
            <w:shd w:val="clear" w:color="auto" w:fill="auto"/>
            <w:vAlign w:val="center"/>
          </w:tcPr>
          <w:p w14:paraId="068DE572" w14:textId="77777777" w:rsidR="00344FCE" w:rsidRPr="00344FCE" w:rsidRDefault="00344FCE" w:rsidP="00344FCE">
            <w:pPr>
              <w:widowControl w:val="0"/>
              <w:pBdr>
                <w:top w:val="nil"/>
                <w:left w:val="nil"/>
                <w:bottom w:val="nil"/>
                <w:right w:val="nil"/>
                <w:between w:val="nil"/>
              </w:pBdr>
              <w:spacing w:before="0" w:after="0"/>
              <w:ind w:firstLine="0"/>
              <w:jc w:val="center"/>
              <w:rPr>
                <w:rFonts w:eastAsia="Times New Roman" w:cs="Times New Roman"/>
                <w:kern w:val="0"/>
                <w:sz w:val="22"/>
                <w:szCs w:val="22"/>
                <w:lang w:val="ro-RO"/>
              </w:rPr>
            </w:pPr>
          </w:p>
        </w:tc>
        <w:tc>
          <w:tcPr>
            <w:tcW w:w="1559" w:type="dxa"/>
            <w:vMerge/>
            <w:shd w:val="clear" w:color="auto" w:fill="auto"/>
            <w:vAlign w:val="center"/>
          </w:tcPr>
          <w:p w14:paraId="0CA807FB" w14:textId="77777777" w:rsidR="00344FCE" w:rsidRPr="00344FCE" w:rsidRDefault="00344FCE" w:rsidP="00344FCE">
            <w:pPr>
              <w:widowControl w:val="0"/>
              <w:pBdr>
                <w:top w:val="nil"/>
                <w:left w:val="nil"/>
                <w:bottom w:val="nil"/>
                <w:right w:val="nil"/>
                <w:between w:val="nil"/>
              </w:pBdr>
              <w:spacing w:before="0" w:after="0"/>
              <w:ind w:firstLine="0"/>
              <w:jc w:val="center"/>
              <w:rPr>
                <w:rFonts w:eastAsia="Times New Roman" w:cs="Times New Roman"/>
                <w:kern w:val="0"/>
                <w:sz w:val="22"/>
                <w:szCs w:val="22"/>
                <w:lang w:val="ro-RO"/>
              </w:rPr>
            </w:pPr>
          </w:p>
        </w:tc>
        <w:tc>
          <w:tcPr>
            <w:tcW w:w="2127" w:type="dxa"/>
            <w:vMerge/>
            <w:shd w:val="clear" w:color="auto" w:fill="auto"/>
            <w:vAlign w:val="center"/>
          </w:tcPr>
          <w:p w14:paraId="2546D930" w14:textId="77777777" w:rsidR="00344FCE" w:rsidRPr="00344FCE" w:rsidRDefault="00344FCE" w:rsidP="00563FA0">
            <w:pPr>
              <w:widowControl w:val="0"/>
              <w:pBdr>
                <w:top w:val="nil"/>
                <w:left w:val="nil"/>
                <w:bottom w:val="nil"/>
                <w:right w:val="nil"/>
                <w:between w:val="nil"/>
              </w:pBdr>
              <w:spacing w:before="0" w:after="0"/>
              <w:ind w:firstLine="0"/>
              <w:rPr>
                <w:rFonts w:eastAsia="Times New Roman" w:cs="Times New Roman"/>
                <w:kern w:val="0"/>
                <w:sz w:val="22"/>
                <w:szCs w:val="22"/>
                <w:lang w:val="ro-RO"/>
              </w:rPr>
            </w:pPr>
          </w:p>
        </w:tc>
        <w:tc>
          <w:tcPr>
            <w:tcW w:w="2409" w:type="dxa"/>
            <w:vMerge/>
            <w:shd w:val="clear" w:color="auto" w:fill="auto"/>
            <w:vAlign w:val="center"/>
          </w:tcPr>
          <w:p w14:paraId="2A06D856" w14:textId="77777777" w:rsidR="00344FCE" w:rsidRPr="00344FCE" w:rsidRDefault="00344FCE" w:rsidP="00563FA0">
            <w:pPr>
              <w:widowControl w:val="0"/>
              <w:pBdr>
                <w:top w:val="nil"/>
                <w:left w:val="nil"/>
                <w:bottom w:val="nil"/>
                <w:right w:val="nil"/>
                <w:between w:val="nil"/>
              </w:pBdr>
              <w:spacing w:before="0" w:after="0" w:line="240" w:lineRule="auto"/>
              <w:ind w:firstLine="0"/>
              <w:rPr>
                <w:rFonts w:eastAsia="Times New Roman" w:cs="Times New Roman"/>
                <w:kern w:val="0"/>
                <w:sz w:val="22"/>
                <w:szCs w:val="22"/>
                <w:lang w:val="ro-RO"/>
              </w:rPr>
            </w:pPr>
          </w:p>
        </w:tc>
        <w:tc>
          <w:tcPr>
            <w:tcW w:w="2268" w:type="dxa"/>
            <w:shd w:val="clear" w:color="auto" w:fill="auto"/>
            <w:vAlign w:val="center"/>
          </w:tcPr>
          <w:p w14:paraId="63A6232C" w14:textId="77777777" w:rsidR="00344FCE" w:rsidRPr="00344FCE" w:rsidRDefault="00344FCE" w:rsidP="00563FA0">
            <w:pPr>
              <w:spacing w:before="0" w:after="0" w:line="252" w:lineRule="auto"/>
              <w:ind w:firstLine="0"/>
              <w:rPr>
                <w:rFonts w:eastAsia="Times New Roman" w:cs="Times New Roman"/>
                <w:kern w:val="0"/>
                <w:sz w:val="22"/>
                <w:szCs w:val="22"/>
                <w:lang w:val="ro-RO"/>
              </w:rPr>
            </w:pPr>
            <w:r w:rsidRPr="00344FCE">
              <w:rPr>
                <w:rFonts w:eastAsia="Times New Roman" w:cs="Times New Roman"/>
                <w:kern w:val="0"/>
                <w:sz w:val="22"/>
                <w:szCs w:val="22"/>
                <w:lang w:val="ro-RO"/>
              </w:rPr>
              <w:t>Număr de clădiri construite și suprafața terenurilor ocupate ilegal</w:t>
            </w:r>
          </w:p>
        </w:tc>
        <w:tc>
          <w:tcPr>
            <w:tcW w:w="1985" w:type="dxa"/>
            <w:vMerge/>
            <w:shd w:val="clear" w:color="auto" w:fill="auto"/>
            <w:vAlign w:val="center"/>
          </w:tcPr>
          <w:p w14:paraId="77A03735" w14:textId="77777777" w:rsidR="00344FCE" w:rsidRPr="00344FCE" w:rsidRDefault="00344FCE" w:rsidP="00344FCE">
            <w:pPr>
              <w:widowControl w:val="0"/>
              <w:pBdr>
                <w:top w:val="nil"/>
                <w:left w:val="nil"/>
                <w:bottom w:val="nil"/>
                <w:right w:val="nil"/>
                <w:between w:val="nil"/>
              </w:pBdr>
              <w:spacing w:before="0" w:after="0"/>
              <w:ind w:firstLine="0"/>
              <w:jc w:val="center"/>
              <w:rPr>
                <w:rFonts w:eastAsia="Times New Roman" w:cs="Times New Roman"/>
                <w:kern w:val="0"/>
                <w:sz w:val="22"/>
                <w:szCs w:val="22"/>
                <w:lang w:val="ro-RO"/>
              </w:rPr>
            </w:pPr>
          </w:p>
        </w:tc>
      </w:tr>
    </w:tbl>
    <w:p w14:paraId="49F4CCB3" w14:textId="77777777" w:rsidR="00344FCE" w:rsidRDefault="00344FCE" w:rsidP="00563FA0">
      <w:pPr>
        <w:ind w:firstLine="0"/>
        <w:rPr>
          <w:b/>
          <w:lang w:val="ro-RO"/>
        </w:rPr>
      </w:pPr>
    </w:p>
    <w:p w14:paraId="71B7DC16" w14:textId="77777777" w:rsidR="0084413B" w:rsidRDefault="0084413B" w:rsidP="00563FA0">
      <w:pPr>
        <w:ind w:firstLine="0"/>
        <w:rPr>
          <w:b/>
          <w:lang w:val="ro-RO"/>
        </w:rPr>
      </w:pPr>
    </w:p>
    <w:p w14:paraId="5B90E296" w14:textId="35832B4F" w:rsidR="00B50691" w:rsidRPr="00B50691" w:rsidRDefault="00B50691" w:rsidP="0084413B">
      <w:pPr>
        <w:pStyle w:val="Heading2"/>
      </w:pPr>
      <w:bookmarkStart w:id="162" w:name="_Toc150247024"/>
      <w:bookmarkStart w:id="163" w:name="_Toc169625160"/>
      <w:r w:rsidRPr="00B50691">
        <w:lastRenderedPageBreak/>
        <w:t>Anexa 2</w:t>
      </w:r>
      <w:bookmarkEnd w:id="162"/>
      <w:bookmarkEnd w:id="163"/>
    </w:p>
    <w:tbl>
      <w:tblPr>
        <w:tblW w:w="14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2"/>
        <w:gridCol w:w="2693"/>
        <w:gridCol w:w="6520"/>
        <w:gridCol w:w="3261"/>
      </w:tblGrid>
      <w:tr w:rsidR="00344FCE" w:rsidRPr="00344FCE" w14:paraId="04D940D5" w14:textId="77777777" w:rsidTr="00583732">
        <w:tc>
          <w:tcPr>
            <w:tcW w:w="2122" w:type="dxa"/>
            <w:shd w:val="clear" w:color="auto" w:fill="auto"/>
          </w:tcPr>
          <w:p w14:paraId="605182C9" w14:textId="77777777" w:rsidR="00344FCE" w:rsidRPr="00344FCE" w:rsidRDefault="00344FCE" w:rsidP="00344FCE">
            <w:pPr>
              <w:spacing w:before="0" w:after="160" w:line="252" w:lineRule="auto"/>
              <w:ind w:firstLine="0"/>
              <w:jc w:val="center"/>
              <w:rPr>
                <w:rFonts w:eastAsia="Times New Roman" w:cs="Times New Roman"/>
                <w:b/>
                <w:kern w:val="0"/>
                <w:lang w:val="ro-RO"/>
              </w:rPr>
            </w:pPr>
            <w:r w:rsidRPr="00344FCE">
              <w:rPr>
                <w:rFonts w:eastAsia="Times New Roman" w:cs="Times New Roman"/>
                <w:b/>
                <w:kern w:val="0"/>
                <w:lang w:val="ro-RO"/>
              </w:rPr>
              <w:t>Direcție de acțiune</w:t>
            </w:r>
          </w:p>
        </w:tc>
        <w:tc>
          <w:tcPr>
            <w:tcW w:w="2693" w:type="dxa"/>
            <w:shd w:val="clear" w:color="auto" w:fill="auto"/>
          </w:tcPr>
          <w:p w14:paraId="3213413F" w14:textId="77777777" w:rsidR="00344FCE" w:rsidRPr="00344FCE" w:rsidRDefault="00344FCE" w:rsidP="00344FCE">
            <w:pPr>
              <w:spacing w:before="0" w:after="160" w:line="252" w:lineRule="auto"/>
              <w:ind w:firstLine="0"/>
              <w:jc w:val="center"/>
              <w:rPr>
                <w:rFonts w:eastAsia="Times New Roman" w:cs="Times New Roman"/>
                <w:b/>
                <w:kern w:val="0"/>
                <w:lang w:val="ro-RO"/>
              </w:rPr>
            </w:pPr>
            <w:r w:rsidRPr="00344FCE">
              <w:rPr>
                <w:rFonts w:eastAsia="Times New Roman" w:cs="Times New Roman"/>
                <w:b/>
                <w:kern w:val="0"/>
                <w:lang w:val="ro-RO"/>
              </w:rPr>
              <w:t>Acțiune</w:t>
            </w:r>
          </w:p>
        </w:tc>
        <w:tc>
          <w:tcPr>
            <w:tcW w:w="6520" w:type="dxa"/>
            <w:shd w:val="clear" w:color="auto" w:fill="auto"/>
          </w:tcPr>
          <w:p w14:paraId="27BADAC4" w14:textId="77777777" w:rsidR="00344FCE" w:rsidRPr="00344FCE" w:rsidRDefault="00344FCE" w:rsidP="00344FCE">
            <w:pPr>
              <w:spacing w:before="0" w:after="160" w:line="252" w:lineRule="auto"/>
              <w:ind w:firstLine="0"/>
              <w:jc w:val="center"/>
              <w:rPr>
                <w:rFonts w:eastAsia="Times New Roman" w:cs="Times New Roman"/>
                <w:b/>
                <w:kern w:val="0"/>
                <w:lang w:val="ro-RO"/>
              </w:rPr>
            </w:pPr>
            <w:r w:rsidRPr="00344FCE">
              <w:rPr>
                <w:rFonts w:eastAsia="Times New Roman" w:cs="Times New Roman"/>
                <w:b/>
                <w:kern w:val="0"/>
                <w:lang w:val="ro-RO"/>
              </w:rPr>
              <w:t>Faze/subacțiuni</w:t>
            </w:r>
          </w:p>
        </w:tc>
        <w:tc>
          <w:tcPr>
            <w:tcW w:w="3261" w:type="dxa"/>
            <w:shd w:val="clear" w:color="auto" w:fill="auto"/>
          </w:tcPr>
          <w:p w14:paraId="4667529E" w14:textId="77777777" w:rsidR="00344FCE" w:rsidRPr="00344FCE" w:rsidRDefault="00344FCE" w:rsidP="00344FCE">
            <w:pPr>
              <w:spacing w:before="0" w:after="160" w:line="252" w:lineRule="auto"/>
              <w:ind w:firstLine="0"/>
              <w:jc w:val="center"/>
              <w:rPr>
                <w:rFonts w:eastAsia="Times New Roman" w:cs="Times New Roman"/>
                <w:b/>
                <w:kern w:val="0"/>
                <w:lang w:val="ro-RO"/>
              </w:rPr>
            </w:pPr>
            <w:r w:rsidRPr="00344FCE">
              <w:rPr>
                <w:rFonts w:eastAsia="Times New Roman" w:cs="Times New Roman"/>
                <w:b/>
                <w:kern w:val="0"/>
                <w:lang w:val="ro-RO"/>
              </w:rPr>
              <w:t>Obiectiv specific vizat</w:t>
            </w:r>
          </w:p>
        </w:tc>
      </w:tr>
      <w:tr w:rsidR="00344FCE" w:rsidRPr="00344FCE" w14:paraId="34DFDF7D" w14:textId="77777777" w:rsidTr="00583732">
        <w:tc>
          <w:tcPr>
            <w:tcW w:w="2122" w:type="dxa"/>
            <w:vMerge w:val="restart"/>
            <w:shd w:val="clear" w:color="auto" w:fill="auto"/>
          </w:tcPr>
          <w:p w14:paraId="1D98DF28"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0CB5C8B7"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34E1DD63"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57F6EEB0"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372FB9F8"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3CFE2561"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7CECBC3F" w14:textId="77777777" w:rsidR="00344FCE" w:rsidRPr="00344FCE" w:rsidRDefault="00344FCE" w:rsidP="00344FCE">
            <w:pPr>
              <w:spacing w:before="0" w:after="160" w:line="240" w:lineRule="auto"/>
              <w:ind w:firstLine="0"/>
              <w:jc w:val="left"/>
              <w:rPr>
                <w:rFonts w:eastAsia="Times New Roman" w:cs="Times New Roman"/>
                <w:b/>
                <w:kern w:val="0"/>
                <w:sz w:val="28"/>
                <w:szCs w:val="28"/>
                <w:lang w:val="ro-RO"/>
              </w:rPr>
            </w:pPr>
            <w:r w:rsidRPr="00344FCE">
              <w:rPr>
                <w:rFonts w:eastAsia="Times New Roman" w:cs="Times New Roman"/>
                <w:kern w:val="0"/>
                <w:lang w:val="ro-RO"/>
              </w:rPr>
              <w:t>Conservarea și valorificarea durabilă a patrimoniului natural și cultural</w:t>
            </w:r>
          </w:p>
          <w:p w14:paraId="20FEBE11" w14:textId="77777777" w:rsidR="00344FCE" w:rsidRPr="00344FCE" w:rsidRDefault="00344FCE" w:rsidP="00344FCE">
            <w:pPr>
              <w:spacing w:before="0" w:after="160" w:line="240" w:lineRule="auto"/>
              <w:ind w:firstLine="0"/>
              <w:jc w:val="left"/>
              <w:rPr>
                <w:rFonts w:eastAsia="Times New Roman" w:cs="Times New Roman"/>
                <w:b/>
                <w:kern w:val="0"/>
                <w:sz w:val="28"/>
                <w:szCs w:val="28"/>
                <w:lang w:val="ro-RO"/>
              </w:rPr>
            </w:pPr>
          </w:p>
          <w:p w14:paraId="67CE4B58"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702D5F82"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17B5F7B0"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3AEBDF59"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05E42CF5"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1D9D5B65"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38C7E17F"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67229AA1"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3592F5FE"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61F3F381"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66D17AB8"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0D5DE367"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65E991E0"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4C8E25B3" w14:textId="77777777" w:rsidR="00344FCE" w:rsidRPr="00344FCE" w:rsidRDefault="00344FCE" w:rsidP="00344FCE">
            <w:pPr>
              <w:spacing w:before="0" w:after="160" w:line="240" w:lineRule="auto"/>
              <w:ind w:firstLine="0"/>
              <w:jc w:val="left"/>
              <w:rPr>
                <w:rFonts w:eastAsia="Times New Roman" w:cs="Times New Roman"/>
                <w:kern w:val="0"/>
                <w:lang w:val="ro-RO"/>
              </w:rPr>
            </w:pPr>
            <w:r w:rsidRPr="00344FCE">
              <w:rPr>
                <w:rFonts w:eastAsia="Times New Roman" w:cs="Times New Roman"/>
                <w:kern w:val="0"/>
                <w:lang w:val="ro-RO"/>
              </w:rPr>
              <w:t>Conservarea și valorificarea durabilă a patrimoniului natural și cultural</w:t>
            </w:r>
          </w:p>
          <w:p w14:paraId="04493061"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06D19F61"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32DC112C"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3F8BA305"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6AF9CF14"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0C8A316C"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2C96B927"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2D49DA7F"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054FFF00"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68F653B4"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4CF5FCC7"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13EF36B6"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5B12A47B"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753CDDA5"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3B0FF06A"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6D86D484"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6893CD21"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09314A87" w14:textId="77777777" w:rsidR="00344FCE" w:rsidRPr="00344FCE" w:rsidRDefault="00344FCE" w:rsidP="00344FCE">
            <w:pPr>
              <w:spacing w:before="0" w:after="160" w:line="240" w:lineRule="auto"/>
              <w:ind w:firstLine="0"/>
              <w:jc w:val="left"/>
              <w:rPr>
                <w:rFonts w:eastAsia="Times New Roman" w:cs="Times New Roman"/>
                <w:kern w:val="0"/>
                <w:lang w:val="ro-RO"/>
              </w:rPr>
            </w:pPr>
            <w:r w:rsidRPr="00344FCE">
              <w:rPr>
                <w:rFonts w:eastAsia="Times New Roman" w:cs="Times New Roman"/>
                <w:kern w:val="0"/>
                <w:lang w:val="ro-RO"/>
              </w:rPr>
              <w:t>Conservarea și valorificarea durabilă a patrimoniului natural și cultural</w:t>
            </w:r>
          </w:p>
          <w:p w14:paraId="4304C0DC"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28678B05"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274D0327"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507EBBD2"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28F83A29"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55DC0CB0"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75DF94F3"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1D622664"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59678465"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734F0E20"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3ADDCFFF"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6A81328A"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797CCE37"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44001E60" w14:textId="77777777" w:rsidR="00344FCE" w:rsidRPr="00344FCE" w:rsidRDefault="00344FCE" w:rsidP="00344FCE">
            <w:pPr>
              <w:spacing w:before="0" w:after="160" w:line="240" w:lineRule="auto"/>
              <w:ind w:firstLine="0"/>
              <w:jc w:val="left"/>
              <w:rPr>
                <w:rFonts w:eastAsia="Times New Roman" w:cs="Times New Roman"/>
                <w:kern w:val="0"/>
                <w:lang w:val="ro-RO"/>
              </w:rPr>
            </w:pPr>
            <w:r w:rsidRPr="00344FCE">
              <w:rPr>
                <w:rFonts w:eastAsia="Times New Roman" w:cs="Times New Roman"/>
                <w:kern w:val="0"/>
                <w:lang w:val="ro-RO"/>
              </w:rPr>
              <w:t>Conservarea și valorificarea durabilă a patrimoniului natural și cultural</w:t>
            </w:r>
          </w:p>
          <w:p w14:paraId="539A0F3B" w14:textId="77777777" w:rsidR="00344FCE" w:rsidRPr="00344FCE" w:rsidRDefault="00344FCE" w:rsidP="00344FCE">
            <w:pPr>
              <w:spacing w:before="0" w:after="160" w:line="240" w:lineRule="auto"/>
              <w:ind w:firstLine="0"/>
              <w:jc w:val="left"/>
              <w:rPr>
                <w:rFonts w:eastAsia="Times New Roman" w:cs="Times New Roman"/>
                <w:kern w:val="0"/>
                <w:lang w:val="ro-RO"/>
              </w:rPr>
            </w:pPr>
          </w:p>
          <w:p w14:paraId="584739C7" w14:textId="77777777" w:rsidR="00344FCE" w:rsidRPr="00344FCE" w:rsidRDefault="00344FCE" w:rsidP="00344FCE">
            <w:pPr>
              <w:spacing w:before="0" w:after="160" w:line="240" w:lineRule="auto"/>
              <w:ind w:firstLine="0"/>
              <w:jc w:val="left"/>
              <w:rPr>
                <w:rFonts w:eastAsia="Times New Roman" w:cs="Times New Roman"/>
                <w:kern w:val="0"/>
                <w:sz w:val="28"/>
                <w:szCs w:val="28"/>
                <w:lang w:val="ro-RO"/>
              </w:rPr>
            </w:pPr>
          </w:p>
        </w:tc>
        <w:tc>
          <w:tcPr>
            <w:tcW w:w="2693" w:type="dxa"/>
            <w:shd w:val="clear" w:color="auto" w:fill="auto"/>
          </w:tcPr>
          <w:p w14:paraId="3F805DFC" w14:textId="77777777" w:rsidR="00344FCE" w:rsidRPr="00344FCE" w:rsidRDefault="00344FCE" w:rsidP="00344FCE">
            <w:pPr>
              <w:spacing w:before="0" w:after="160" w:line="240" w:lineRule="auto"/>
              <w:ind w:firstLine="0"/>
              <w:jc w:val="left"/>
              <w:rPr>
                <w:rFonts w:eastAsia="Times New Roman" w:cs="Times New Roman"/>
                <w:kern w:val="0"/>
                <w:lang w:val="ro-RO"/>
              </w:rPr>
            </w:pPr>
            <w:bookmarkStart w:id="164" w:name="_heading=h.2bn6wsx" w:colFirst="0" w:colLast="0"/>
            <w:bookmarkEnd w:id="164"/>
            <w:r w:rsidRPr="00344FCE">
              <w:rPr>
                <w:rFonts w:eastAsia="Times New Roman" w:cs="Times New Roman"/>
                <w:kern w:val="0"/>
                <w:lang w:val="ro-RO"/>
              </w:rPr>
              <w:lastRenderedPageBreak/>
              <w:t>A.1 Alcătuirea cadastrului monumentelor și siturilor arheologice</w:t>
            </w:r>
          </w:p>
        </w:tc>
        <w:tc>
          <w:tcPr>
            <w:tcW w:w="6520" w:type="dxa"/>
            <w:shd w:val="clear" w:color="auto" w:fill="auto"/>
          </w:tcPr>
          <w:p w14:paraId="3AA26C75" w14:textId="77777777" w:rsidR="00440916" w:rsidRPr="00440916" w:rsidRDefault="00440916" w:rsidP="00440916">
            <w:pPr>
              <w:spacing w:before="0" w:after="0" w:line="240" w:lineRule="auto"/>
              <w:ind w:firstLine="0"/>
              <w:jc w:val="left"/>
              <w:rPr>
                <w:rFonts w:eastAsia="Times New Roman" w:cs="Times New Roman"/>
                <w:kern w:val="0"/>
                <w:lang w:val="ro-RO"/>
              </w:rPr>
            </w:pPr>
            <w:r w:rsidRPr="00440916">
              <w:rPr>
                <w:rFonts w:eastAsia="Times New Roman" w:cs="Times New Roman"/>
                <w:kern w:val="0"/>
                <w:lang w:val="ro-RO"/>
              </w:rPr>
              <w:t xml:space="preserve">- crearea unei baze de date geospațiale a monumentelor și siturilor arheologice din LMI pentru zona costieră; </w:t>
            </w:r>
          </w:p>
          <w:p w14:paraId="04278B2A" w14:textId="77777777" w:rsidR="00440916" w:rsidRPr="00440916" w:rsidRDefault="00440916" w:rsidP="00440916">
            <w:pPr>
              <w:spacing w:before="0" w:after="0" w:line="240" w:lineRule="auto"/>
              <w:ind w:firstLine="0"/>
              <w:jc w:val="left"/>
              <w:rPr>
                <w:rFonts w:eastAsia="Times New Roman" w:cs="Times New Roman"/>
                <w:kern w:val="0"/>
                <w:lang w:val="ro-RO"/>
              </w:rPr>
            </w:pPr>
            <w:r w:rsidRPr="00440916">
              <w:rPr>
                <w:rFonts w:eastAsia="Times New Roman" w:cs="Times New Roman"/>
                <w:kern w:val="0"/>
                <w:lang w:val="ro-RO"/>
              </w:rPr>
              <w:t xml:space="preserve">- realizarea unui atlas al elementelor de patrimoniu construit din LMI din zona costieră; </w:t>
            </w:r>
          </w:p>
          <w:p w14:paraId="7C1288BF" w14:textId="77777777" w:rsidR="00344FCE" w:rsidRPr="00344FCE" w:rsidRDefault="00440916" w:rsidP="00344FCE">
            <w:pPr>
              <w:spacing w:before="0" w:after="0" w:line="240" w:lineRule="auto"/>
              <w:ind w:firstLine="0"/>
              <w:jc w:val="left"/>
              <w:rPr>
                <w:rFonts w:eastAsia="Times New Roman" w:cs="Times New Roman"/>
                <w:kern w:val="0"/>
                <w:lang w:val="ro-RO"/>
              </w:rPr>
            </w:pPr>
            <w:r w:rsidRPr="00440916">
              <w:rPr>
                <w:rFonts w:eastAsia="Times New Roman" w:cs="Times New Roman"/>
                <w:kern w:val="0"/>
                <w:lang w:val="ro-RO"/>
              </w:rPr>
              <w:t>- identificarea regimului de proprietate pentru monumentele și siturile din LMI de grupă valorică A din zona costieră.</w:t>
            </w:r>
          </w:p>
        </w:tc>
        <w:tc>
          <w:tcPr>
            <w:tcW w:w="3261" w:type="dxa"/>
            <w:shd w:val="clear" w:color="auto" w:fill="auto"/>
          </w:tcPr>
          <w:p w14:paraId="6E14F3F5" w14:textId="77777777" w:rsidR="00344FCE" w:rsidRPr="00344FCE" w:rsidRDefault="00344FCE" w:rsidP="00344FCE">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Os1.a Protejarea eficientă a valorilor naturale, peisagistice și culturale</w:t>
            </w:r>
          </w:p>
        </w:tc>
      </w:tr>
      <w:tr w:rsidR="00344FCE" w:rsidRPr="00344FCE" w14:paraId="3F1AFF92" w14:textId="77777777" w:rsidTr="00583732">
        <w:tc>
          <w:tcPr>
            <w:tcW w:w="2122" w:type="dxa"/>
            <w:vMerge/>
            <w:shd w:val="clear" w:color="auto" w:fill="auto"/>
          </w:tcPr>
          <w:p w14:paraId="0B8D7E07"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4E288E2F"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A.2 Inițierea și implementarea programelor de dezvoltare de proiecte pentru protecția, conservarea și restaurarea patrimoniului cultural existent de interes național (monumente istorice, situri, imobile sau amenajări cu valoare arhitectural urbanistică, precum și peisajele din zona costieră)</w:t>
            </w:r>
          </w:p>
        </w:tc>
        <w:tc>
          <w:tcPr>
            <w:tcW w:w="6520" w:type="dxa"/>
            <w:shd w:val="clear" w:color="auto" w:fill="auto"/>
          </w:tcPr>
          <w:p w14:paraId="04E39165"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încurajarea proiectelor complexe de cercetare, documentare, reabilitare, gestiune și utilizare care pun în valoare clădiri cu valoare arhitecturală şi culturală pentru comunitate;</w:t>
            </w:r>
          </w:p>
          <w:p w14:paraId="294D8DE2"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programe-cadru de dezvoltare locală care să aibă în vedere regenerarea urbană și reabilitarea centrelor urbane cu valoare istorică;</w:t>
            </w:r>
          </w:p>
          <w:p w14:paraId="1F48E7CD"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proiecte pilot de reabilitare și promovare a identității și a patrimoniului cultural local și regional, material și imaterial prin campanii și evenimente dedicate;</w:t>
            </w:r>
          </w:p>
          <w:p w14:paraId="4AF16F00"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proiecte de evaluare și prevenire a riscurilor pentru protejarea patrimoniului cultural de efectele dezastrelor naturale și de amenințările determinate de acțiunea umană.</w:t>
            </w:r>
          </w:p>
        </w:tc>
        <w:tc>
          <w:tcPr>
            <w:tcW w:w="3261" w:type="dxa"/>
            <w:shd w:val="clear" w:color="auto" w:fill="auto"/>
          </w:tcPr>
          <w:p w14:paraId="2B3C3070" w14:textId="77777777" w:rsidR="00344FCE" w:rsidRPr="00344FCE" w:rsidRDefault="00344FCE" w:rsidP="00344FCE">
            <w:pPr>
              <w:spacing w:before="0" w:after="160" w:line="240" w:lineRule="auto"/>
              <w:ind w:firstLine="0"/>
              <w:jc w:val="left"/>
              <w:rPr>
                <w:rFonts w:eastAsia="Times New Roman" w:cs="Times New Roman"/>
                <w:kern w:val="0"/>
                <w:lang w:val="ro-RO"/>
              </w:rPr>
            </w:pPr>
            <w:r w:rsidRPr="00344FCE">
              <w:rPr>
                <w:rFonts w:eastAsia="Times New Roman" w:cs="Times New Roman"/>
                <w:kern w:val="0"/>
                <w:lang w:val="ro-RO"/>
              </w:rPr>
              <w:t>Os1.a Protejarea eficientă a valorilor naturale, peisagistice și culturale</w:t>
            </w:r>
          </w:p>
        </w:tc>
      </w:tr>
      <w:tr w:rsidR="00344FCE" w:rsidRPr="00344FCE" w14:paraId="54817898" w14:textId="77777777" w:rsidTr="00583732">
        <w:tc>
          <w:tcPr>
            <w:tcW w:w="2122" w:type="dxa"/>
            <w:vMerge/>
            <w:shd w:val="clear" w:color="auto" w:fill="auto"/>
          </w:tcPr>
          <w:p w14:paraId="09CB5770"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58E61D88" w14:textId="77777777" w:rsidR="00344FCE" w:rsidRPr="00344FCE" w:rsidRDefault="00344FCE" w:rsidP="00344FCE">
            <w:pPr>
              <w:spacing w:before="0" w:after="0" w:line="240" w:lineRule="auto"/>
              <w:ind w:firstLine="0"/>
              <w:jc w:val="left"/>
              <w:rPr>
                <w:rFonts w:eastAsia="Times New Roman" w:cs="Times New Roman"/>
                <w:kern w:val="0"/>
                <w:lang w:val="ro-RO"/>
              </w:rPr>
            </w:pPr>
            <w:bookmarkStart w:id="165" w:name="_heading=h.qsh70q" w:colFirst="0" w:colLast="0"/>
            <w:bookmarkEnd w:id="165"/>
            <w:r w:rsidRPr="00344FCE">
              <w:rPr>
                <w:rFonts w:eastAsia="Times New Roman" w:cs="Times New Roman"/>
                <w:kern w:val="0"/>
                <w:lang w:val="ro-RO"/>
              </w:rPr>
              <w:t xml:space="preserve">A.3 </w:t>
            </w:r>
            <w:r w:rsidR="00440916" w:rsidRPr="00440916">
              <w:rPr>
                <w:rFonts w:eastAsia="Times New Roman" w:cs="Times New Roman"/>
                <w:kern w:val="0"/>
                <w:lang w:val="ro-RO"/>
              </w:rPr>
              <w:t>Realizarea unui program național de cercetare, inventariere și punere în valoare a patrimoniului arheologic subacvatic din zona costieră</w:t>
            </w:r>
          </w:p>
        </w:tc>
        <w:tc>
          <w:tcPr>
            <w:tcW w:w="6520" w:type="dxa"/>
            <w:shd w:val="clear" w:color="auto" w:fill="auto"/>
          </w:tcPr>
          <w:p w14:paraId="0F07CCF1" w14:textId="77777777" w:rsidR="00440916" w:rsidRPr="00440916" w:rsidRDefault="00440916" w:rsidP="00440916">
            <w:pPr>
              <w:spacing w:before="0" w:after="0" w:line="240" w:lineRule="auto"/>
              <w:ind w:firstLine="0"/>
              <w:jc w:val="left"/>
              <w:rPr>
                <w:rFonts w:eastAsia="Times New Roman" w:cs="Times New Roman"/>
                <w:kern w:val="0"/>
                <w:lang w:val="ro-RO"/>
              </w:rPr>
            </w:pPr>
            <w:r w:rsidRPr="00440916">
              <w:rPr>
                <w:rFonts w:eastAsia="Times New Roman" w:cs="Times New Roman"/>
                <w:kern w:val="0"/>
                <w:lang w:val="ro-RO"/>
              </w:rPr>
              <w:t xml:space="preserve">- modificarea cadrului legislativ privitor la cercetarea arheologică a mediului subacvatic; </w:t>
            </w:r>
          </w:p>
          <w:p w14:paraId="394DE78F" w14:textId="77777777" w:rsidR="00440916" w:rsidRPr="00440916" w:rsidRDefault="00440916" w:rsidP="00440916">
            <w:pPr>
              <w:spacing w:before="0" w:after="0" w:line="240" w:lineRule="auto"/>
              <w:ind w:firstLine="0"/>
              <w:jc w:val="left"/>
              <w:rPr>
                <w:rFonts w:eastAsia="Times New Roman" w:cs="Times New Roman"/>
                <w:kern w:val="0"/>
                <w:lang w:val="ro-RO"/>
              </w:rPr>
            </w:pPr>
            <w:r w:rsidRPr="00440916">
              <w:rPr>
                <w:rFonts w:eastAsia="Times New Roman" w:cs="Times New Roman"/>
                <w:kern w:val="0"/>
                <w:lang w:val="ro-RO"/>
              </w:rPr>
              <w:t>- implementarea unui program național de cercetare a patrimoniului cultural subacvatic pentru identificarea, cercetarea și inventarierea primară a locurilor memoriei din zona costieră;</w:t>
            </w:r>
          </w:p>
          <w:p w14:paraId="7CB920A7" w14:textId="77777777" w:rsidR="00440916" w:rsidRPr="00440916" w:rsidRDefault="00440916" w:rsidP="00440916">
            <w:pPr>
              <w:spacing w:before="0" w:after="0" w:line="240" w:lineRule="auto"/>
              <w:ind w:firstLine="0"/>
              <w:jc w:val="left"/>
              <w:rPr>
                <w:rFonts w:eastAsia="Times New Roman" w:cs="Times New Roman"/>
                <w:kern w:val="0"/>
                <w:lang w:val="ro-RO"/>
              </w:rPr>
            </w:pPr>
            <w:r w:rsidRPr="00440916">
              <w:rPr>
                <w:rFonts w:eastAsia="Times New Roman" w:cs="Times New Roman"/>
                <w:kern w:val="0"/>
                <w:lang w:val="ro-RO"/>
              </w:rPr>
              <w:t xml:space="preserve">- elaborarea și aplicarea unui program național de pregătire și formare profesională a arheologilor, în scopul constituirii unui </w:t>
            </w:r>
            <w:r w:rsidRPr="00440916">
              <w:rPr>
                <w:rFonts w:eastAsia="Times New Roman" w:cs="Times New Roman"/>
                <w:kern w:val="0"/>
                <w:lang w:val="ro-RO"/>
              </w:rPr>
              <w:lastRenderedPageBreak/>
              <w:t>corp profesional dedicat domeniului care să asigure standarde de calitate ale intervenţiilor de cercetare și conservare a patrimoniului cultural subacvatic;</w:t>
            </w:r>
          </w:p>
          <w:p w14:paraId="6526A059" w14:textId="77777777" w:rsidR="00440916" w:rsidRPr="00440916" w:rsidRDefault="00440916" w:rsidP="00440916">
            <w:pPr>
              <w:spacing w:before="0" w:after="0" w:line="240" w:lineRule="auto"/>
              <w:ind w:firstLine="0"/>
              <w:jc w:val="left"/>
              <w:rPr>
                <w:rFonts w:eastAsia="Times New Roman" w:cs="Times New Roman"/>
                <w:kern w:val="0"/>
                <w:lang w:val="ro-RO"/>
              </w:rPr>
            </w:pPr>
            <w:r w:rsidRPr="00440916">
              <w:rPr>
                <w:rFonts w:eastAsia="Times New Roman" w:cs="Times New Roman"/>
                <w:kern w:val="0"/>
                <w:lang w:val="ro-RO"/>
              </w:rPr>
              <w:t>- înființarea unui centru de cercetări arheologice subacvatice, dotat cu aparatura și tehnica necesare derulării acestui tip de investigații;</w:t>
            </w:r>
          </w:p>
          <w:p w14:paraId="15E275F0" w14:textId="77777777" w:rsidR="00440916" w:rsidRPr="00440916" w:rsidRDefault="00440916" w:rsidP="00440916">
            <w:pPr>
              <w:spacing w:before="0" w:after="0" w:line="240" w:lineRule="auto"/>
              <w:ind w:firstLine="0"/>
              <w:jc w:val="left"/>
              <w:rPr>
                <w:rFonts w:eastAsia="Times New Roman" w:cs="Times New Roman"/>
                <w:kern w:val="0"/>
                <w:lang w:val="ro-RO"/>
              </w:rPr>
            </w:pPr>
            <w:r w:rsidRPr="00440916">
              <w:rPr>
                <w:rFonts w:eastAsia="Times New Roman" w:cs="Times New Roman"/>
                <w:kern w:val="0"/>
                <w:lang w:val="ro-RO"/>
              </w:rPr>
              <w:t>- realizarea unei baze de date care va cuprinde informații istorice, descriptive și spațiale privitoare la patrimoniul cultural și peisajul istoric subacvatic;</w:t>
            </w:r>
          </w:p>
          <w:p w14:paraId="2BD3387A" w14:textId="77777777" w:rsidR="00440916" w:rsidRPr="00440916" w:rsidRDefault="00440916" w:rsidP="00440916">
            <w:pPr>
              <w:spacing w:before="0" w:after="0" w:line="240" w:lineRule="auto"/>
              <w:ind w:firstLine="0"/>
              <w:jc w:val="left"/>
              <w:rPr>
                <w:rFonts w:eastAsia="Times New Roman" w:cs="Times New Roman"/>
                <w:kern w:val="0"/>
                <w:lang w:val="ro-RO"/>
              </w:rPr>
            </w:pPr>
            <w:r w:rsidRPr="00440916">
              <w:rPr>
                <w:rFonts w:eastAsia="Times New Roman" w:cs="Times New Roman"/>
                <w:kern w:val="0"/>
                <w:lang w:val="ro-RO"/>
              </w:rPr>
              <w:t>- realizarea unor proiecte pilot transfrontaliere dedicate identificării și cercetării patrimoniului cultural subacvatic;</w:t>
            </w:r>
          </w:p>
          <w:p w14:paraId="612A7450" w14:textId="77777777" w:rsidR="00344FCE" w:rsidRPr="00344FCE" w:rsidRDefault="00440916" w:rsidP="00440916">
            <w:pPr>
              <w:spacing w:before="0" w:after="0" w:line="240" w:lineRule="auto"/>
              <w:ind w:firstLine="0"/>
              <w:jc w:val="left"/>
              <w:rPr>
                <w:rFonts w:eastAsia="Times New Roman" w:cs="Times New Roman"/>
                <w:kern w:val="0"/>
                <w:lang w:val="ro-RO"/>
              </w:rPr>
            </w:pPr>
            <w:r w:rsidRPr="00440916">
              <w:rPr>
                <w:rFonts w:eastAsia="Times New Roman" w:cs="Times New Roman"/>
                <w:kern w:val="0"/>
                <w:lang w:val="ro-RO"/>
              </w:rPr>
              <w:t>- crearea în cadrul muzeelor de istorie și arheologie de infrastructuri pentru analiza, conservarea și restaurarea patrimoniului cultural subacvatic.</w:t>
            </w:r>
          </w:p>
        </w:tc>
        <w:tc>
          <w:tcPr>
            <w:tcW w:w="3261" w:type="dxa"/>
            <w:shd w:val="clear" w:color="auto" w:fill="auto"/>
          </w:tcPr>
          <w:p w14:paraId="34BD12A8" w14:textId="77777777" w:rsidR="00344FCE" w:rsidRPr="00344FCE" w:rsidRDefault="00344FCE" w:rsidP="00344FCE">
            <w:pPr>
              <w:spacing w:before="0" w:after="16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Os1.a Protejarea eficientă a valorilor naturale, peisagistice și culturale</w:t>
            </w:r>
          </w:p>
        </w:tc>
      </w:tr>
      <w:tr w:rsidR="00344FCE" w:rsidRPr="00344FCE" w14:paraId="6EB7322C" w14:textId="77777777" w:rsidTr="00583732">
        <w:tc>
          <w:tcPr>
            <w:tcW w:w="2122" w:type="dxa"/>
            <w:vMerge/>
            <w:shd w:val="clear" w:color="auto" w:fill="auto"/>
          </w:tcPr>
          <w:p w14:paraId="05FC3697"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37C6EA64"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A.4 Inventarierea și evaluarea peisajului în zona costieră în vederea susținerii proceselor de elaborarea a activităților de planificare spațială a teritoriului, precum și a programelor de conservare / restaurare / reabilitare / valorificare a peisajului costier</w:t>
            </w:r>
          </w:p>
        </w:tc>
        <w:tc>
          <w:tcPr>
            <w:tcW w:w="6520" w:type="dxa"/>
            <w:shd w:val="clear" w:color="auto" w:fill="auto"/>
          </w:tcPr>
          <w:p w14:paraId="651AC642"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elaborarea unei metodologii pentru inventarierea  și evaluarea peisajului costier;</w:t>
            </w:r>
          </w:p>
          <w:p w14:paraId="4F34BA34"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realizarea atlasului peisajului costier;</w:t>
            </w:r>
          </w:p>
          <w:p w14:paraId="34D829C5"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realizarea unei metodologii / ghid pentru programele de conservare /reabilitare / valorificare a peisajului costier;</w:t>
            </w:r>
          </w:p>
          <w:p w14:paraId="63C72BFA"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realizarea unor analize detaliate privind modul de utilizare a terenurilor, cu accent pe aspectele ecologice, istorice, economice și de percepție.</w:t>
            </w:r>
          </w:p>
        </w:tc>
        <w:tc>
          <w:tcPr>
            <w:tcW w:w="3261" w:type="dxa"/>
            <w:shd w:val="clear" w:color="auto" w:fill="auto"/>
          </w:tcPr>
          <w:p w14:paraId="6AEF059C" w14:textId="77777777" w:rsidR="00344FCE" w:rsidRPr="00344FCE" w:rsidRDefault="00344FCE" w:rsidP="00344FCE">
            <w:pPr>
              <w:spacing w:before="0" w:after="160" w:line="240" w:lineRule="auto"/>
              <w:ind w:firstLine="0"/>
              <w:jc w:val="left"/>
              <w:rPr>
                <w:rFonts w:eastAsia="Times New Roman" w:cs="Times New Roman"/>
                <w:kern w:val="0"/>
                <w:lang w:val="ro-RO"/>
              </w:rPr>
            </w:pPr>
            <w:r w:rsidRPr="00344FCE">
              <w:rPr>
                <w:rFonts w:eastAsia="Times New Roman" w:cs="Times New Roman"/>
                <w:kern w:val="0"/>
                <w:lang w:val="ro-RO"/>
              </w:rPr>
              <w:t>Os1.a Protejarea eficientă a valorilor naturale, peisagistice și culturale</w:t>
            </w:r>
          </w:p>
        </w:tc>
      </w:tr>
      <w:tr w:rsidR="00344FCE" w:rsidRPr="00344FCE" w14:paraId="1CB149CB" w14:textId="77777777" w:rsidTr="00583732">
        <w:tc>
          <w:tcPr>
            <w:tcW w:w="2122" w:type="dxa"/>
            <w:vMerge/>
            <w:shd w:val="clear" w:color="auto" w:fill="auto"/>
          </w:tcPr>
          <w:p w14:paraId="050CAF9C"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52B99D42"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A.5 Asigurarea conservării biodiversității în conformitate cu obligațiile prevăzute de legislația europeană</w:t>
            </w:r>
          </w:p>
        </w:tc>
        <w:tc>
          <w:tcPr>
            <w:tcW w:w="6520" w:type="dxa"/>
            <w:shd w:val="clear" w:color="auto" w:fill="auto"/>
          </w:tcPr>
          <w:p w14:paraId="35D2BF8C"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elaborarea/actualizarea și implementarea Planurilor de management, strategiilor şi a măsurilor de management a ariilor naturale protejate, precum şi altor activităţi conexe (activităţi preliminare măsurilor concrete de investiţii sau conservare);</w:t>
            </w:r>
          </w:p>
          <w:p w14:paraId="710B3E24"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monitorizarea și cartarea ecosistemelor costiere, în scopul de a spori capacitatea acestora de a oferi beneficii esențiale pentru dezvoltare sustenabilă;</w:t>
            </w:r>
          </w:p>
          <w:p w14:paraId="575BD493"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 identificarea/diminuarea factorilor care conduc la pierderea şi degradarea habitatelor din zona costieră și refacerea acestora utilizând soluțiile bazate pe natură;</w:t>
            </w:r>
          </w:p>
          <w:p w14:paraId="78F70203"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susținerea programelor de cercetare pentru protecția și conservarea ariilor protejate și a resurselor acvatice vii;</w:t>
            </w:r>
          </w:p>
          <w:p w14:paraId="37151B89"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dezvoltarea și implementarea de proiecte pilot pentru conservarea unor specii sau a unor habitate periclitate pe plan național și/sau European.</w:t>
            </w:r>
          </w:p>
        </w:tc>
        <w:tc>
          <w:tcPr>
            <w:tcW w:w="3261" w:type="dxa"/>
            <w:shd w:val="clear" w:color="auto" w:fill="auto"/>
          </w:tcPr>
          <w:p w14:paraId="3FCE26B8" w14:textId="77777777" w:rsidR="00344FCE" w:rsidRPr="00344FCE" w:rsidRDefault="00344FCE" w:rsidP="00344FCE">
            <w:pPr>
              <w:spacing w:before="0" w:after="0" w:line="252" w:lineRule="auto"/>
              <w:ind w:firstLine="0"/>
              <w:jc w:val="left"/>
              <w:rPr>
                <w:rFonts w:eastAsia="Times New Roman" w:cs="Times New Roman"/>
                <w:kern w:val="0"/>
                <w:lang w:val="ro-RO"/>
              </w:rPr>
            </w:pPr>
            <w:r w:rsidRPr="00344FCE">
              <w:rPr>
                <w:rFonts w:eastAsia="Times New Roman" w:cs="Times New Roman"/>
                <w:kern w:val="0"/>
                <w:lang w:val="ro-RO"/>
              </w:rPr>
              <w:lastRenderedPageBreak/>
              <w:t>Os1.a Protejarea eficientă a valorilor naturale, peisagistice și culturale</w:t>
            </w:r>
          </w:p>
          <w:p w14:paraId="62B0336A" w14:textId="77777777" w:rsidR="00344FCE" w:rsidRPr="00344FCE" w:rsidRDefault="00344FCE" w:rsidP="00344FCE">
            <w:pPr>
              <w:spacing w:before="0" w:after="0" w:line="252" w:lineRule="auto"/>
              <w:ind w:firstLine="0"/>
              <w:jc w:val="left"/>
              <w:rPr>
                <w:rFonts w:eastAsia="Times New Roman" w:cs="Times New Roman"/>
                <w:kern w:val="0"/>
                <w:lang w:val="ro-RO"/>
              </w:rPr>
            </w:pPr>
            <w:r w:rsidRPr="00344FCE">
              <w:rPr>
                <w:rFonts w:eastAsia="Times New Roman" w:cs="Times New Roman"/>
                <w:kern w:val="0"/>
                <w:lang w:val="ro-RO"/>
              </w:rPr>
              <w:t>Os2.a Atingerea stării ecologice bune a ecosistemelor.</w:t>
            </w:r>
          </w:p>
        </w:tc>
      </w:tr>
      <w:tr w:rsidR="00344FCE" w:rsidRPr="00344FCE" w14:paraId="35346B80" w14:textId="77777777" w:rsidTr="00583732">
        <w:tc>
          <w:tcPr>
            <w:tcW w:w="2122" w:type="dxa"/>
            <w:vMerge/>
            <w:shd w:val="clear" w:color="auto" w:fill="auto"/>
          </w:tcPr>
          <w:p w14:paraId="5868B3E1"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43C9B55A"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A.6 Dezvoltarea unor programe pentru restabilirea/refacerea și utilizarea sustenabilă a ecosistemelor costiere utilizând soluțiile bazate pe natură</w:t>
            </w:r>
          </w:p>
        </w:tc>
        <w:tc>
          <w:tcPr>
            <w:tcW w:w="6520" w:type="dxa"/>
            <w:shd w:val="clear" w:color="auto" w:fill="auto"/>
          </w:tcPr>
          <w:p w14:paraId="2C3F05C7"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stabilirea unui cadru de guvernanță consolidat pentru a remedia disparitățile existente, pentru a asigura punerea în aplicare deplină a legislației UE și care sa reunească toate eforturile existente;</w:t>
            </w:r>
          </w:p>
          <w:p w14:paraId="08CD7318"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elaborarea și coordonarea planului de refacere a habitatelor, în special a celor cu rol major în combaterea efectelor schimbărilor climatice (zonele umede, pajiști marine, apele costiere, lagune, păduri, soluri fertile);</w:t>
            </w:r>
          </w:p>
          <w:p w14:paraId="4CC5245A"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gestionarea durabilă a resurselor acvatice vii printr-o abordare ecosistemică a activităților de pescuit, iar în ariile protejate instituirea măsurilor de gestionare a pescuitului în conformitate cu obiective de conservare bine definite;</w:t>
            </w:r>
          </w:p>
          <w:p w14:paraId="42107938"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dezvoltarea și implementarea unor proiecte pilot naționale și transfrontaliere dedicate restabilirii/refacerii ecosistemelor costiere utilizând soluțiile bazate pe natură;</w:t>
            </w:r>
          </w:p>
          <w:p w14:paraId="0D074219"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organizarea de campanii de conștientizare privind restabilirea/refacerea ecosistemelor costiere utilizând soluțiile bazate pe natură.</w:t>
            </w:r>
          </w:p>
        </w:tc>
        <w:tc>
          <w:tcPr>
            <w:tcW w:w="3261" w:type="dxa"/>
            <w:shd w:val="clear" w:color="auto" w:fill="auto"/>
          </w:tcPr>
          <w:p w14:paraId="6A7F6A02" w14:textId="77777777" w:rsidR="00344FCE" w:rsidRPr="00344FCE" w:rsidRDefault="00344FCE" w:rsidP="00344FCE">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Os1.a Protejarea eficientă a valorilor naturale, peisagistice și culturale</w:t>
            </w:r>
          </w:p>
          <w:p w14:paraId="3512C005" w14:textId="77777777" w:rsidR="00344FCE" w:rsidRPr="00344FCE" w:rsidRDefault="00344FCE" w:rsidP="00344FCE">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Os2.c Stimularea dezvoltării infrastructurii verzi</w:t>
            </w:r>
          </w:p>
          <w:p w14:paraId="2B5D4BDF" w14:textId="77777777" w:rsidR="00344FCE" w:rsidRPr="00344FCE" w:rsidRDefault="00344FCE" w:rsidP="00344FCE">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Os2.a Atingerea stării ecologice bune a ecosistemelor.</w:t>
            </w:r>
          </w:p>
        </w:tc>
      </w:tr>
      <w:tr w:rsidR="00344FCE" w:rsidRPr="00344FCE" w14:paraId="7808BC47" w14:textId="77777777" w:rsidTr="00583732">
        <w:tc>
          <w:tcPr>
            <w:tcW w:w="2122" w:type="dxa"/>
            <w:vMerge/>
            <w:shd w:val="clear" w:color="auto" w:fill="auto"/>
          </w:tcPr>
          <w:p w14:paraId="370CDDE6"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03A99694" w14:textId="77777777" w:rsidR="00344FCE" w:rsidRPr="00344FCE" w:rsidRDefault="00344FCE" w:rsidP="00344FCE">
            <w:pPr>
              <w:spacing w:before="0" w:after="0" w:line="252" w:lineRule="auto"/>
              <w:ind w:firstLine="0"/>
              <w:jc w:val="left"/>
              <w:rPr>
                <w:rFonts w:eastAsia="Times New Roman" w:cs="Times New Roman"/>
                <w:kern w:val="0"/>
                <w:lang w:val="ro-RO"/>
              </w:rPr>
            </w:pPr>
            <w:r w:rsidRPr="00344FCE">
              <w:rPr>
                <w:rFonts w:eastAsia="Times New Roman" w:cs="Times New Roman"/>
                <w:kern w:val="0"/>
                <w:lang w:val="ro-RO"/>
              </w:rPr>
              <w:t>A.7 Identificarea, catalogarea și monitorizarea serviciilor ecosistemice</w:t>
            </w:r>
          </w:p>
        </w:tc>
        <w:tc>
          <w:tcPr>
            <w:tcW w:w="6520" w:type="dxa"/>
            <w:shd w:val="clear" w:color="auto" w:fill="auto"/>
          </w:tcPr>
          <w:p w14:paraId="1C024CF6" w14:textId="77777777" w:rsidR="00344FCE" w:rsidRPr="00344FCE" w:rsidRDefault="00344FCE" w:rsidP="00344FCE">
            <w:pPr>
              <w:spacing w:before="0" w:after="0" w:line="252" w:lineRule="auto"/>
              <w:ind w:firstLine="0"/>
              <w:jc w:val="left"/>
              <w:rPr>
                <w:rFonts w:eastAsia="Times New Roman" w:cs="Times New Roman"/>
                <w:kern w:val="0"/>
                <w:lang w:val="ro-RO"/>
              </w:rPr>
            </w:pPr>
            <w:r w:rsidRPr="00344FCE">
              <w:rPr>
                <w:rFonts w:eastAsia="Times New Roman" w:cs="Times New Roman"/>
                <w:kern w:val="0"/>
                <w:lang w:val="ro-RO"/>
              </w:rPr>
              <w:t>- catalogarea serviciilor ecosistemice;</w:t>
            </w:r>
          </w:p>
          <w:p w14:paraId="1F4F3EC1" w14:textId="77777777" w:rsidR="00344FCE" w:rsidRPr="00344FCE" w:rsidRDefault="00344FCE" w:rsidP="00344FCE">
            <w:pPr>
              <w:spacing w:before="0" w:after="0" w:line="252" w:lineRule="auto"/>
              <w:ind w:firstLine="0"/>
              <w:jc w:val="left"/>
              <w:rPr>
                <w:rFonts w:eastAsia="Times New Roman" w:cs="Times New Roman"/>
                <w:kern w:val="0"/>
                <w:lang w:val="ro-RO"/>
              </w:rPr>
            </w:pPr>
            <w:r w:rsidRPr="00344FCE">
              <w:rPr>
                <w:rFonts w:eastAsia="Times New Roman" w:cs="Times New Roman"/>
                <w:kern w:val="0"/>
                <w:lang w:val="ro-RO"/>
              </w:rPr>
              <w:t>- dezvoltarea instrumentelor suport de planificare și management a serviciilor ecosistemice pentru politicile de mediu;</w:t>
            </w:r>
          </w:p>
        </w:tc>
        <w:tc>
          <w:tcPr>
            <w:tcW w:w="3261" w:type="dxa"/>
            <w:shd w:val="clear" w:color="auto" w:fill="auto"/>
          </w:tcPr>
          <w:p w14:paraId="3E272D3B" w14:textId="77777777" w:rsidR="00344FCE" w:rsidRPr="00344FCE" w:rsidRDefault="00344FCE" w:rsidP="00344FCE">
            <w:pPr>
              <w:spacing w:before="0" w:after="0" w:line="252" w:lineRule="auto"/>
              <w:ind w:firstLine="0"/>
              <w:jc w:val="left"/>
              <w:rPr>
                <w:rFonts w:eastAsia="Times New Roman" w:cs="Times New Roman"/>
                <w:kern w:val="0"/>
                <w:lang w:val="ro-RO"/>
              </w:rPr>
            </w:pPr>
            <w:r w:rsidRPr="00344FCE">
              <w:rPr>
                <w:rFonts w:eastAsia="Times New Roman" w:cs="Times New Roman"/>
                <w:kern w:val="0"/>
                <w:lang w:val="ro-RO"/>
              </w:rPr>
              <w:t xml:space="preserve">Os1.a Protejarea eficientă a valorilor naturale, peisagistice și culturale, </w:t>
            </w:r>
          </w:p>
          <w:p w14:paraId="7FFF1655" w14:textId="77777777" w:rsidR="00344FCE" w:rsidRPr="00344FCE" w:rsidRDefault="00344FCE" w:rsidP="00344FCE">
            <w:pPr>
              <w:spacing w:before="0" w:after="0" w:line="252" w:lineRule="auto"/>
              <w:ind w:firstLine="0"/>
              <w:jc w:val="left"/>
              <w:rPr>
                <w:rFonts w:eastAsia="Times New Roman" w:cs="Times New Roman"/>
                <w:kern w:val="0"/>
                <w:lang w:val="ro-RO"/>
              </w:rPr>
            </w:pPr>
            <w:r w:rsidRPr="00344FCE">
              <w:rPr>
                <w:rFonts w:eastAsia="Times New Roman" w:cs="Times New Roman"/>
                <w:kern w:val="0"/>
                <w:lang w:val="ro-RO"/>
              </w:rPr>
              <w:t>Os1.b Îmbunătățirea și valorizarea serviciilor ecosistemice.</w:t>
            </w:r>
          </w:p>
        </w:tc>
      </w:tr>
      <w:tr w:rsidR="00344FCE" w:rsidRPr="00344FCE" w14:paraId="34DD015C" w14:textId="77777777" w:rsidTr="00583732">
        <w:tc>
          <w:tcPr>
            <w:tcW w:w="2122" w:type="dxa"/>
            <w:vMerge/>
            <w:shd w:val="clear" w:color="auto" w:fill="auto"/>
          </w:tcPr>
          <w:p w14:paraId="022BE450"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68E26F8E" w14:textId="77777777" w:rsidR="00344FCE" w:rsidRPr="00344FCE" w:rsidRDefault="00344FCE" w:rsidP="00344FCE">
            <w:pPr>
              <w:spacing w:before="0" w:after="0" w:line="252" w:lineRule="auto"/>
              <w:ind w:firstLine="0"/>
              <w:jc w:val="left"/>
              <w:rPr>
                <w:rFonts w:eastAsia="Times New Roman" w:cs="Times New Roman"/>
                <w:kern w:val="0"/>
                <w:lang w:val="ro-RO"/>
              </w:rPr>
            </w:pPr>
            <w:r w:rsidRPr="00344FCE">
              <w:rPr>
                <w:rFonts w:eastAsia="Times New Roman" w:cs="Times New Roman"/>
                <w:kern w:val="0"/>
                <w:lang w:val="ro-RO"/>
              </w:rPr>
              <w:t>A.8 Stabilirea instrumentelor pentru valorizarea monetară și non-monetară a serviciilor ecosistemice în concordanță cu obiectivele de protecție și conservare a speciilor și habitatelor</w:t>
            </w:r>
          </w:p>
        </w:tc>
        <w:tc>
          <w:tcPr>
            <w:tcW w:w="6520" w:type="dxa"/>
            <w:shd w:val="clear" w:color="auto" w:fill="auto"/>
          </w:tcPr>
          <w:p w14:paraId="51DE9804"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elaborarea Ghidului metodologic și a normelor pentru valorizarea monetară și non-monetară a bunurilor și serviciilor ecosistemice listate în Catalogul serviciilor ecosistemice al zonei costiere;</w:t>
            </w:r>
          </w:p>
          <w:p w14:paraId="637AC4D7"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crearea instrumentelor monetare și cadrului conceptual privind evaluarea naturii și bunurilor sale în acord cu metodologiile naționale sau internaționale.</w:t>
            </w:r>
          </w:p>
        </w:tc>
        <w:tc>
          <w:tcPr>
            <w:tcW w:w="3261" w:type="dxa"/>
            <w:shd w:val="clear" w:color="auto" w:fill="auto"/>
          </w:tcPr>
          <w:p w14:paraId="77DE61D1" w14:textId="77777777" w:rsidR="00344FCE" w:rsidRPr="00344FCE" w:rsidRDefault="00344FCE" w:rsidP="00344FCE">
            <w:pPr>
              <w:spacing w:before="0" w:line="252" w:lineRule="auto"/>
              <w:ind w:firstLine="0"/>
              <w:jc w:val="left"/>
              <w:rPr>
                <w:rFonts w:eastAsia="Times New Roman" w:cs="Times New Roman"/>
                <w:kern w:val="0"/>
                <w:lang w:val="ro-RO"/>
              </w:rPr>
            </w:pPr>
            <w:r w:rsidRPr="00344FCE">
              <w:rPr>
                <w:rFonts w:eastAsia="Times New Roman" w:cs="Times New Roman"/>
                <w:kern w:val="0"/>
                <w:lang w:val="ro-RO"/>
              </w:rPr>
              <w:t xml:space="preserve">Os1.a Protejarea eficientă a valorilor naturale, peisagistice și culturale, </w:t>
            </w:r>
          </w:p>
          <w:p w14:paraId="295B767A" w14:textId="77777777" w:rsidR="00344FCE" w:rsidRPr="00344FCE" w:rsidRDefault="00344FCE" w:rsidP="00344FCE">
            <w:pPr>
              <w:spacing w:before="0" w:line="252" w:lineRule="auto"/>
              <w:ind w:firstLine="0"/>
              <w:jc w:val="left"/>
              <w:rPr>
                <w:rFonts w:eastAsia="Times New Roman" w:cs="Times New Roman"/>
                <w:kern w:val="0"/>
                <w:lang w:val="ro-RO"/>
              </w:rPr>
            </w:pPr>
            <w:r w:rsidRPr="00344FCE">
              <w:rPr>
                <w:rFonts w:eastAsia="Times New Roman" w:cs="Times New Roman"/>
                <w:kern w:val="0"/>
                <w:lang w:val="ro-RO"/>
              </w:rPr>
              <w:t>Os1.b Îmbunătățirea și valorizarea serviciilor ecosistemice.</w:t>
            </w:r>
          </w:p>
        </w:tc>
      </w:tr>
      <w:tr w:rsidR="00344FCE" w:rsidRPr="00344FCE" w14:paraId="3998A68A" w14:textId="77777777" w:rsidTr="00583732">
        <w:tc>
          <w:tcPr>
            <w:tcW w:w="2122" w:type="dxa"/>
            <w:vMerge/>
            <w:shd w:val="clear" w:color="auto" w:fill="auto"/>
          </w:tcPr>
          <w:p w14:paraId="1D89F480"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50759051"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A.9 Elaborarea instrumentelor de reglementare pentru direcționarea investițiilor către fondul destinat proiectelor de reconstrucție ecologică și renaturare</w:t>
            </w:r>
          </w:p>
        </w:tc>
        <w:tc>
          <w:tcPr>
            <w:tcW w:w="6520" w:type="dxa"/>
            <w:shd w:val="clear" w:color="auto" w:fill="auto"/>
          </w:tcPr>
          <w:p w14:paraId="492E47A5"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planificarea cadrului instituțional destinat proiectelor de evaluare a funcțiilor și serviciilor;</w:t>
            </w:r>
          </w:p>
          <w:p w14:paraId="0F7F6514"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co-design și implicarea participativă a stakeholderilor la proiecte de reconstrucție ecologică a ecosistemelor și funcțiilor acestora.</w:t>
            </w:r>
          </w:p>
        </w:tc>
        <w:tc>
          <w:tcPr>
            <w:tcW w:w="3261" w:type="dxa"/>
            <w:shd w:val="clear" w:color="auto" w:fill="auto"/>
          </w:tcPr>
          <w:p w14:paraId="25556577"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Os1.a Protejarea eficientă a valorilor naturale, peisagistice și culturale, </w:t>
            </w:r>
          </w:p>
          <w:p w14:paraId="58225EB8"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Os1.b Îmbunătățirea și valorizarea serviciilor ecosistemice.</w:t>
            </w:r>
          </w:p>
        </w:tc>
      </w:tr>
      <w:tr w:rsidR="0026266A" w:rsidRPr="00344FCE" w14:paraId="3909F6CD" w14:textId="77777777" w:rsidTr="00583732">
        <w:tc>
          <w:tcPr>
            <w:tcW w:w="2122" w:type="dxa"/>
            <w:shd w:val="clear" w:color="auto" w:fill="auto"/>
          </w:tcPr>
          <w:p w14:paraId="3039D2FA" w14:textId="77777777" w:rsidR="0026266A" w:rsidRPr="00344FCE" w:rsidRDefault="0026266A"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355F884E" w14:textId="77777777" w:rsidR="0026266A" w:rsidRPr="00344FCE" w:rsidRDefault="0026266A" w:rsidP="00344FCE">
            <w:pPr>
              <w:spacing w:before="0" w:after="0" w:line="240" w:lineRule="auto"/>
              <w:ind w:firstLine="0"/>
              <w:jc w:val="left"/>
              <w:rPr>
                <w:rFonts w:eastAsia="Times New Roman" w:cs="Times New Roman"/>
                <w:kern w:val="0"/>
                <w:lang w:val="ro-RO"/>
              </w:rPr>
            </w:pPr>
            <w:r>
              <w:rPr>
                <w:rFonts w:eastAsia="Times New Roman" w:cs="Times New Roman"/>
                <w:kern w:val="0"/>
                <w:lang w:val="ro-RO"/>
              </w:rPr>
              <w:t xml:space="preserve">A.10 </w:t>
            </w:r>
            <w:r w:rsidRPr="0026266A">
              <w:rPr>
                <w:rFonts w:eastAsia="Times New Roman" w:cs="Times New Roman"/>
                <w:kern w:val="0"/>
                <w:lang w:val="ro-RO"/>
              </w:rPr>
              <w:t>Managementul speciilor invazive prin programe de monitorizare a vectorilor și a posibilelor căi de pătrundere, precum și prin măsuri de prevenire a răspândirii acestora (detectare rapidă, inclusiv prin metode eDNA)</w:t>
            </w:r>
          </w:p>
        </w:tc>
        <w:tc>
          <w:tcPr>
            <w:tcW w:w="6520" w:type="dxa"/>
            <w:shd w:val="clear" w:color="auto" w:fill="auto"/>
          </w:tcPr>
          <w:p w14:paraId="2CFCD6C1" w14:textId="77777777" w:rsidR="0026266A" w:rsidRPr="0026266A" w:rsidRDefault="0026266A" w:rsidP="0026266A">
            <w:pPr>
              <w:spacing w:before="0" w:after="0" w:line="240" w:lineRule="auto"/>
              <w:ind w:firstLine="0"/>
              <w:jc w:val="left"/>
              <w:rPr>
                <w:rFonts w:eastAsia="Times New Roman" w:cs="Times New Roman"/>
                <w:kern w:val="0"/>
                <w:lang w:val="ro-RO"/>
              </w:rPr>
            </w:pPr>
            <w:r>
              <w:rPr>
                <w:rFonts w:eastAsia="Times New Roman" w:cs="Times New Roman"/>
                <w:kern w:val="0"/>
                <w:lang w:val="ro-RO"/>
              </w:rPr>
              <w:t xml:space="preserve">- </w:t>
            </w:r>
            <w:r w:rsidRPr="0026266A">
              <w:rPr>
                <w:rFonts w:eastAsia="Times New Roman" w:cs="Times New Roman"/>
                <w:kern w:val="0"/>
                <w:lang w:val="ro-RO"/>
              </w:rPr>
              <w:t>prevenirea introducerii intenţionate şi neintenţionate de specii alohtone prin controlul strict al vectorilor şi monitorizarea posibilelor căi de pătrundere;</w:t>
            </w:r>
          </w:p>
          <w:p w14:paraId="7AC76959" w14:textId="77777777" w:rsidR="0026266A" w:rsidRPr="0026266A" w:rsidRDefault="0026266A" w:rsidP="0026266A">
            <w:pPr>
              <w:spacing w:before="0" w:after="0" w:line="240" w:lineRule="auto"/>
              <w:ind w:firstLine="0"/>
              <w:jc w:val="left"/>
              <w:rPr>
                <w:rFonts w:eastAsia="Times New Roman" w:cs="Times New Roman"/>
                <w:kern w:val="0"/>
                <w:lang w:val="ro-RO"/>
              </w:rPr>
            </w:pPr>
            <w:r>
              <w:rPr>
                <w:rFonts w:eastAsia="Times New Roman" w:cs="Times New Roman"/>
                <w:kern w:val="0"/>
                <w:lang w:val="ro-RO"/>
              </w:rPr>
              <w:t xml:space="preserve">- </w:t>
            </w:r>
            <w:r w:rsidRPr="0026266A">
              <w:rPr>
                <w:rFonts w:eastAsia="Times New Roman" w:cs="Times New Roman"/>
                <w:kern w:val="0"/>
                <w:lang w:val="ro-RO"/>
              </w:rPr>
              <w:t>detectarea rapidă a speciilor alohtone inclusiv prin metode moderne (eDNA) şi identificarea căilor de acces, înainte de extinderea lor în zona costieră;</w:t>
            </w:r>
          </w:p>
          <w:p w14:paraId="4F218739" w14:textId="77777777" w:rsidR="0026266A" w:rsidRPr="0026266A" w:rsidRDefault="0026266A" w:rsidP="0026266A">
            <w:pPr>
              <w:spacing w:before="0" w:after="0" w:line="240" w:lineRule="auto"/>
              <w:ind w:firstLine="0"/>
              <w:jc w:val="left"/>
              <w:rPr>
                <w:rFonts w:eastAsia="Times New Roman" w:cs="Times New Roman"/>
                <w:kern w:val="0"/>
                <w:lang w:val="ro-RO"/>
              </w:rPr>
            </w:pPr>
            <w:r>
              <w:rPr>
                <w:rFonts w:eastAsia="Times New Roman" w:cs="Times New Roman"/>
                <w:kern w:val="0"/>
                <w:lang w:val="ro-RO"/>
              </w:rPr>
              <w:t xml:space="preserve">- </w:t>
            </w:r>
            <w:r w:rsidRPr="0026266A">
              <w:rPr>
                <w:rFonts w:eastAsia="Times New Roman" w:cs="Times New Roman"/>
                <w:kern w:val="0"/>
                <w:lang w:val="ro-RO"/>
              </w:rPr>
              <w:t>managementul speciilor non indigene naturalizate şi stoparea extinderii arealului lor în scopul eradicării, limitării şi controlului lor;</w:t>
            </w:r>
          </w:p>
          <w:p w14:paraId="544D7457" w14:textId="77777777" w:rsidR="0026266A" w:rsidRPr="00344FCE" w:rsidRDefault="0026266A" w:rsidP="0026266A">
            <w:pPr>
              <w:spacing w:before="0" w:after="0" w:line="240" w:lineRule="auto"/>
              <w:ind w:firstLine="0"/>
              <w:jc w:val="left"/>
              <w:rPr>
                <w:rFonts w:eastAsia="Times New Roman" w:cs="Times New Roman"/>
                <w:kern w:val="0"/>
                <w:lang w:val="ro-RO"/>
              </w:rPr>
            </w:pPr>
            <w:r>
              <w:rPr>
                <w:rFonts w:eastAsia="Times New Roman" w:cs="Times New Roman"/>
                <w:kern w:val="0"/>
                <w:lang w:val="ro-RO"/>
              </w:rPr>
              <w:t xml:space="preserve">- </w:t>
            </w:r>
            <w:r w:rsidRPr="0026266A">
              <w:rPr>
                <w:rFonts w:eastAsia="Times New Roman" w:cs="Times New Roman"/>
                <w:kern w:val="0"/>
                <w:lang w:val="ro-RO"/>
              </w:rPr>
              <w:t>introducerea sistemelor de avertizare timpurie şi management al riscului în cazul pătrunderii de patogeni şi a planurilor de contingenţă pentru reducerea impactului acestora.</w:t>
            </w:r>
          </w:p>
        </w:tc>
        <w:tc>
          <w:tcPr>
            <w:tcW w:w="3261" w:type="dxa"/>
            <w:shd w:val="clear" w:color="auto" w:fill="auto"/>
          </w:tcPr>
          <w:p w14:paraId="3A751741" w14:textId="77777777" w:rsidR="0026266A" w:rsidRPr="00344FCE" w:rsidRDefault="0026266A" w:rsidP="00344FCE">
            <w:pPr>
              <w:spacing w:before="0" w:after="0" w:line="240" w:lineRule="auto"/>
              <w:ind w:firstLine="0"/>
              <w:jc w:val="left"/>
              <w:rPr>
                <w:rFonts w:eastAsia="Times New Roman" w:cs="Times New Roman"/>
                <w:kern w:val="0"/>
                <w:lang w:val="ro-RO"/>
              </w:rPr>
            </w:pPr>
            <w:r w:rsidRPr="0026266A">
              <w:rPr>
                <w:rFonts w:eastAsia="Times New Roman" w:cs="Times New Roman"/>
                <w:kern w:val="0"/>
                <w:lang w:val="ro-RO"/>
              </w:rPr>
              <w:t>Os1.a Protejarea eficientă a valorilor natu</w:t>
            </w:r>
            <w:r>
              <w:rPr>
                <w:rFonts w:eastAsia="Times New Roman" w:cs="Times New Roman"/>
                <w:kern w:val="0"/>
                <w:lang w:val="ro-RO"/>
              </w:rPr>
              <w:t>rale, peisagistice și culturale.</w:t>
            </w:r>
          </w:p>
        </w:tc>
      </w:tr>
      <w:tr w:rsidR="00344FCE" w:rsidRPr="00344FCE" w14:paraId="26D0AF84" w14:textId="77777777" w:rsidTr="00583732">
        <w:tc>
          <w:tcPr>
            <w:tcW w:w="2122" w:type="dxa"/>
            <w:vMerge w:val="restart"/>
            <w:shd w:val="clear" w:color="auto" w:fill="auto"/>
            <w:vAlign w:val="center"/>
          </w:tcPr>
          <w:p w14:paraId="4E4DD650"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1B238B9D"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3DAFC3A0" w14:textId="77777777" w:rsidR="00344FCE" w:rsidRPr="00344FCE" w:rsidRDefault="00344FCE" w:rsidP="00344FCE">
            <w:pPr>
              <w:spacing w:before="0" w:after="160" w:line="252" w:lineRule="auto"/>
              <w:ind w:firstLine="0"/>
              <w:jc w:val="center"/>
              <w:rPr>
                <w:rFonts w:eastAsia="Times New Roman" w:cs="Times New Roman"/>
                <w:kern w:val="0"/>
                <w:lang w:val="ro-RO"/>
              </w:rPr>
            </w:pPr>
            <w:r w:rsidRPr="00344FCE">
              <w:rPr>
                <w:rFonts w:eastAsia="Times New Roman" w:cs="Times New Roman"/>
                <w:kern w:val="0"/>
                <w:lang w:val="ro-RO"/>
              </w:rPr>
              <w:t>Prevenirea și limitarea/stoparea poluării</w:t>
            </w:r>
          </w:p>
          <w:p w14:paraId="1AF0B6CE"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1FA1C2F9"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1BC17E89"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69200A76"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0D3E2FA8"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25B6EAE4"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755E02C5" w14:textId="77777777" w:rsidR="00344FCE" w:rsidRPr="00344FCE" w:rsidRDefault="00344FCE" w:rsidP="00344FCE">
            <w:pPr>
              <w:spacing w:before="0" w:after="160" w:line="252" w:lineRule="auto"/>
              <w:ind w:firstLine="0"/>
              <w:jc w:val="center"/>
              <w:rPr>
                <w:rFonts w:eastAsia="Times New Roman" w:cs="Times New Roman"/>
                <w:kern w:val="0"/>
                <w:lang w:val="ro-RO"/>
              </w:rPr>
            </w:pPr>
            <w:bookmarkStart w:id="166" w:name="_heading=h.3as4poj" w:colFirst="0" w:colLast="0"/>
            <w:bookmarkEnd w:id="166"/>
          </w:p>
          <w:p w14:paraId="329D2685"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51DB85F8"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6DAF6A23"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7D87A1E5"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575ABEA8"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4F512599"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771C2E01"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0F1DCAE3"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04FD16F3"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7C660964"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71834C78"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55197D45"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4DE7ACA3"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4BD6CA9F" w14:textId="77777777" w:rsidR="00344FCE" w:rsidRPr="00344FCE" w:rsidRDefault="00344FCE" w:rsidP="00344FCE">
            <w:pPr>
              <w:spacing w:before="0" w:after="160" w:line="252" w:lineRule="auto"/>
              <w:ind w:firstLine="0"/>
              <w:jc w:val="center"/>
              <w:rPr>
                <w:rFonts w:eastAsia="Times New Roman" w:cs="Times New Roman"/>
                <w:kern w:val="0"/>
                <w:lang w:val="ro-RO"/>
              </w:rPr>
            </w:pPr>
            <w:r w:rsidRPr="00344FCE">
              <w:rPr>
                <w:rFonts w:eastAsia="Times New Roman" w:cs="Times New Roman"/>
                <w:kern w:val="0"/>
                <w:lang w:val="ro-RO"/>
              </w:rPr>
              <w:t>Prevenirea și limitarea/stoparea poluării</w:t>
            </w:r>
          </w:p>
          <w:p w14:paraId="0A2814B3"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3EAECFD3"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53679F5A"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49592765"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7C493683"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1FBD4437"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3AEEB8F0"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7339A98C"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062A6250"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230A53AE"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5E391206"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4E756BE3"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09B8B909"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0E9F5262"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1128315A"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4DFA0291"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0B414959" w14:textId="77777777" w:rsidR="00344FCE" w:rsidRPr="00344FCE" w:rsidRDefault="00344FCE" w:rsidP="00344FCE">
            <w:pPr>
              <w:spacing w:before="0" w:after="160" w:line="252" w:lineRule="auto"/>
              <w:ind w:firstLine="0"/>
              <w:jc w:val="center"/>
              <w:rPr>
                <w:rFonts w:eastAsia="Times New Roman" w:cs="Times New Roman"/>
                <w:kern w:val="0"/>
                <w:lang w:val="ro-RO"/>
              </w:rPr>
            </w:pPr>
            <w:r w:rsidRPr="00344FCE">
              <w:rPr>
                <w:rFonts w:eastAsia="Times New Roman" w:cs="Times New Roman"/>
                <w:kern w:val="0"/>
                <w:lang w:val="ro-RO"/>
              </w:rPr>
              <w:t>Prevenirea și limitarea/stoparea poluării</w:t>
            </w:r>
          </w:p>
          <w:p w14:paraId="62A7988C"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52941C0F"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17054631"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40627801" w14:textId="77777777" w:rsidR="00344FCE" w:rsidRPr="00344FCE" w:rsidRDefault="00344FCE" w:rsidP="00344FCE">
            <w:pPr>
              <w:spacing w:before="0" w:after="160" w:line="252" w:lineRule="auto"/>
              <w:ind w:firstLine="0"/>
              <w:jc w:val="center"/>
              <w:rPr>
                <w:rFonts w:eastAsia="Times New Roman" w:cs="Times New Roman"/>
                <w:kern w:val="0"/>
                <w:lang w:val="ro-RO"/>
              </w:rPr>
            </w:pPr>
          </w:p>
          <w:p w14:paraId="1CA28CAA" w14:textId="77777777" w:rsidR="00344FCE" w:rsidRPr="00344FCE" w:rsidRDefault="00344FCE" w:rsidP="00344FCE">
            <w:pPr>
              <w:spacing w:before="0" w:after="160" w:line="252" w:lineRule="auto"/>
              <w:ind w:firstLine="0"/>
              <w:jc w:val="center"/>
              <w:rPr>
                <w:rFonts w:eastAsia="Times New Roman" w:cs="Times New Roman"/>
                <w:kern w:val="0"/>
                <w:sz w:val="28"/>
                <w:szCs w:val="28"/>
                <w:lang w:val="ro-RO"/>
              </w:rPr>
            </w:pPr>
          </w:p>
        </w:tc>
        <w:tc>
          <w:tcPr>
            <w:tcW w:w="2693" w:type="dxa"/>
            <w:shd w:val="clear" w:color="auto" w:fill="auto"/>
          </w:tcPr>
          <w:p w14:paraId="22FB287B"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 xml:space="preserve">B.1 Inițierea și implementarea programelor pentru îndepărtarea deșeurilor marine, din coloana de apă și de pe fundul mării  </w:t>
            </w:r>
          </w:p>
        </w:tc>
        <w:tc>
          <w:tcPr>
            <w:tcW w:w="6520" w:type="dxa"/>
            <w:shd w:val="clear" w:color="auto" w:fill="auto"/>
          </w:tcPr>
          <w:p w14:paraId="53369564"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stabilirea mecanismelor de cooperare (de exemplu, implicarea pescarilor în monitorizarea și îndepărtarea deșeurilor marine) și dezvoltarea programelor de creștere a gradului de conștientizare în rândul comunităților de pescari cu privire la efectele negative ale deșeurilor marine asupra ecosistemului costier, în particular asupra resurselor vii;</w:t>
            </w:r>
          </w:p>
          <w:p w14:paraId="700DEE53"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inițierea de proiecte / acțiuni pilot pentru îndepărtarea deșeurilor plutitoare și a celor scufundate, colectarea acestora și tratarea lor ulterioară, inclusiv reciclarea lor.</w:t>
            </w:r>
          </w:p>
        </w:tc>
        <w:tc>
          <w:tcPr>
            <w:tcW w:w="3261" w:type="dxa"/>
            <w:shd w:val="clear" w:color="auto" w:fill="auto"/>
          </w:tcPr>
          <w:p w14:paraId="617CCD8D" w14:textId="77777777" w:rsidR="00344FCE" w:rsidRDefault="00344FCE" w:rsidP="00344FCE">
            <w:pPr>
              <w:spacing w:before="0" w:after="160" w:line="240" w:lineRule="auto"/>
              <w:ind w:firstLine="0"/>
              <w:jc w:val="left"/>
              <w:rPr>
                <w:rFonts w:eastAsia="Times New Roman" w:cs="Times New Roman"/>
                <w:kern w:val="0"/>
                <w:lang w:val="ro-RO"/>
              </w:rPr>
            </w:pPr>
            <w:r w:rsidRPr="00344FCE">
              <w:rPr>
                <w:rFonts w:eastAsia="Times New Roman" w:cs="Times New Roman"/>
                <w:kern w:val="0"/>
                <w:lang w:val="ro-RO"/>
              </w:rPr>
              <w:t>Os2.a Atingerea stării</w:t>
            </w:r>
            <w:r w:rsidR="006617F2">
              <w:rPr>
                <w:rFonts w:eastAsia="Times New Roman" w:cs="Times New Roman"/>
                <w:kern w:val="0"/>
                <w:lang w:val="ro-RO"/>
              </w:rPr>
              <w:t xml:space="preserve"> ecologice bune a ecosistemelor;</w:t>
            </w:r>
          </w:p>
          <w:p w14:paraId="0BE68D8A" w14:textId="77777777" w:rsidR="006617F2" w:rsidRPr="00344FCE" w:rsidRDefault="006617F2" w:rsidP="00344FCE">
            <w:pPr>
              <w:spacing w:before="0" w:after="160" w:line="240" w:lineRule="auto"/>
              <w:ind w:firstLine="0"/>
              <w:jc w:val="left"/>
              <w:rPr>
                <w:rFonts w:eastAsia="Times New Roman" w:cs="Times New Roman"/>
                <w:kern w:val="0"/>
                <w:lang w:val="ro-RO"/>
              </w:rPr>
            </w:pPr>
            <w:r w:rsidRPr="006617F2">
              <w:rPr>
                <w:rFonts w:eastAsia="Times New Roman" w:cs="Times New Roman"/>
                <w:kern w:val="0"/>
                <w:lang w:val="ro-RO"/>
              </w:rPr>
              <w:t>Os1.a Protejarea eficientă a valorilor naturale, peisagistice și culturale</w:t>
            </w:r>
            <w:r>
              <w:rPr>
                <w:rFonts w:eastAsia="Times New Roman" w:cs="Times New Roman"/>
                <w:kern w:val="0"/>
                <w:lang w:val="ro-RO"/>
              </w:rPr>
              <w:t>.</w:t>
            </w:r>
          </w:p>
        </w:tc>
      </w:tr>
      <w:tr w:rsidR="00344FCE" w:rsidRPr="00344FCE" w14:paraId="6A88D2DD" w14:textId="77777777" w:rsidTr="00583732">
        <w:tc>
          <w:tcPr>
            <w:tcW w:w="2122" w:type="dxa"/>
            <w:vMerge/>
            <w:shd w:val="clear" w:color="auto" w:fill="auto"/>
            <w:vAlign w:val="center"/>
          </w:tcPr>
          <w:p w14:paraId="68064B7C"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548AD509" w14:textId="45DAEB9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B.</w:t>
            </w:r>
            <w:r w:rsidR="00D96C25">
              <w:rPr>
                <w:rFonts w:eastAsia="Times New Roman" w:cs="Times New Roman"/>
                <w:kern w:val="0"/>
                <w:lang w:val="ro-RO"/>
              </w:rPr>
              <w:t>2</w:t>
            </w:r>
            <w:r w:rsidRPr="00344FCE">
              <w:rPr>
                <w:rFonts w:eastAsia="Times New Roman" w:cs="Times New Roman"/>
                <w:kern w:val="0"/>
                <w:lang w:val="ro-RO"/>
              </w:rPr>
              <w:t xml:space="preserve"> Îmbunătățirea capacității de monitorizare a </w:t>
            </w:r>
            <w:r w:rsidR="00D335D9">
              <w:rPr>
                <w:rFonts w:eastAsia="Times New Roman" w:cs="Times New Roman"/>
                <w:kern w:val="0"/>
                <w:lang w:val="ro-RO"/>
              </w:rPr>
              <w:t>calității aerului</w:t>
            </w:r>
            <w:r w:rsidRPr="00344FCE">
              <w:rPr>
                <w:rFonts w:eastAsia="Times New Roman" w:cs="Times New Roman"/>
                <w:kern w:val="0"/>
                <w:lang w:val="ro-RO"/>
              </w:rPr>
              <w:t>, precum și a depunerilor atmosferice</w:t>
            </w:r>
          </w:p>
        </w:tc>
        <w:tc>
          <w:tcPr>
            <w:tcW w:w="6520" w:type="dxa"/>
            <w:shd w:val="clear" w:color="auto" w:fill="auto"/>
          </w:tcPr>
          <w:p w14:paraId="6D1B9B86"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realizare de studii pentru identificarea noilor locații de monitorizare a calității aerului;</w:t>
            </w:r>
          </w:p>
          <w:p w14:paraId="572A5B0A"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realizarea de proiecte pilot pentru monitorizarea depunerilor atmosferice;</w:t>
            </w:r>
          </w:p>
          <w:p w14:paraId="0EF3761D"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 crearea unei rețele de monitorizare a depunerilor atmosferice în zona costieră.    </w:t>
            </w:r>
          </w:p>
        </w:tc>
        <w:tc>
          <w:tcPr>
            <w:tcW w:w="3261" w:type="dxa"/>
            <w:shd w:val="clear" w:color="auto" w:fill="auto"/>
          </w:tcPr>
          <w:p w14:paraId="2D06E418"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Os2.a Atingerea stării ecologice bune a ecosistemelor;</w:t>
            </w:r>
          </w:p>
          <w:p w14:paraId="7C6930FA"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Os2.b Gestionarea, revitalizare și reabilitarea zonelor urbane şi rurale poluate.</w:t>
            </w:r>
          </w:p>
        </w:tc>
      </w:tr>
      <w:tr w:rsidR="00344FCE" w:rsidRPr="00344FCE" w14:paraId="59031418" w14:textId="77777777" w:rsidTr="00583732">
        <w:tc>
          <w:tcPr>
            <w:tcW w:w="2122" w:type="dxa"/>
            <w:vMerge/>
            <w:shd w:val="clear" w:color="auto" w:fill="auto"/>
            <w:vAlign w:val="center"/>
          </w:tcPr>
          <w:p w14:paraId="1E0E65CB"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2963D9BD" w14:textId="52C6BE31"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B.</w:t>
            </w:r>
            <w:r w:rsidR="00787B1D">
              <w:rPr>
                <w:rFonts w:eastAsia="Times New Roman" w:cs="Times New Roman"/>
                <w:kern w:val="0"/>
                <w:lang w:val="ro-RO"/>
              </w:rPr>
              <w:t>3</w:t>
            </w:r>
            <w:r w:rsidRPr="00344FCE">
              <w:rPr>
                <w:rFonts w:eastAsia="Times New Roman" w:cs="Times New Roman"/>
                <w:kern w:val="0"/>
                <w:lang w:val="ro-RO"/>
              </w:rPr>
              <w:t xml:space="preserve"> Extinderea și modernizarea infrastructurii de canalizare și epurare în partea nordică a zonei costiere, aferentă Deltei Dunării</w:t>
            </w:r>
          </w:p>
        </w:tc>
        <w:tc>
          <w:tcPr>
            <w:tcW w:w="6520" w:type="dxa"/>
            <w:shd w:val="clear" w:color="auto" w:fill="auto"/>
          </w:tcPr>
          <w:p w14:paraId="76A4FBF4" w14:textId="77777777" w:rsidR="00344FCE" w:rsidRPr="00344FCE" w:rsidRDefault="00344FCE" w:rsidP="00344FCE">
            <w:pPr>
              <w:spacing w:before="0" w:after="160" w:line="252" w:lineRule="auto"/>
              <w:ind w:firstLine="0"/>
              <w:rPr>
                <w:rFonts w:eastAsia="Times New Roman" w:cs="Times New Roman"/>
                <w:kern w:val="0"/>
                <w:lang w:val="ro-RO"/>
              </w:rPr>
            </w:pPr>
          </w:p>
        </w:tc>
        <w:tc>
          <w:tcPr>
            <w:tcW w:w="3261" w:type="dxa"/>
            <w:shd w:val="clear" w:color="auto" w:fill="auto"/>
          </w:tcPr>
          <w:p w14:paraId="3262A6BE" w14:textId="77777777" w:rsidR="00344FCE" w:rsidRPr="00344FCE" w:rsidRDefault="00344FCE" w:rsidP="00344FCE">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t>Os2.a Atingerea stării ecologice bune a ecosistemelor;</w:t>
            </w:r>
          </w:p>
          <w:p w14:paraId="0DA39E78" w14:textId="77777777" w:rsidR="00344FCE" w:rsidRPr="00344FCE" w:rsidRDefault="00344FCE" w:rsidP="00344FCE">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t xml:space="preserve">Os4.a Gestionarea durabilă a resurselor zonei de coastă. Os1.a Protejarea eficientă a valorilor naturale, peisagistice și culturale </w:t>
            </w:r>
          </w:p>
        </w:tc>
      </w:tr>
      <w:tr w:rsidR="00344FCE" w:rsidRPr="00344FCE" w14:paraId="4DED60BE" w14:textId="77777777" w:rsidTr="00583732">
        <w:tc>
          <w:tcPr>
            <w:tcW w:w="2122" w:type="dxa"/>
            <w:vMerge/>
            <w:shd w:val="clear" w:color="auto" w:fill="auto"/>
            <w:vAlign w:val="center"/>
          </w:tcPr>
          <w:p w14:paraId="6626C6E4"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78A9016D" w14:textId="6999D130"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B.</w:t>
            </w:r>
            <w:r w:rsidR="00787B1D">
              <w:rPr>
                <w:rFonts w:eastAsia="Times New Roman" w:cs="Times New Roman"/>
                <w:kern w:val="0"/>
                <w:lang w:val="ro-RO"/>
              </w:rPr>
              <w:t>4</w:t>
            </w:r>
            <w:r w:rsidRPr="00344FCE">
              <w:rPr>
                <w:rFonts w:eastAsia="Times New Roman" w:cs="Times New Roman"/>
                <w:kern w:val="0"/>
                <w:lang w:val="ro-RO"/>
              </w:rPr>
              <w:t xml:space="preserve"> Dezvoltarea unui program pentru studierea principalelor surse, căi de transport și impactului contaminanților emergenți asupra faunei și omului, precum și dezvoltarea  unui </w:t>
            </w:r>
            <w:r w:rsidRPr="00344FCE">
              <w:rPr>
                <w:rFonts w:eastAsia="Times New Roman" w:cs="Times New Roman"/>
                <w:kern w:val="0"/>
                <w:lang w:val="ro-RO"/>
              </w:rPr>
              <w:lastRenderedPageBreak/>
              <w:t>program de monitorizare a acestora</w:t>
            </w:r>
          </w:p>
        </w:tc>
        <w:tc>
          <w:tcPr>
            <w:tcW w:w="6520" w:type="dxa"/>
            <w:shd w:val="clear" w:color="auto" w:fill="auto"/>
          </w:tcPr>
          <w:p w14:paraId="06A8A252"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 realizarea de proiecte pilot pentru dezvoltarea și testarea infrastructurii de monitorizare a poluanților emergenți în mediul acvatic;</w:t>
            </w:r>
          </w:p>
          <w:p w14:paraId="0E67D0AD"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elaborarea de studii privind bioacumularea, biomagnificarea și evaluarea riscului prezenței contaminanților emergenți în ecosistemele marine și dulcicole asupra faunei și sănătății omului;</w:t>
            </w:r>
          </w:p>
          <w:p w14:paraId="3FBD28C2"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 realizarea unui Registru al poluanților emergenți; </w:t>
            </w:r>
          </w:p>
          <w:p w14:paraId="56D15EE3"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 dezvoltarea programelor de monitorizare a contaminanților emergenți în mediul acvatic.</w:t>
            </w:r>
          </w:p>
        </w:tc>
        <w:tc>
          <w:tcPr>
            <w:tcW w:w="3261" w:type="dxa"/>
            <w:shd w:val="clear" w:color="auto" w:fill="auto"/>
          </w:tcPr>
          <w:p w14:paraId="3931FE16" w14:textId="77777777" w:rsidR="00344FCE" w:rsidRPr="00344FCE" w:rsidRDefault="00344FCE" w:rsidP="00344FCE">
            <w:pPr>
              <w:spacing w:before="0" w:line="240" w:lineRule="auto"/>
              <w:ind w:firstLine="0"/>
              <w:jc w:val="left"/>
              <w:rPr>
                <w:rFonts w:eastAsia="Times New Roman" w:cs="Times New Roman"/>
                <w:kern w:val="0"/>
                <w:lang w:val="ro-RO"/>
              </w:rPr>
            </w:pPr>
          </w:p>
        </w:tc>
      </w:tr>
      <w:tr w:rsidR="00344FCE" w:rsidRPr="00344FCE" w14:paraId="50283F71" w14:textId="77777777" w:rsidTr="00583732">
        <w:tc>
          <w:tcPr>
            <w:tcW w:w="2122" w:type="dxa"/>
            <w:vMerge/>
            <w:shd w:val="clear" w:color="auto" w:fill="auto"/>
            <w:vAlign w:val="center"/>
          </w:tcPr>
          <w:p w14:paraId="26A52F31"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2A10404C" w14:textId="592C673D"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B.</w:t>
            </w:r>
            <w:r w:rsidR="00787B1D">
              <w:rPr>
                <w:rFonts w:eastAsia="Times New Roman" w:cs="Times New Roman"/>
                <w:kern w:val="0"/>
                <w:lang w:val="ro-RO"/>
              </w:rPr>
              <w:t>5</w:t>
            </w:r>
            <w:r w:rsidR="00BA434A">
              <w:rPr>
                <w:rFonts w:eastAsia="Times New Roman" w:cs="Times New Roman"/>
                <w:kern w:val="0"/>
                <w:lang w:val="ro-RO"/>
              </w:rPr>
              <w:t xml:space="preserve"> Gestionarea</w:t>
            </w:r>
            <w:r w:rsidRPr="00344FCE">
              <w:rPr>
                <w:rFonts w:eastAsia="Times New Roman" w:cs="Times New Roman"/>
                <w:kern w:val="0"/>
                <w:lang w:val="ro-RO"/>
              </w:rPr>
              <w:t xml:space="preserve"> siturilor contaminate și potențial contaminate din zona costieră</w:t>
            </w:r>
          </w:p>
        </w:tc>
        <w:tc>
          <w:tcPr>
            <w:tcW w:w="6520" w:type="dxa"/>
            <w:shd w:val="clear" w:color="auto" w:fill="auto"/>
          </w:tcPr>
          <w:p w14:paraId="4C7F60C0"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actualizarea inventarului siturilor contaminate și potențial contaminate;</w:t>
            </w:r>
          </w:p>
          <w:p w14:paraId="4DAF87FB" w14:textId="48DBEF9E"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 identificarea și aplicarea de noi soluții ecologice pentru remedierea siturilor </w:t>
            </w:r>
            <w:r w:rsidR="00BA434A">
              <w:rPr>
                <w:rFonts w:eastAsia="Times New Roman" w:cs="Times New Roman"/>
                <w:kern w:val="0"/>
                <w:lang w:val="ro-RO"/>
              </w:rPr>
              <w:t>contaminate</w:t>
            </w:r>
            <w:r w:rsidRPr="00344FCE">
              <w:rPr>
                <w:rFonts w:eastAsia="Times New Roman" w:cs="Times New Roman"/>
                <w:kern w:val="0"/>
                <w:lang w:val="ro-RO"/>
              </w:rPr>
              <w:t>,cât și a celor din proximitatea acestora;</w:t>
            </w:r>
          </w:p>
          <w:p w14:paraId="6200870B"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dezvoltarea unor proiecte pilot pentru testarea soluțiilor inovative identificate;</w:t>
            </w:r>
          </w:p>
          <w:p w14:paraId="49498930"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creșterea capacității de monitorizare post remediere prin sisteme inteligente de supraveghere,control și investigare.</w:t>
            </w:r>
          </w:p>
        </w:tc>
        <w:tc>
          <w:tcPr>
            <w:tcW w:w="3261" w:type="dxa"/>
            <w:shd w:val="clear" w:color="auto" w:fill="auto"/>
          </w:tcPr>
          <w:p w14:paraId="2520C843" w14:textId="77777777" w:rsidR="00344FCE" w:rsidRPr="00344FCE" w:rsidRDefault="00344FCE" w:rsidP="00344FCE">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t>Os2.b Gestionarea, revitalizare și reabilitarea zonelor urbane şi rurale poluate;</w:t>
            </w:r>
          </w:p>
          <w:p w14:paraId="75AF734D" w14:textId="77777777" w:rsidR="00344FCE" w:rsidRPr="00344FCE" w:rsidRDefault="00344FCE" w:rsidP="00344FCE">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t>Os2.c Stimularea dezvoltării infrastructurii verzi.</w:t>
            </w:r>
          </w:p>
          <w:p w14:paraId="66E73D51" w14:textId="77777777" w:rsidR="00344FCE" w:rsidRPr="00344FCE" w:rsidRDefault="00344FCE" w:rsidP="00344FCE">
            <w:pPr>
              <w:spacing w:before="0" w:after="0" w:line="240" w:lineRule="auto"/>
              <w:ind w:firstLine="0"/>
              <w:jc w:val="left"/>
              <w:rPr>
                <w:rFonts w:eastAsia="Times New Roman" w:cs="Times New Roman"/>
                <w:kern w:val="0"/>
                <w:lang w:val="ro-RO"/>
              </w:rPr>
            </w:pPr>
          </w:p>
        </w:tc>
      </w:tr>
      <w:tr w:rsidR="00344FCE" w:rsidRPr="00344FCE" w14:paraId="46595177" w14:textId="77777777" w:rsidTr="00583732">
        <w:tc>
          <w:tcPr>
            <w:tcW w:w="2122" w:type="dxa"/>
            <w:vMerge/>
            <w:shd w:val="clear" w:color="auto" w:fill="auto"/>
            <w:vAlign w:val="center"/>
          </w:tcPr>
          <w:p w14:paraId="3316A4EC"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06C1C788" w14:textId="4831DCEF" w:rsidR="00344FCE" w:rsidRPr="00344FCE" w:rsidRDefault="00344FCE" w:rsidP="00344FCE">
            <w:pPr>
              <w:spacing w:before="0" w:after="0" w:line="240" w:lineRule="auto"/>
              <w:ind w:firstLine="0"/>
              <w:rPr>
                <w:rFonts w:eastAsia="Times New Roman" w:cs="Times New Roman"/>
                <w:kern w:val="0"/>
                <w:lang w:val="ro-RO"/>
              </w:rPr>
            </w:pPr>
            <w:r w:rsidRPr="00344FCE">
              <w:rPr>
                <w:rFonts w:eastAsia="Times New Roman" w:cs="Times New Roman"/>
                <w:kern w:val="0"/>
                <w:lang w:val="ro-RO"/>
              </w:rPr>
              <w:t>B.</w:t>
            </w:r>
            <w:r w:rsidR="00787B1D">
              <w:rPr>
                <w:rFonts w:eastAsia="Times New Roman" w:cs="Times New Roman"/>
                <w:kern w:val="0"/>
                <w:lang w:val="ro-RO"/>
              </w:rPr>
              <w:t xml:space="preserve">6 </w:t>
            </w:r>
            <w:r w:rsidRPr="00344FCE">
              <w:rPr>
                <w:rFonts w:eastAsia="Times New Roman" w:cs="Times New Roman"/>
                <w:kern w:val="0"/>
                <w:lang w:val="ro-RO"/>
              </w:rPr>
              <w:t>Dezvoltarea infrastructurii verzi în zona carierelor active de calcare și șisturi verzi (zona Tașaul-Luminița)</w:t>
            </w:r>
          </w:p>
        </w:tc>
        <w:tc>
          <w:tcPr>
            <w:tcW w:w="6520" w:type="dxa"/>
            <w:shd w:val="clear" w:color="auto" w:fill="auto"/>
          </w:tcPr>
          <w:p w14:paraId="53105F0F"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campanii de conștientizare a impactului negativ al activității de exploatare a calcarelor și șisturilor verzi în rândul operatorilor economici, administrației publice și altor factori interesați locali;</w:t>
            </w:r>
          </w:p>
          <w:p w14:paraId="361B9432"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campanii de conștientizare și atragerea a publicului în acțiuni de monitorizare a sitului;</w:t>
            </w:r>
          </w:p>
          <w:p w14:paraId="5B112285"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inițierea și implementarea de proiecte de dezvoltare a infrastructurii verzi (perdele forestiere, ecrane de protecție împotriva zgomotului, reciclarea materialelor reziduale - resturi de piatră, etc.) pentru reducerea poluării generate de activitatea de minerit și activitățile conexe (transport)</w:t>
            </w:r>
          </w:p>
          <w:p w14:paraId="3B6638C9"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 - proiecte pilot pentru testarea și definirea metodelor pentru restaurarea, întreținerea și managementul speciilor și habitatelor pionier;</w:t>
            </w:r>
          </w:p>
          <w:p w14:paraId="5B9D4325"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testarea și definirea metodelor de pregătire a infrastructurii fizice a carierei în timpul proceselor de exploatare, pentru a facilita stabilirea planurilor de refacere care să crească serviciile ecosistemice și biodiversitatea în perioada post-exploatare.</w:t>
            </w:r>
          </w:p>
        </w:tc>
        <w:tc>
          <w:tcPr>
            <w:tcW w:w="3261" w:type="dxa"/>
            <w:shd w:val="clear" w:color="auto" w:fill="auto"/>
          </w:tcPr>
          <w:p w14:paraId="3B25D143"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Os2.b Gestionarea, revitalizare și reabilitarea zonelor urbane şi rurale poluate;</w:t>
            </w:r>
          </w:p>
          <w:p w14:paraId="34D9C39E"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Os2.c Stimularea dezvoltării infrastructurii verzi;</w:t>
            </w:r>
          </w:p>
          <w:p w14:paraId="21325ACB"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Os1.a Protejarea eficientă a valorilor naturale, peisagistice și culturale;</w:t>
            </w:r>
          </w:p>
          <w:p w14:paraId="23D1E1C8" w14:textId="77777777" w:rsidR="00344FCE" w:rsidRPr="00344FCE" w:rsidRDefault="00344FCE" w:rsidP="00344FCE">
            <w:pPr>
              <w:spacing w:before="0" w:after="0" w:line="240" w:lineRule="auto"/>
              <w:ind w:firstLine="0"/>
              <w:rPr>
                <w:rFonts w:eastAsia="Times New Roman" w:cs="Times New Roman"/>
                <w:kern w:val="0"/>
                <w:lang w:val="ro-RO"/>
              </w:rPr>
            </w:pPr>
            <w:r w:rsidRPr="00344FCE">
              <w:rPr>
                <w:rFonts w:eastAsia="Times New Roman" w:cs="Times New Roman"/>
                <w:kern w:val="0"/>
                <w:lang w:val="ro-RO"/>
              </w:rPr>
              <w:t>Os6.b Creșterea gradului de conștientizare cu privire la necesitatea de a păstra și îmbunătăți resursele zonei de coastă;</w:t>
            </w:r>
          </w:p>
          <w:p w14:paraId="45CF8CCC" w14:textId="77777777" w:rsidR="00344FCE" w:rsidRPr="00344FCE" w:rsidRDefault="00344FCE" w:rsidP="00344FCE">
            <w:pPr>
              <w:spacing w:before="0" w:after="0" w:line="240" w:lineRule="auto"/>
              <w:ind w:firstLine="20"/>
              <w:rPr>
                <w:rFonts w:eastAsia="Times New Roman" w:cs="Times New Roman"/>
                <w:kern w:val="0"/>
                <w:lang w:val="ro-RO"/>
              </w:rPr>
            </w:pPr>
            <w:r w:rsidRPr="00344FCE">
              <w:rPr>
                <w:rFonts w:eastAsia="Times New Roman" w:cs="Times New Roman"/>
                <w:kern w:val="0"/>
                <w:lang w:val="ro-RO"/>
              </w:rPr>
              <w:t>Os6.c Implicarea cetățenilor în monitorizarea stării de sănătate a mediului costier (Citizen-science)</w:t>
            </w:r>
          </w:p>
        </w:tc>
      </w:tr>
      <w:tr w:rsidR="00344FCE" w:rsidRPr="00344FCE" w14:paraId="43157B8E" w14:textId="77777777" w:rsidTr="00583732">
        <w:tc>
          <w:tcPr>
            <w:tcW w:w="2122" w:type="dxa"/>
            <w:vMerge/>
            <w:shd w:val="clear" w:color="auto" w:fill="auto"/>
            <w:vAlign w:val="center"/>
          </w:tcPr>
          <w:p w14:paraId="6B971686"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1E47F9C9" w14:textId="55E43D79"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B.</w:t>
            </w:r>
            <w:r w:rsidR="00787B1D">
              <w:rPr>
                <w:rFonts w:eastAsia="Times New Roman" w:cs="Times New Roman"/>
                <w:kern w:val="0"/>
                <w:lang w:val="ro-RO"/>
              </w:rPr>
              <w:t>7</w:t>
            </w:r>
            <w:r w:rsidRPr="00344FCE">
              <w:rPr>
                <w:rFonts w:eastAsia="Times New Roman" w:cs="Times New Roman"/>
                <w:kern w:val="0"/>
                <w:lang w:val="ro-RO"/>
              </w:rPr>
              <w:t xml:space="preserve"> Restaurarea ecologică a lacurilor urbane în scopul valorificării potențialului </w:t>
            </w:r>
            <w:r w:rsidRPr="00344FCE">
              <w:rPr>
                <w:rFonts w:eastAsia="Times New Roman" w:cs="Times New Roman"/>
                <w:kern w:val="0"/>
                <w:lang w:val="ro-RO"/>
              </w:rPr>
              <w:lastRenderedPageBreak/>
              <w:t>lor natural și turistic (lacurile Tăbăcărie, Costinești, Belona, Neptun, etc.)</w:t>
            </w:r>
          </w:p>
        </w:tc>
        <w:tc>
          <w:tcPr>
            <w:tcW w:w="6520" w:type="dxa"/>
            <w:shd w:val="clear" w:color="auto" w:fill="auto"/>
          </w:tcPr>
          <w:p w14:paraId="4A464519"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 derularea de campanii de conștientizare a potențialului natural și turistic al lacurilor urbane și de atragere a societății civile în proiectele de restaurare;</w:t>
            </w:r>
          </w:p>
          <w:p w14:paraId="04D5A8F3"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 campanii de ecologizare a lacurilor litorale; </w:t>
            </w:r>
          </w:p>
          <w:p w14:paraId="13BF3617"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 identificarea și testarea prin proiecte pilot a soluțiilor ecologice de restaurare a lacurilor urbane;</w:t>
            </w:r>
          </w:p>
          <w:p w14:paraId="298AD298"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 aplicarea soluțiilor pentru reducerea/stoparea aportului de poluanți, materie organică și deșeuri în lacurile urbane prin deversarea apelor meteorice și a celor uzate </w:t>
            </w:r>
          </w:p>
          <w:p w14:paraId="4DBDDA93"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angrenarea cetățenilor în monitorizare a stării ecologice a lacurilor urbane.</w:t>
            </w:r>
          </w:p>
        </w:tc>
        <w:tc>
          <w:tcPr>
            <w:tcW w:w="3261" w:type="dxa"/>
            <w:shd w:val="clear" w:color="auto" w:fill="auto"/>
          </w:tcPr>
          <w:p w14:paraId="07770C94"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Os2.b Gestionarea, revitalizare și reabilitarea zonelor urbane şi rurale poluate;</w:t>
            </w:r>
          </w:p>
          <w:p w14:paraId="7D2A2EB4"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Os2.c Stimularea dezvoltării infrastructurii verzi</w:t>
            </w:r>
          </w:p>
          <w:p w14:paraId="564E9E49"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Os1.a Protejarea eficientă a valorilor naturale, peisagistice și culturale; </w:t>
            </w:r>
          </w:p>
          <w:p w14:paraId="211B29C4"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Os4.a Gestionarea durabilă a resurselor zonei de coastă; Os4.b Dezvoltarea “verde” a zonei costiere; </w:t>
            </w:r>
          </w:p>
          <w:p w14:paraId="2A1E167A"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Os6.b Creșterea gradului de conștientizare cu privire la necesitatea de a păstra și îmbunătăți resursele zonei de coastă;</w:t>
            </w:r>
          </w:p>
          <w:p w14:paraId="5F510ABA"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Os6.c Implicarea cetățenilor în monitorizarea stării de sănătate a mediului costier (Citizen-science).</w:t>
            </w:r>
          </w:p>
        </w:tc>
      </w:tr>
      <w:tr w:rsidR="00344FCE" w:rsidRPr="00344FCE" w14:paraId="793E19D6" w14:textId="77777777" w:rsidTr="00583732">
        <w:tc>
          <w:tcPr>
            <w:tcW w:w="2122" w:type="dxa"/>
            <w:vMerge/>
            <w:shd w:val="clear" w:color="auto" w:fill="auto"/>
            <w:vAlign w:val="center"/>
          </w:tcPr>
          <w:p w14:paraId="2A31C556"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526C4A69" w14:textId="06976D7F"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B.</w:t>
            </w:r>
            <w:r w:rsidR="00787B1D">
              <w:rPr>
                <w:rFonts w:eastAsia="Times New Roman" w:cs="Times New Roman"/>
                <w:kern w:val="0"/>
                <w:lang w:val="ro-RO"/>
              </w:rPr>
              <w:t>8</w:t>
            </w:r>
            <w:r w:rsidRPr="00344FCE">
              <w:rPr>
                <w:rFonts w:eastAsia="Times New Roman" w:cs="Times New Roman"/>
                <w:kern w:val="0"/>
                <w:lang w:val="ro-RO"/>
              </w:rPr>
              <w:t xml:space="preserve"> Inițierea și implementarea de programe pentru îmbunătățirea infrastructurii de gestionare a deșeurilor</w:t>
            </w:r>
          </w:p>
        </w:tc>
        <w:tc>
          <w:tcPr>
            <w:tcW w:w="6520" w:type="dxa"/>
            <w:shd w:val="clear" w:color="auto" w:fill="auto"/>
          </w:tcPr>
          <w:p w14:paraId="1F6F73A4"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realizarea programelor de creștere a gradului de colectare a deșeurilor în partea nordică a zonei costiere;</w:t>
            </w:r>
          </w:p>
          <w:p w14:paraId="11B417B9"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identificarea și aplicarea de soluții ecologice pentru reducerea cantității de deșeuri biodegradabile rezultate în mediul rural sau în zonele de case din mediul urban;</w:t>
            </w:r>
          </w:p>
          <w:p w14:paraId="44FED013"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realizare programelor pentru extinderea infrastructurii de tratare a deșeurilor folosind soluții ecologice;</w:t>
            </w:r>
          </w:p>
          <w:p w14:paraId="7E8147C2"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programe pentru dezvoltarea infrastructurii de tratare a deșeurilor provenite din construcții, care să asigure reutilizarea și reciclarea prin transformarea acestora în materiale sau materii secundare gata de utilizare.</w:t>
            </w:r>
          </w:p>
        </w:tc>
        <w:tc>
          <w:tcPr>
            <w:tcW w:w="3261" w:type="dxa"/>
            <w:shd w:val="clear" w:color="auto" w:fill="auto"/>
          </w:tcPr>
          <w:p w14:paraId="40AADC08" w14:textId="77777777" w:rsidR="00344FCE" w:rsidRPr="00344FCE" w:rsidRDefault="00344FCE" w:rsidP="00344FCE">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t>Os2.b Gestionarea, revitalizare și reabilitarea zonelor urbane şi rurale poluate;</w:t>
            </w:r>
          </w:p>
          <w:p w14:paraId="75C7F0CD" w14:textId="77777777" w:rsidR="00344FCE" w:rsidRPr="00344FCE" w:rsidRDefault="00344FCE" w:rsidP="00344FCE">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t xml:space="preserve"> Os2.a Atingerea stării ecologice bune a ecosistemelor;</w:t>
            </w:r>
          </w:p>
          <w:p w14:paraId="126DD6C5" w14:textId="77777777" w:rsidR="00344FCE" w:rsidRPr="00344FCE" w:rsidRDefault="00344FCE" w:rsidP="00344FCE">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t>Os1.a Protejarea eficientă a valorilor naturale, peisagistice și culturale.</w:t>
            </w:r>
          </w:p>
          <w:p w14:paraId="1AD5056E" w14:textId="77777777" w:rsidR="00344FCE" w:rsidRPr="00344FCE" w:rsidRDefault="00344FCE" w:rsidP="00344FCE">
            <w:pPr>
              <w:spacing w:before="0" w:after="0" w:line="240" w:lineRule="auto"/>
              <w:ind w:firstLine="0"/>
              <w:jc w:val="left"/>
              <w:rPr>
                <w:rFonts w:eastAsia="Times New Roman" w:cs="Times New Roman"/>
                <w:kern w:val="0"/>
                <w:lang w:val="ro-RO"/>
              </w:rPr>
            </w:pPr>
          </w:p>
        </w:tc>
      </w:tr>
      <w:tr w:rsidR="00344FCE" w:rsidRPr="00344FCE" w14:paraId="3E4C69B0" w14:textId="77777777" w:rsidTr="00583732">
        <w:tc>
          <w:tcPr>
            <w:tcW w:w="2122" w:type="dxa"/>
            <w:vMerge w:val="restart"/>
            <w:shd w:val="clear" w:color="auto" w:fill="auto"/>
          </w:tcPr>
          <w:p w14:paraId="5E720E84"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58A3CDD2"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1F1BD266"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0963561F"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42EB862E"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60875EE9" w14:textId="77777777" w:rsidR="00344FCE" w:rsidRPr="00344FCE" w:rsidRDefault="00344FCE" w:rsidP="00344FCE">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Prevenirea, controlul și remedierea impacturilor generate de hazardele naturale și antropice</w:t>
            </w:r>
          </w:p>
        </w:tc>
        <w:tc>
          <w:tcPr>
            <w:tcW w:w="2693" w:type="dxa"/>
            <w:shd w:val="clear" w:color="auto" w:fill="auto"/>
          </w:tcPr>
          <w:p w14:paraId="4451066F" w14:textId="77777777" w:rsidR="00344FCE" w:rsidRPr="00344FCE" w:rsidRDefault="00344FCE" w:rsidP="00344FCE">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lastRenderedPageBreak/>
              <w:t>C.1 Realizarea și aplicarea de soluții moderne, simple și cost-</w:t>
            </w:r>
            <w:r w:rsidRPr="00344FCE">
              <w:rPr>
                <w:rFonts w:eastAsia="Times New Roman" w:cs="Times New Roman"/>
                <w:kern w:val="0"/>
                <w:lang w:val="ro-RO"/>
              </w:rPr>
              <w:lastRenderedPageBreak/>
              <w:t>eficiente pentru monitorizarea efectelor hazardelor naturale</w:t>
            </w:r>
          </w:p>
        </w:tc>
        <w:tc>
          <w:tcPr>
            <w:tcW w:w="6520" w:type="dxa"/>
            <w:shd w:val="clear" w:color="auto" w:fill="auto"/>
          </w:tcPr>
          <w:p w14:paraId="7370987A"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 xml:space="preserve">- dezvoltarea și implementarea unui serviciu național operațional, automat și gratuit de monitorizare a liniei țărmului pe baza </w:t>
            </w:r>
            <w:r w:rsidRPr="00344FCE">
              <w:rPr>
                <w:rFonts w:eastAsia="Times New Roman" w:cs="Times New Roman"/>
                <w:kern w:val="0"/>
                <w:lang w:val="ro-RO"/>
              </w:rPr>
              <w:lastRenderedPageBreak/>
              <w:t>imaginilor satelitare cu acces liber și gratuite (precum Sentinel-2 sau Landsat 8/9);</w:t>
            </w:r>
          </w:p>
          <w:p w14:paraId="41967D73"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dezvoltarea și implementarea unor instrumente de monitorizare și a unor mecanisme de management al sedimentelor în Delta Dunării și pe țărmul românesc al Mării Negre.</w:t>
            </w:r>
          </w:p>
        </w:tc>
        <w:tc>
          <w:tcPr>
            <w:tcW w:w="3261" w:type="dxa"/>
            <w:shd w:val="clear" w:color="auto" w:fill="auto"/>
          </w:tcPr>
          <w:p w14:paraId="45578BCE"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 xml:space="preserve">Os2.d Întărirea sistemului de management al riscurilor pentru hazarde naturale și </w:t>
            </w:r>
            <w:r w:rsidRPr="00344FCE">
              <w:rPr>
                <w:rFonts w:eastAsia="Times New Roman" w:cs="Times New Roman"/>
                <w:kern w:val="0"/>
                <w:lang w:val="ro-RO"/>
              </w:rPr>
              <w:lastRenderedPageBreak/>
              <w:t>antropice, luând în calcul și impactul schimbărilor climatice;</w:t>
            </w:r>
          </w:p>
          <w:p w14:paraId="4A9B2E4F"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Os3.b. Stabilirea unui sistem performant de supraveghere a eficienței implementării planificării spațiale prin realizarea Geamănului Digital (Digital Twin) a litoralului românesc</w:t>
            </w:r>
          </w:p>
        </w:tc>
      </w:tr>
      <w:tr w:rsidR="00344FCE" w:rsidRPr="00344FCE" w14:paraId="40042BE7" w14:textId="77777777" w:rsidTr="00583732">
        <w:tc>
          <w:tcPr>
            <w:tcW w:w="2122" w:type="dxa"/>
            <w:vMerge/>
            <w:shd w:val="clear" w:color="auto" w:fill="auto"/>
          </w:tcPr>
          <w:p w14:paraId="147F4860"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720850A1"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C2. Realizarea unei evaluări detaliate a vulnerabilității zonei de coastă la fenomene extreme, identificarea și analizarea riscurilor potențiale și stabilirea de măsuri prioritare de prevenire, atenuare, adaptare și remediere</w:t>
            </w:r>
          </w:p>
        </w:tc>
        <w:tc>
          <w:tcPr>
            <w:tcW w:w="6520" w:type="dxa"/>
            <w:shd w:val="clear" w:color="auto" w:fill="auto"/>
          </w:tcPr>
          <w:p w14:paraId="440A34D0"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prevenirea și controlul impactului vânturilor și furtunilor severe</w:t>
            </w:r>
          </w:p>
          <w:p w14:paraId="5698E102"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prevenirea și controlul impactului secetei și incendiilor;</w:t>
            </w:r>
          </w:p>
          <w:p w14:paraId="41FCF493"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prevenirea și controlul impactului precipitațiilor extreme.</w:t>
            </w:r>
          </w:p>
        </w:tc>
        <w:tc>
          <w:tcPr>
            <w:tcW w:w="3261" w:type="dxa"/>
            <w:shd w:val="clear" w:color="auto" w:fill="auto"/>
          </w:tcPr>
          <w:p w14:paraId="203F85FE"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Os2.d Întărirea sistemului de management al riscurilor pentru hazarde naturale și antropice, luând în calcul și impactul schimbărilor climatice.</w:t>
            </w:r>
          </w:p>
        </w:tc>
      </w:tr>
      <w:tr w:rsidR="00344FCE" w:rsidRPr="00344FCE" w14:paraId="59D899C6" w14:textId="77777777" w:rsidTr="00583732">
        <w:tc>
          <w:tcPr>
            <w:tcW w:w="2122" w:type="dxa"/>
            <w:vMerge w:val="restart"/>
            <w:shd w:val="clear" w:color="auto" w:fill="auto"/>
          </w:tcPr>
          <w:p w14:paraId="7B151375"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729867D6"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5BD47227"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2726E7B9" w14:textId="77777777" w:rsidR="00344FCE" w:rsidRPr="00344FCE" w:rsidRDefault="00344FCE" w:rsidP="00344FCE">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Dezvoltarea economică sustenabilă a zonei costiere</w:t>
            </w:r>
          </w:p>
          <w:p w14:paraId="1A94750F"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4C5B738D"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6B6CBD6A"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45AB7981"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5E611637"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4D9E1957"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453F04E2"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1DAB299F"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4A68723B"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23F3277D"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423EA906"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78E71102"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53848504"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1DEFDE12"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1627166F"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74945525" w14:textId="77777777" w:rsidR="00344FCE" w:rsidRPr="00344FCE" w:rsidRDefault="00344FCE" w:rsidP="00344FCE">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Dezvoltarea economică sustenabilă a zonei costiere</w:t>
            </w:r>
          </w:p>
          <w:p w14:paraId="79936ED0"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280F23DD"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67DFAA54"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0A963894"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400533FF"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22A89A40"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39325035"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5A3BDB9E"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4565187C"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52692FF4"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2861747D"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3DBEB8E0"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58C73E91"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6EB82EAB"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2AE348D7"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6C6E172D"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567C0698"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6F15C8C3"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31C3CEFC" w14:textId="77777777" w:rsidR="00344FCE" w:rsidRPr="00344FCE" w:rsidRDefault="00344FCE" w:rsidP="00344FCE">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Dezvoltarea economică sustenabilă a zonei costiere</w:t>
            </w:r>
          </w:p>
          <w:p w14:paraId="3FE873FC"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53B66D9A"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18978BBB"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08D85629"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6E6E1279"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0FC792E9"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765BBE4C"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38A058A7"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7A75DFFF"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171F37F8"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23B2E22A"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209B1A29"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79475382" w14:textId="77777777" w:rsidR="00344FCE" w:rsidRPr="00344FCE" w:rsidRDefault="00344FCE" w:rsidP="00344FCE">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Dezvoltarea economică sustenabilă a zonei costie</w:t>
            </w:r>
          </w:p>
          <w:p w14:paraId="405BA068"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16258B21"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39572032"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5E7AE246"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2B47758B"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6F750E5D"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78B500D0"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52ED35A8"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71303EE0"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62E91733"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232BFB3C"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6952025D"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0A319443"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2B118617"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5A51D93A"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11075ABE"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6230E83D" w14:textId="77777777" w:rsidR="00344FCE" w:rsidRPr="00344FCE" w:rsidRDefault="00344FCE" w:rsidP="00344FCE">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Dezvoltarea economică sustenabilă a zonei costiere</w:t>
            </w:r>
          </w:p>
          <w:p w14:paraId="094A555D"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03B9852A"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7F364E75"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616CD32A"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26EDEB6B"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106D36B3"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48D827CD"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277BB4D9"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4FD5A659"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525B830A"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1BBF0741"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0A85FC51"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512D6FA3"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5720B39A"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1C9710A9"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6A66E494"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085C0305" w14:textId="77777777" w:rsidR="00344FCE" w:rsidRPr="00344FCE" w:rsidRDefault="00344FCE" w:rsidP="00344FCE">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Dezvoltarea economică sustenabilă a zonei costiere</w:t>
            </w:r>
          </w:p>
          <w:p w14:paraId="4CEC96F4"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2B67FB10"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4F176848"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50087955" w14:textId="77777777" w:rsidR="00344FCE" w:rsidRPr="00344FCE" w:rsidRDefault="00344FCE" w:rsidP="00344FCE">
            <w:pPr>
              <w:spacing w:before="0" w:after="160" w:line="252" w:lineRule="auto"/>
              <w:ind w:firstLine="0"/>
              <w:jc w:val="left"/>
              <w:rPr>
                <w:rFonts w:eastAsia="Times New Roman" w:cs="Times New Roman"/>
                <w:kern w:val="0"/>
                <w:lang w:val="ro-RO"/>
              </w:rPr>
            </w:pPr>
          </w:p>
        </w:tc>
        <w:tc>
          <w:tcPr>
            <w:tcW w:w="2693" w:type="dxa"/>
            <w:shd w:val="clear" w:color="auto" w:fill="auto"/>
          </w:tcPr>
          <w:p w14:paraId="70239049"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D.1 Consolidarea infrastructurii antreprenoriale locale</w:t>
            </w:r>
          </w:p>
        </w:tc>
        <w:tc>
          <w:tcPr>
            <w:tcW w:w="6520" w:type="dxa"/>
            <w:shd w:val="clear" w:color="auto" w:fill="auto"/>
          </w:tcPr>
          <w:p w14:paraId="1F633BA1"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specializarea trainerilor</w:t>
            </w:r>
          </w:p>
          <w:p w14:paraId="3CF353C0"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implementarea programelor de asistență/suport pentru antreprenori și ceilalți actori implicați în dezvoltarea verde a zonei costiere prin:</w:t>
            </w:r>
          </w:p>
          <w:p w14:paraId="5DE0B26F"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i) furnizarea informațiilor necesare asupra condițiilor și posibilităților pentru dezvoltarea ideilor/planurilor de business, oportunitățile existente și potențiale de asistență financiară, precum și condițiile pentru obținerea asistenței în timpul pregătirii și implementării proiectelor;</w:t>
            </w:r>
          </w:p>
          <w:p w14:paraId="102A2352"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ii) îmbunătățirea cunoștințelor și abilităților de concepere, pregătire și management a proiectelor de către entitățile aplicante prin realizarea unor ghiduri, organizarea de cursuri de pregătire, </w:t>
            </w:r>
            <w:r w:rsidRPr="00344FCE">
              <w:rPr>
                <w:rFonts w:eastAsia="Times New Roman" w:cs="Times New Roman"/>
                <w:kern w:val="0"/>
                <w:lang w:val="ro-RO"/>
              </w:rPr>
              <w:lastRenderedPageBreak/>
              <w:t>workshop-uri sau alte programe de pregătire pentru folosirea abordărilor inovative, noilor cunoștințe și abilități;</w:t>
            </w:r>
          </w:p>
          <w:p w14:paraId="3B99AFD8"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iii) pregătirea și implementarea programelor de schimb de cunoștințe și experiență la nivel regional, precum și european/internațional;</w:t>
            </w:r>
          </w:p>
          <w:p w14:paraId="11FBCE02"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iv) furnizarea de asistență tehnică directă în implementarea proiectelor.</w:t>
            </w:r>
          </w:p>
          <w:p w14:paraId="041AE2B8"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-programe pentru pregătirea și monitorizarea (programe europene suport) implementării proiectelor</w:t>
            </w:r>
          </w:p>
        </w:tc>
        <w:tc>
          <w:tcPr>
            <w:tcW w:w="3261" w:type="dxa"/>
            <w:shd w:val="clear" w:color="auto" w:fill="auto"/>
          </w:tcPr>
          <w:p w14:paraId="167864F8" w14:textId="77777777" w:rsidR="00344FCE" w:rsidRPr="00344FCE" w:rsidRDefault="00344FCE" w:rsidP="00344FCE">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Os4.b Dezvoltarea “verde” a zonei costiere;</w:t>
            </w:r>
          </w:p>
          <w:p w14:paraId="23C63372" w14:textId="77777777" w:rsidR="00344FCE" w:rsidRPr="00344FCE" w:rsidRDefault="00344FCE" w:rsidP="00344FCE">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t xml:space="preserve"> Os2.c Stimularea dezvoltării infrastructurii verzi;</w:t>
            </w:r>
          </w:p>
          <w:p w14:paraId="05B05C7B" w14:textId="77777777" w:rsidR="00344FCE" w:rsidRPr="00344FCE" w:rsidRDefault="00344FCE" w:rsidP="00344FCE">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t>Os6.b Creșterea gradului de conștientizare cu privire la necesitatea de a păstra și îmbunătăți resursele zonei de coastă.</w:t>
            </w:r>
          </w:p>
        </w:tc>
      </w:tr>
      <w:tr w:rsidR="00344FCE" w:rsidRPr="00344FCE" w14:paraId="72579230" w14:textId="77777777" w:rsidTr="00583732">
        <w:tc>
          <w:tcPr>
            <w:tcW w:w="2122" w:type="dxa"/>
            <w:vMerge/>
            <w:shd w:val="clear" w:color="auto" w:fill="auto"/>
          </w:tcPr>
          <w:p w14:paraId="65901885"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64098D1E"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D.2 Program național de stimulare a întreprinderilor care obțin eticheta ecologică pentru activitatea de cazare turistică</w:t>
            </w:r>
          </w:p>
        </w:tc>
        <w:tc>
          <w:tcPr>
            <w:tcW w:w="6520" w:type="dxa"/>
            <w:shd w:val="clear" w:color="auto" w:fill="auto"/>
          </w:tcPr>
          <w:p w14:paraId="5D7799D4"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realizarea de campanii de promovare și informare a deținătorilor și managerilor structurilor de primire turistică asupra criteriilor pentru încadrarea în program și ale avantajelor obținerii “Eticheta ecologică în turism“;</w:t>
            </w:r>
          </w:p>
          <w:p w14:paraId="5055435D"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inițierea și aprobarea, prin Hotărâre de Guvern, a unui Program de stimulare a întreprinderilor din turism care au obținut, urmare investițiilor realizate, “Eticheta ecologică în turism“.</w:t>
            </w:r>
          </w:p>
        </w:tc>
        <w:tc>
          <w:tcPr>
            <w:tcW w:w="3261" w:type="dxa"/>
            <w:shd w:val="clear" w:color="auto" w:fill="auto"/>
          </w:tcPr>
          <w:p w14:paraId="72062F75" w14:textId="77777777" w:rsidR="00344FCE" w:rsidRPr="00344FCE" w:rsidRDefault="00344FCE" w:rsidP="00344FCE">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Os4.b Dezvoltarea “verde” a zonei costiere</w:t>
            </w:r>
          </w:p>
        </w:tc>
      </w:tr>
      <w:tr w:rsidR="00344FCE" w:rsidRPr="00344FCE" w14:paraId="347308F5" w14:textId="77777777" w:rsidTr="00583732">
        <w:tc>
          <w:tcPr>
            <w:tcW w:w="2122" w:type="dxa"/>
            <w:vMerge/>
            <w:shd w:val="clear" w:color="auto" w:fill="auto"/>
          </w:tcPr>
          <w:p w14:paraId="249030DA"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4AAEE6F3"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D.3 Program de stimulare a operatorilor de plaje și de porturi de agrement care reușesc să obțină distincția Blue Flag</w:t>
            </w:r>
          </w:p>
        </w:tc>
        <w:tc>
          <w:tcPr>
            <w:tcW w:w="6520" w:type="dxa"/>
            <w:shd w:val="clear" w:color="auto" w:fill="auto"/>
          </w:tcPr>
          <w:p w14:paraId="32DEC441"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realizarea de campanii de promovare și informare a antreprenorilor cu privire la criteriile pentru încadrarea în program și la avantajele programului;</w:t>
            </w:r>
          </w:p>
          <w:p w14:paraId="271BD27F"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realizarea de campanii de promovare a plajelor și porturilor de agrement care au obținut distincția Blue Flag;</w:t>
            </w:r>
          </w:p>
          <w:p w14:paraId="716726A7"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inițierea și aprobarea, prin Hotărâre de Guvern, a unui Program de stimulare a operatorilor din turism care au obținut, urmare investițiilor realizate, distincția Blue Flag.</w:t>
            </w:r>
          </w:p>
        </w:tc>
        <w:tc>
          <w:tcPr>
            <w:tcW w:w="3261" w:type="dxa"/>
            <w:shd w:val="clear" w:color="auto" w:fill="auto"/>
          </w:tcPr>
          <w:p w14:paraId="1D42D0AD" w14:textId="77777777" w:rsidR="00344FCE" w:rsidRPr="00344FCE" w:rsidRDefault="00344FCE" w:rsidP="00344FCE">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t>Os4.b Dezvoltarea “verde” a zonei costiere;</w:t>
            </w:r>
          </w:p>
          <w:p w14:paraId="274C4801" w14:textId="77777777" w:rsidR="00344FCE" w:rsidRPr="00344FCE" w:rsidRDefault="00344FCE" w:rsidP="00344FCE">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t>Os2.a Atingerea stării ecologice bune a ecosistemelor.</w:t>
            </w:r>
          </w:p>
        </w:tc>
      </w:tr>
      <w:tr w:rsidR="00344FCE" w:rsidRPr="00344FCE" w14:paraId="07BBC627" w14:textId="77777777" w:rsidTr="00583732">
        <w:tc>
          <w:tcPr>
            <w:tcW w:w="2122" w:type="dxa"/>
            <w:vMerge/>
            <w:shd w:val="clear" w:color="auto" w:fill="auto"/>
          </w:tcPr>
          <w:p w14:paraId="3C2B7A7E"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6B07054B" w14:textId="77777777" w:rsidR="00344FCE" w:rsidRPr="00344FCE" w:rsidRDefault="00344FCE" w:rsidP="00344FCE">
            <w:pPr>
              <w:spacing w:before="0" w:after="0" w:line="240" w:lineRule="auto"/>
              <w:ind w:firstLine="0"/>
              <w:rPr>
                <w:rFonts w:eastAsia="Times New Roman" w:cs="Times New Roman"/>
                <w:kern w:val="0"/>
                <w:lang w:val="ro-RO"/>
              </w:rPr>
            </w:pPr>
            <w:r w:rsidRPr="00344FCE">
              <w:rPr>
                <w:rFonts w:eastAsia="Times New Roman" w:cs="Times New Roman"/>
                <w:kern w:val="0"/>
                <w:lang w:val="ro-RO"/>
              </w:rPr>
              <w:t xml:space="preserve">D.4 Inițierea și implementarea unui program de dezvoltare a turismului subacvatic </w:t>
            </w:r>
          </w:p>
        </w:tc>
        <w:tc>
          <w:tcPr>
            <w:tcW w:w="6520" w:type="dxa"/>
            <w:shd w:val="clear" w:color="auto" w:fill="auto"/>
          </w:tcPr>
          <w:p w14:paraId="07630011" w14:textId="77777777" w:rsidR="00344FCE" w:rsidRPr="00344FCE" w:rsidRDefault="00344FCE" w:rsidP="00920C1F">
            <w:pPr>
              <w:numPr>
                <w:ilvl w:val="0"/>
                <w:numId w:val="12"/>
              </w:numPr>
              <w:spacing w:before="0" w:after="0" w:line="240" w:lineRule="auto"/>
              <w:ind w:left="180" w:hanging="180"/>
              <w:jc w:val="left"/>
              <w:rPr>
                <w:rFonts w:eastAsia="Times New Roman" w:cs="Times New Roman"/>
                <w:kern w:val="0"/>
                <w:lang w:val="ro-RO"/>
              </w:rPr>
            </w:pPr>
            <w:r w:rsidRPr="00344FCE">
              <w:rPr>
                <w:rFonts w:eastAsia="Times New Roman" w:cs="Times New Roman"/>
                <w:kern w:val="0"/>
                <w:lang w:val="ro-RO"/>
              </w:rPr>
              <w:t>revizuirea legislației privind reglementarea activităților de scufundare în scop recreativ și științific;</w:t>
            </w:r>
          </w:p>
          <w:p w14:paraId="7C063C5A" w14:textId="77777777" w:rsidR="00344FCE" w:rsidRPr="00344FCE" w:rsidRDefault="00344FCE" w:rsidP="00920C1F">
            <w:pPr>
              <w:numPr>
                <w:ilvl w:val="0"/>
                <w:numId w:val="12"/>
              </w:numPr>
              <w:spacing w:before="0" w:after="0" w:line="240" w:lineRule="auto"/>
              <w:ind w:left="180" w:hanging="180"/>
              <w:jc w:val="left"/>
              <w:rPr>
                <w:rFonts w:eastAsia="Times New Roman" w:cs="Times New Roman"/>
                <w:kern w:val="0"/>
                <w:lang w:val="ro-RO"/>
              </w:rPr>
            </w:pPr>
            <w:r w:rsidRPr="00344FCE">
              <w:rPr>
                <w:rFonts w:eastAsia="Times New Roman" w:cs="Times New Roman"/>
                <w:kern w:val="0"/>
                <w:lang w:val="ro-RO"/>
              </w:rPr>
              <w:t>realizarea de campanii de conștientizare a importanței protejării și conservării patrimoniului cultural subacvatic;</w:t>
            </w:r>
          </w:p>
          <w:p w14:paraId="16464108" w14:textId="77777777" w:rsidR="00344FCE" w:rsidRPr="00344FCE" w:rsidRDefault="00344FCE" w:rsidP="00920C1F">
            <w:pPr>
              <w:numPr>
                <w:ilvl w:val="0"/>
                <w:numId w:val="12"/>
              </w:numPr>
              <w:spacing w:before="0" w:after="0" w:line="240" w:lineRule="auto"/>
              <w:ind w:left="180" w:hanging="180"/>
              <w:jc w:val="left"/>
              <w:rPr>
                <w:rFonts w:eastAsia="Times New Roman" w:cs="Times New Roman"/>
                <w:kern w:val="0"/>
                <w:lang w:val="ro-RO"/>
              </w:rPr>
            </w:pPr>
            <w:r w:rsidRPr="00344FCE">
              <w:rPr>
                <w:rFonts w:eastAsia="Times New Roman" w:cs="Times New Roman"/>
                <w:kern w:val="0"/>
                <w:lang w:val="ro-RO"/>
              </w:rPr>
              <w:t>realizarea de campanii pentru promovarea turismului subacvatic la litoralul românesc;</w:t>
            </w:r>
          </w:p>
          <w:p w14:paraId="20399EF5" w14:textId="77777777" w:rsidR="00344FCE" w:rsidRPr="00344FCE" w:rsidRDefault="00344FCE" w:rsidP="00920C1F">
            <w:pPr>
              <w:numPr>
                <w:ilvl w:val="0"/>
                <w:numId w:val="12"/>
              </w:numPr>
              <w:spacing w:before="0" w:after="0" w:line="240" w:lineRule="auto"/>
              <w:ind w:left="180" w:hanging="180"/>
              <w:jc w:val="left"/>
              <w:rPr>
                <w:rFonts w:eastAsia="Times New Roman" w:cs="Times New Roman"/>
                <w:kern w:val="0"/>
                <w:lang w:val="ro-RO"/>
              </w:rPr>
            </w:pPr>
            <w:r w:rsidRPr="00344FCE">
              <w:rPr>
                <w:rFonts w:eastAsia="Times New Roman" w:cs="Times New Roman"/>
                <w:kern w:val="0"/>
                <w:lang w:val="ro-RO"/>
              </w:rPr>
              <w:t>programe de pregătire / specializare pentru ghizii turistici (scuba - diving, arheologie subacvatică, istorie, etc);</w:t>
            </w:r>
          </w:p>
          <w:p w14:paraId="5D93E8AE" w14:textId="77777777" w:rsidR="00344FCE" w:rsidRPr="00344FCE" w:rsidRDefault="00344FCE" w:rsidP="00920C1F">
            <w:pPr>
              <w:numPr>
                <w:ilvl w:val="0"/>
                <w:numId w:val="12"/>
              </w:numPr>
              <w:spacing w:before="0" w:after="0" w:line="240" w:lineRule="auto"/>
              <w:ind w:left="180" w:hanging="180"/>
              <w:jc w:val="left"/>
              <w:rPr>
                <w:rFonts w:eastAsia="Times New Roman" w:cs="Times New Roman"/>
                <w:kern w:val="0"/>
                <w:lang w:val="ro-RO"/>
              </w:rPr>
            </w:pPr>
            <w:r w:rsidRPr="00344FCE">
              <w:rPr>
                <w:rFonts w:eastAsia="Times New Roman" w:cs="Times New Roman"/>
                <w:kern w:val="0"/>
                <w:lang w:val="ro-RO"/>
              </w:rPr>
              <w:lastRenderedPageBreak/>
              <w:t>stimularea operatorilor turistici pentru practicarea turismului subacvatic;</w:t>
            </w:r>
          </w:p>
          <w:p w14:paraId="0E524696" w14:textId="77777777" w:rsidR="00344FCE" w:rsidRPr="00344FCE" w:rsidRDefault="00344FCE" w:rsidP="00920C1F">
            <w:pPr>
              <w:numPr>
                <w:ilvl w:val="0"/>
                <w:numId w:val="12"/>
              </w:numPr>
              <w:spacing w:before="0" w:after="0" w:line="240" w:lineRule="auto"/>
              <w:ind w:left="180" w:hanging="180"/>
              <w:jc w:val="left"/>
              <w:rPr>
                <w:rFonts w:eastAsia="Times New Roman" w:cs="Times New Roman"/>
                <w:kern w:val="0"/>
                <w:lang w:val="ro-RO"/>
              </w:rPr>
            </w:pPr>
            <w:r w:rsidRPr="00344FCE">
              <w:rPr>
                <w:rFonts w:eastAsia="Times New Roman" w:cs="Times New Roman"/>
                <w:kern w:val="0"/>
                <w:lang w:val="ro-RO"/>
              </w:rPr>
              <w:t xml:space="preserve">inițierea și implementarea de proiecte pentru identificarea rutelor turistice subacvatice și interconectarea lor la siturile culturale terestre; </w:t>
            </w:r>
          </w:p>
          <w:p w14:paraId="056AA723" w14:textId="77777777" w:rsidR="00344FCE" w:rsidRPr="00344FCE" w:rsidRDefault="00344FCE" w:rsidP="00920C1F">
            <w:pPr>
              <w:numPr>
                <w:ilvl w:val="0"/>
                <w:numId w:val="12"/>
              </w:numPr>
              <w:spacing w:before="0" w:after="0" w:line="240" w:lineRule="auto"/>
              <w:ind w:left="180" w:hanging="180"/>
              <w:jc w:val="left"/>
              <w:rPr>
                <w:rFonts w:eastAsia="Times New Roman" w:cs="Times New Roman"/>
                <w:kern w:val="0"/>
                <w:lang w:val="ro-RO"/>
              </w:rPr>
            </w:pPr>
            <w:r w:rsidRPr="00344FCE">
              <w:rPr>
                <w:rFonts w:eastAsia="Times New Roman" w:cs="Times New Roman"/>
                <w:kern w:val="0"/>
                <w:lang w:val="ro-RO"/>
              </w:rPr>
              <w:t>inițierea și implementarea de proiecte de restaurare a siturilor și obiectelor subacvatice</w:t>
            </w:r>
          </w:p>
        </w:tc>
        <w:tc>
          <w:tcPr>
            <w:tcW w:w="3261" w:type="dxa"/>
            <w:shd w:val="clear" w:color="auto" w:fill="auto"/>
          </w:tcPr>
          <w:p w14:paraId="679A977E" w14:textId="77777777" w:rsidR="00344FCE" w:rsidRPr="00344FCE" w:rsidRDefault="00344FCE" w:rsidP="00344FCE">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Os4.b Dezvoltarea “verde” a zonei costiere;</w:t>
            </w:r>
          </w:p>
          <w:p w14:paraId="30B2BC4D" w14:textId="77777777" w:rsidR="00344FCE" w:rsidRPr="00344FCE" w:rsidRDefault="00344FCE" w:rsidP="00344FCE">
            <w:pPr>
              <w:spacing w:before="0" w:after="160" w:line="240" w:lineRule="auto"/>
              <w:ind w:firstLine="0"/>
              <w:jc w:val="left"/>
              <w:rPr>
                <w:rFonts w:eastAsia="Times New Roman" w:cs="Times New Roman"/>
                <w:kern w:val="0"/>
                <w:lang w:val="ro-RO"/>
              </w:rPr>
            </w:pPr>
            <w:r w:rsidRPr="00344FCE">
              <w:rPr>
                <w:rFonts w:eastAsia="Times New Roman" w:cs="Times New Roman"/>
                <w:kern w:val="0"/>
                <w:lang w:val="ro-RO"/>
              </w:rPr>
              <w:t>Os1.a Protejarea eficientă a valorilor naturale, peisagistice și culturale</w:t>
            </w:r>
          </w:p>
          <w:p w14:paraId="53EEB5A8" w14:textId="77777777" w:rsidR="00344FCE" w:rsidRPr="00344FCE" w:rsidRDefault="00344FCE" w:rsidP="00344FCE">
            <w:pPr>
              <w:spacing w:before="0" w:line="240" w:lineRule="auto"/>
              <w:ind w:firstLine="0"/>
              <w:rPr>
                <w:rFonts w:eastAsia="Times New Roman" w:cs="Times New Roman"/>
                <w:kern w:val="0"/>
                <w:lang w:val="ro-RO"/>
              </w:rPr>
            </w:pPr>
            <w:r w:rsidRPr="00344FCE">
              <w:rPr>
                <w:rFonts w:eastAsia="Times New Roman" w:cs="Times New Roman"/>
                <w:kern w:val="0"/>
                <w:lang w:val="ro-RO"/>
              </w:rPr>
              <w:t xml:space="preserve">Os6.b Creșterea gradului de conștientizare cu privire la </w:t>
            </w:r>
            <w:r w:rsidRPr="00344FCE">
              <w:rPr>
                <w:rFonts w:eastAsia="Times New Roman" w:cs="Times New Roman"/>
                <w:kern w:val="0"/>
                <w:lang w:val="ro-RO"/>
              </w:rPr>
              <w:lastRenderedPageBreak/>
              <w:t>necesitatea de a păstra și îmbunătăți resursele zonei de coastă</w:t>
            </w:r>
          </w:p>
        </w:tc>
      </w:tr>
      <w:tr w:rsidR="00344FCE" w:rsidRPr="00344FCE" w14:paraId="5D86E10B" w14:textId="77777777" w:rsidTr="00583732">
        <w:tc>
          <w:tcPr>
            <w:tcW w:w="2122" w:type="dxa"/>
            <w:vMerge/>
            <w:shd w:val="clear" w:color="auto" w:fill="auto"/>
          </w:tcPr>
          <w:p w14:paraId="49AD6AA8"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1CE19A7B"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D.5 Identificarea măsurilor pentru reabilitarea stocurilor de pești cu valoare comercială, încurajarea și susținerea implementării procedurilor/tehnicilor și tehnologiilor de pescuit sustenabil prin acordarea de stimulente</w:t>
            </w:r>
          </w:p>
        </w:tc>
        <w:tc>
          <w:tcPr>
            <w:tcW w:w="6520" w:type="dxa"/>
            <w:shd w:val="clear" w:color="auto" w:fill="auto"/>
          </w:tcPr>
          <w:p w14:paraId="15F0264B"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reabilitarea ecologică a zonelor de reproducere și creștere a stadiilor timpurii, pentru refacerea stocurilor și rutelor de migraţie a peştilor și pentru decolmatarea căilor de acces;</w:t>
            </w:r>
          </w:p>
          <w:p w14:paraId="38F9DB45"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îmbunătățirea/corelarea legislaţiei naţionale în acord cu legislația europeană, privind:</w:t>
            </w:r>
          </w:p>
          <w:p w14:paraId="645DBF9B"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i) folosirea uneltelor de pescuit, precum plasele monofilament, combaterea, cu măsuri reale, a braconajului, </w:t>
            </w:r>
          </w:p>
          <w:p w14:paraId="7B8C7978"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ii) consultarea reprezentanţilor din pescării în elaborarea de politici care influenţează domeniul pescaresc,</w:t>
            </w:r>
          </w:p>
          <w:p w14:paraId="571CDA77"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iii) protejarea intereselor pescarilor autohtoni și acordarea de compensaţii financiare în perioade nefavorabile, îmbunătăţirea condiţiilor de muncă ale pescarilor;</w:t>
            </w:r>
          </w:p>
          <w:p w14:paraId="08F5FA66"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crearea unui fond de garantare pentru sectorul operaţional de pescuit;</w:t>
            </w:r>
          </w:p>
          <w:p w14:paraId="5F93D57F"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reactivarea pescuitului costier la scară redusă prin alocarea de terenuri care să servească amenajării de adăposturi pescăreşti;</w:t>
            </w:r>
          </w:p>
          <w:p w14:paraId="45725D0D"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stimularea activităţii de cercetare în domeniul piscicol;</w:t>
            </w:r>
          </w:p>
          <w:p w14:paraId="4F68957C"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specializarea/îmbunătățirea cunoștințelor prin campanii de conștientizare și de instruire a pescarilor și piscicultorilor.</w:t>
            </w:r>
          </w:p>
        </w:tc>
        <w:tc>
          <w:tcPr>
            <w:tcW w:w="3261" w:type="dxa"/>
            <w:shd w:val="clear" w:color="auto" w:fill="auto"/>
          </w:tcPr>
          <w:p w14:paraId="7A3BA71C" w14:textId="77777777" w:rsidR="00344FCE" w:rsidRPr="00344FCE" w:rsidRDefault="00344FCE" w:rsidP="00344FCE">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t>Os4.a Gestionarea durabilă a resurselor zonei de coastă; Os2.a Atingerea stării ecologice bune a ecosistemelor.</w:t>
            </w:r>
          </w:p>
        </w:tc>
      </w:tr>
      <w:tr w:rsidR="00344FCE" w:rsidRPr="00344FCE" w14:paraId="08D1B5A2" w14:textId="77777777" w:rsidTr="00583732">
        <w:tc>
          <w:tcPr>
            <w:tcW w:w="2122" w:type="dxa"/>
            <w:vMerge/>
            <w:shd w:val="clear" w:color="auto" w:fill="auto"/>
          </w:tcPr>
          <w:p w14:paraId="1A745736"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7C4281E3"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D.6 Realizarea programelor de dezvoltarea a acvaculturii costiere (marine, terestre) prietenoase cu mediul</w:t>
            </w:r>
          </w:p>
        </w:tc>
        <w:tc>
          <w:tcPr>
            <w:tcW w:w="6520" w:type="dxa"/>
            <w:shd w:val="clear" w:color="auto" w:fill="auto"/>
          </w:tcPr>
          <w:p w14:paraId="1E7DE86A"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control pentru respectarea legislației în vigoare privind utilizarea apelor marine, identificarea și concesionarea zonelor și selectarea speciilor pretabile pentru acvacultura, respectarea distanței minime față de țărm și față de alte activități pentru evitarea situațiilor conflictuale;</w:t>
            </w:r>
          </w:p>
          <w:p w14:paraId="5F49E33A"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 dezvoltarea cercetărilor în domeniul acvaculturii și reabilitării ecologice, studierea interrelatiei pescuitului și  acvaculturii cu alte activități maritime;</w:t>
            </w:r>
          </w:p>
          <w:p w14:paraId="309F152B"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implementarea standardelor de calitate pentru peştele de consum livrat în stare vie, în special în cazul aplicării unor tehnologii ecologice;</w:t>
            </w:r>
          </w:p>
          <w:p w14:paraId="61FBD814"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respectarea condițiilor de dezvoltare a infrastructurii specifice, inclusiv crearea și dezvoltarea de puncte de debarcare numai pentru acvacultură;</w:t>
            </w:r>
          </w:p>
          <w:p w14:paraId="159D5FB8"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implementarea sistemului de trasabilitate pentru produsele pescuite și cultivate;</w:t>
            </w:r>
          </w:p>
          <w:p w14:paraId="516DD143"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implementarea unor programe eficiente de prevenţie şi tratament în cadrul unor reţele specializate pentru monitorizarea calităţii apei şi bolilor la peşti cu impact cantitativ şi calitativ asupra produsului final;</w:t>
            </w:r>
          </w:p>
          <w:p w14:paraId="7D01D2C0"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introducerea şi susţinerea unor acţiuni prin instrumente financiare bine delimitate referitoare la activităţi conexe procesului tehnologic în cadrul viitoarelor programe europene şi naţionale pentru activităţile de acvacultură;</w:t>
            </w:r>
          </w:p>
          <w:p w14:paraId="49FF00AB"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elaborarea și implementarea de măsuri fiscale care să asigurare producţia în cazul unor calamităţi naturale).</w:t>
            </w:r>
          </w:p>
        </w:tc>
        <w:tc>
          <w:tcPr>
            <w:tcW w:w="3261" w:type="dxa"/>
            <w:shd w:val="clear" w:color="auto" w:fill="auto"/>
          </w:tcPr>
          <w:p w14:paraId="56C96FC5"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Os4.a Gestionarea durabilă a resurselor zonei de coastă; Os4.b Dezvoltarea “verde a zonei costiere</w:t>
            </w:r>
          </w:p>
        </w:tc>
      </w:tr>
      <w:tr w:rsidR="00344FCE" w:rsidRPr="00344FCE" w14:paraId="40D3F3A1" w14:textId="77777777" w:rsidTr="00583732">
        <w:tc>
          <w:tcPr>
            <w:tcW w:w="2122" w:type="dxa"/>
            <w:vMerge/>
            <w:shd w:val="clear" w:color="auto" w:fill="auto"/>
          </w:tcPr>
          <w:p w14:paraId="7031ABE4"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3C9C31D4"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D.7 Dezvoltarea infrastructurii pescărești și utilizarea de mijloace de pescuit (ambarcațiuni, echipamente și unelte) prietenoase cu mediul pentru evitarea deteriorării substratului marin și diminuarea presiunii asupra mediului</w:t>
            </w:r>
          </w:p>
        </w:tc>
        <w:tc>
          <w:tcPr>
            <w:tcW w:w="6520" w:type="dxa"/>
            <w:shd w:val="clear" w:color="auto" w:fill="auto"/>
          </w:tcPr>
          <w:p w14:paraId="4F30705A"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elaborarea și implementarea programelor pentru modernizarea ambarcaţiunilor de pescuit, dotarea cu echipamente de navigaţie şi plase de pescuit specializate, diferenţiat pe specii de peşte;</w:t>
            </w:r>
          </w:p>
          <w:p w14:paraId="1052FA79"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elaborarea și implementarea programelor privind modernizarea uneltelor de pescuit, respectiv achiziţia de noi unelte, schimbarea motoarelor  ambarcaţiunilor;</w:t>
            </w:r>
          </w:p>
          <w:p w14:paraId="5A5FBC43"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îmbunătățirea bazei logistice prin retehnologizare şi modernizarea infrastructurii, achiziționarea de echipamente moderne și soft-uri specializate pentru standardizarea metodelor de pescuit și procesarea datelor de producție.</w:t>
            </w:r>
          </w:p>
        </w:tc>
        <w:tc>
          <w:tcPr>
            <w:tcW w:w="3261" w:type="dxa"/>
            <w:shd w:val="clear" w:color="auto" w:fill="auto"/>
          </w:tcPr>
          <w:p w14:paraId="25C63B0C"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 4.a Gestionarea durabilă a resurselor zonei de coastă</w:t>
            </w:r>
          </w:p>
        </w:tc>
      </w:tr>
      <w:tr w:rsidR="00344FCE" w:rsidRPr="00344FCE" w14:paraId="478CB747" w14:textId="77777777" w:rsidTr="00583732">
        <w:tc>
          <w:tcPr>
            <w:tcW w:w="2122" w:type="dxa"/>
            <w:vMerge/>
            <w:shd w:val="clear" w:color="auto" w:fill="auto"/>
          </w:tcPr>
          <w:p w14:paraId="1E365124"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24D389E7"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D.8 Realizarea de programe  / proiecte pentru reabilitarea activităților tradiționale și valorificarea resursei stuficole din Delta Dunării</w:t>
            </w:r>
          </w:p>
        </w:tc>
        <w:tc>
          <w:tcPr>
            <w:tcW w:w="6520" w:type="dxa"/>
            <w:shd w:val="clear" w:color="auto" w:fill="auto"/>
          </w:tcPr>
          <w:p w14:paraId="625E22C1"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campanii de conștientizare a populației locale și turiștilor cu privire la beneficiile reabilitării activităților tradiționale de valorificare a stufului, de noi oportunități de valorificare a resursei stuficole, alături de beneficiile economice pe care aceste oportunități le implică;</w:t>
            </w:r>
          </w:p>
          <w:p w14:paraId="50683D06"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inițiere și implementare de proiecte pilot pentru producerea de energie din stuf;</w:t>
            </w:r>
          </w:p>
          <w:p w14:paraId="49F9F322"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campanii de instruire în tehnici de construcție cu materiale din stuf adresate comunității locale;</w:t>
            </w:r>
          </w:p>
          <w:p w14:paraId="14F14508"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proiecte pilot pentru valorificarea resursei stuficole în industria modei și de design, promovarea acestui tip de valorificare prin organizarea de târguri, expoziții, etc.;</w:t>
            </w:r>
          </w:p>
          <w:p w14:paraId="06F20A0B"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implementarea de proiecte pentru valorificarea stufului ca materiale în construcția de locuințe tradiționale;</w:t>
            </w:r>
          </w:p>
          <w:p w14:paraId="0E77FC13"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identificarea posibilităților de revigorare a industrie celulozei și hârtie folosind stuful ca materie primă</w:t>
            </w:r>
          </w:p>
          <w:p w14:paraId="2C0E2199"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restaurarea zonelor de stufăriș afectate de degradare sau distrugere.</w:t>
            </w:r>
          </w:p>
        </w:tc>
        <w:tc>
          <w:tcPr>
            <w:tcW w:w="3261" w:type="dxa"/>
            <w:shd w:val="clear" w:color="auto" w:fill="auto"/>
          </w:tcPr>
          <w:p w14:paraId="352BA301" w14:textId="77777777" w:rsidR="00344FCE" w:rsidRPr="00344FCE" w:rsidRDefault="00344FCE" w:rsidP="00344FCE">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t>Os4.b Dezvoltarea “verde” a zonei costiere;</w:t>
            </w:r>
          </w:p>
          <w:p w14:paraId="66192E95" w14:textId="77777777" w:rsidR="00344FCE" w:rsidRPr="00344FCE" w:rsidRDefault="00344FCE" w:rsidP="00344FCE">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t>Os2.c Stimularea dezvoltării infrastructurii verzi;</w:t>
            </w:r>
          </w:p>
          <w:p w14:paraId="6F1D066F" w14:textId="77777777" w:rsidR="00344FCE" w:rsidRPr="00344FCE" w:rsidRDefault="00344FCE" w:rsidP="00344FCE">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t>Os6.b Creșterea gradului de conștientizare cu privire la necesitatea de a păstra și îmbunătăți resursele zonei de coastă.</w:t>
            </w:r>
          </w:p>
        </w:tc>
      </w:tr>
      <w:tr w:rsidR="00344FCE" w:rsidRPr="00344FCE" w14:paraId="62A5E08B" w14:textId="77777777" w:rsidTr="00583732">
        <w:tc>
          <w:tcPr>
            <w:tcW w:w="2122" w:type="dxa"/>
            <w:vMerge/>
            <w:shd w:val="clear" w:color="auto" w:fill="auto"/>
          </w:tcPr>
          <w:p w14:paraId="7C5FE872"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06654C76"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D.9 Implementarea de programe de conștientizare și susținere a producătorilor agricoli privind beneficiile aplicării în  practică a noilor politici agricole</w:t>
            </w:r>
          </w:p>
        </w:tc>
        <w:tc>
          <w:tcPr>
            <w:tcW w:w="6520" w:type="dxa"/>
            <w:shd w:val="clear" w:color="auto" w:fill="auto"/>
          </w:tcPr>
          <w:p w14:paraId="773305D5"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utilizarea teledetecției în colectarea datelor spațiale sau utilizarea imaginilor satelitare și interpretarea lor de către specialiști în vederea eficientizării producției agricole,</w:t>
            </w:r>
          </w:p>
          <w:p w14:paraId="7B73BAB4"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utilizarea dronelor pentru supraveghere, evaluare, măsurători sau pentru aplicarea de soluții/substanțe (ex. fertilizanți, pesticide),</w:t>
            </w:r>
          </w:p>
          <w:p w14:paraId="21CE9530"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utilizarea softurilor pentru controlul și gestionarea eficientă a echipamentelor și a materialelor din ferme,</w:t>
            </w:r>
          </w:p>
          <w:p w14:paraId="0D3E076A"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adoptarea tehnicilor și materialelor de construcții prietenoase cu mediul și eficiente energetic,</w:t>
            </w:r>
          </w:p>
          <w:p w14:paraId="1FAF3118"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sprijin în implementarea metodelor de gestionare sustenabilă a deșeurilor agricole,</w:t>
            </w:r>
          </w:p>
          <w:p w14:paraId="1EFB396A"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 sprijin pentru achiziționarea de utilaje și echipamente de ultima generație, </w:t>
            </w:r>
          </w:p>
          <w:p w14:paraId="26D66D3A"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 sprijin pentru implementarea unor programe de gestiune computerizată în special pentru fermele mici și mijlocii,</w:t>
            </w:r>
          </w:p>
          <w:p w14:paraId="0B291C1F"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sprijinirea asocierii comunităților de fermieri din zona costieră pentru creșterea eficienței în desfacerea produselor pe plan local în primul rând,</w:t>
            </w:r>
          </w:p>
          <w:p w14:paraId="432880C4"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organizarea periodică de întâlniri între fermieri și alți antreprenori (operatori de turism, reprezentanți ai altor comunități de afaceri, reprezentanți ai comunităților locale) prin care să fie promovate ideile, schimburile și care să întărească comunitatea de afaceri din zona costieră, cu beneficii pentru toată zona litorală.</w:t>
            </w:r>
          </w:p>
        </w:tc>
        <w:tc>
          <w:tcPr>
            <w:tcW w:w="3261" w:type="dxa"/>
            <w:shd w:val="clear" w:color="auto" w:fill="auto"/>
          </w:tcPr>
          <w:p w14:paraId="03E0BF31" w14:textId="77777777" w:rsidR="00344FCE" w:rsidRPr="00344FCE" w:rsidRDefault="00344FCE" w:rsidP="00344FCE">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Os4.a Gestionarea durabilă a resurselor zonei de coastă; Os4.b Dezvoltarea “verde” a zonei costiere</w:t>
            </w:r>
          </w:p>
          <w:p w14:paraId="60136210" w14:textId="77777777" w:rsidR="00344FCE" w:rsidRPr="00344FCE" w:rsidRDefault="00344FCE" w:rsidP="00344FCE">
            <w:pPr>
              <w:spacing w:before="0" w:line="240" w:lineRule="auto"/>
              <w:ind w:firstLine="0"/>
              <w:jc w:val="left"/>
              <w:rPr>
                <w:rFonts w:eastAsia="Times New Roman" w:cs="Times New Roman"/>
                <w:kern w:val="0"/>
                <w:lang w:val="ro-RO"/>
              </w:rPr>
            </w:pPr>
            <w:r w:rsidRPr="00344FCE">
              <w:rPr>
                <w:rFonts w:eastAsia="Times New Roman" w:cs="Times New Roman"/>
                <w:kern w:val="0"/>
                <w:lang w:val="ro-RO"/>
              </w:rPr>
              <w:t>Os6.b Creșterea gradului de conștientizare cu privire la necesitatea de a păstra și îmbunătăți resursele zonei de coastă.</w:t>
            </w:r>
          </w:p>
        </w:tc>
      </w:tr>
      <w:tr w:rsidR="00344FCE" w:rsidRPr="00344FCE" w14:paraId="025D9F1C" w14:textId="77777777" w:rsidTr="00583732">
        <w:tc>
          <w:tcPr>
            <w:tcW w:w="2122" w:type="dxa"/>
            <w:vMerge/>
            <w:shd w:val="clear" w:color="auto" w:fill="auto"/>
          </w:tcPr>
          <w:p w14:paraId="10A42172"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03A3C9F1"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D.10 Implementarea proiectelor de transport fluvial verde în Delta Dunării</w:t>
            </w:r>
          </w:p>
        </w:tc>
        <w:tc>
          <w:tcPr>
            <w:tcW w:w="6520" w:type="dxa"/>
            <w:shd w:val="clear" w:color="auto" w:fill="auto"/>
          </w:tcPr>
          <w:p w14:paraId="3D86C684"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campanii de conștientizare a operatorilor de transport fluvial, a operatorilor turistici, precum și a asociațiilor de pescari privind efectele negative ale transportului fluvial cu combustibili convenționali asupra stării ecosistemului deltaic și a serviciilor furnizate de către acesta comunității locale;</w:t>
            </w:r>
          </w:p>
          <w:p w14:paraId="767A96FB"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implementarea unor proiecte pilot  pentru testarea unor soluțiii de transport bazat pe surse neconvenționale;</w:t>
            </w:r>
          </w:p>
          <w:p w14:paraId="57FF2400"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identificarea unor mecanisme financiare de stimulare a folosirii ambarcațiunilor ce folosesc combustibili neconvenționali (“transportului verde”);</w:t>
            </w:r>
          </w:p>
          <w:p w14:paraId="721507E9"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identificarea unor mecanisme financiare de stimulare a operatorilor de transport, turistici și pescarilor pentru scoaterea din uz a ambarcațiunilor cu motoare vechi, poluante.</w:t>
            </w:r>
          </w:p>
        </w:tc>
        <w:tc>
          <w:tcPr>
            <w:tcW w:w="3261" w:type="dxa"/>
            <w:shd w:val="clear" w:color="auto" w:fill="auto"/>
          </w:tcPr>
          <w:p w14:paraId="2BDD75C6"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Os4.b Dezvoltarea “verde” a zonei costiere;</w:t>
            </w:r>
          </w:p>
          <w:p w14:paraId="69FBF7C8"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Os6.b Creșterea gradului de conștientizare cu privire la necesitatea de a păstra și îmbunătăți resursele zonei de coastă.</w:t>
            </w:r>
          </w:p>
        </w:tc>
      </w:tr>
      <w:tr w:rsidR="00344FCE" w:rsidRPr="00344FCE" w14:paraId="1C541811" w14:textId="77777777" w:rsidTr="00583732">
        <w:tc>
          <w:tcPr>
            <w:tcW w:w="2122" w:type="dxa"/>
            <w:vMerge/>
            <w:shd w:val="clear" w:color="auto" w:fill="auto"/>
          </w:tcPr>
          <w:p w14:paraId="5CAD946A"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0A239CE7"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D.11 Evaluarea potențialului de valorificare a resurselor energetice regenerabile din zonă: energia eoliană, “inshore” și „offshore”, energia valurilor, fotovoltaică, etc.</w:t>
            </w:r>
          </w:p>
        </w:tc>
        <w:tc>
          <w:tcPr>
            <w:tcW w:w="6520" w:type="dxa"/>
            <w:shd w:val="clear" w:color="auto" w:fill="auto"/>
          </w:tcPr>
          <w:p w14:paraId="1346EDBD"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elaborarea și implementarea de studii / proiecte pilot privind evaluarea potențialului de valorificare a energiei eoliene, energiei valurilor și fotovoltaice din zona costieră;</w:t>
            </w:r>
          </w:p>
          <w:p w14:paraId="231B1865"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susținerea instituțiilor și infrastructurilor de cercetare-dezvoltare de interes național și European pentru studierea resurselor energetice regenerabile;</w:t>
            </w:r>
          </w:p>
          <w:p w14:paraId="61839F06"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susţinerea şi promovarea producţiei de energie din surse alternative, regenerabile şi nepoluante.</w:t>
            </w:r>
          </w:p>
        </w:tc>
        <w:tc>
          <w:tcPr>
            <w:tcW w:w="3261" w:type="dxa"/>
            <w:shd w:val="clear" w:color="auto" w:fill="auto"/>
          </w:tcPr>
          <w:p w14:paraId="11789C33"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Os4.c Valorificarea resurselor energetice regenerabile;</w:t>
            </w:r>
          </w:p>
          <w:p w14:paraId="5B0CFD09"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Os4.b Dezvoltarea “verde” a zonei costiere.</w:t>
            </w:r>
          </w:p>
        </w:tc>
      </w:tr>
      <w:tr w:rsidR="00344FCE" w:rsidRPr="00344FCE" w14:paraId="1798D26C" w14:textId="77777777" w:rsidTr="00583732">
        <w:tc>
          <w:tcPr>
            <w:tcW w:w="2122" w:type="dxa"/>
            <w:vMerge/>
            <w:shd w:val="clear" w:color="auto" w:fill="auto"/>
          </w:tcPr>
          <w:p w14:paraId="612BF6D3"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6EA8F4C3"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D.12 Susținerea și dezvoltarea de noi instrumente (centre de excelență, proiecte pilot, servicii de extensie oferite de către universități, etc) pentru transferul cunoștințelor  din cercetare spre business în sectoarele Blue Economy (ex. acvacultura IMTA - Integrated multitrophic aquaculture - în sistem circular; diversificarea resurselor alimentare din surse marine sau agricole prin utilizarea biotehnologiilor, etc.)</w:t>
            </w:r>
          </w:p>
        </w:tc>
        <w:tc>
          <w:tcPr>
            <w:tcW w:w="6520" w:type="dxa"/>
            <w:shd w:val="clear" w:color="auto" w:fill="auto"/>
          </w:tcPr>
          <w:p w14:paraId="62C2BD32"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intensificarea finanțării inovării, în special prin implementarea platformelor de parteneriate între autorități locale, mediu de afaceri, universități și institute de cercetare, precum și a unor HUB-uri/platforme naṭionale de inovare orientate pe Blue Economy;</w:t>
            </w:r>
          </w:p>
          <w:p w14:paraId="63E117C8"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dezvoltarea instrumentelor/programelor de finanțare și valorificarea rezultatelor cercetării prin transfer tehnologic.</w:t>
            </w:r>
          </w:p>
        </w:tc>
        <w:tc>
          <w:tcPr>
            <w:tcW w:w="3261" w:type="dxa"/>
            <w:shd w:val="clear" w:color="auto" w:fill="auto"/>
          </w:tcPr>
          <w:p w14:paraId="4D5A2DB8"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Os4.d. Atragerea investițiilor în biotehnologii pentru recuperarea, remedierea, îmbunătățirea sănătății umane și a mediului, în acord cu strategiile europene de promovare a Economiei Albastre și de atingere a obiectivelor Pactului Verde European și a Strategiei de la Ferma direct în Farfurie</w:t>
            </w:r>
          </w:p>
        </w:tc>
      </w:tr>
      <w:tr w:rsidR="00344FCE" w:rsidRPr="00344FCE" w14:paraId="459F4474" w14:textId="77777777" w:rsidTr="00583732">
        <w:tc>
          <w:tcPr>
            <w:tcW w:w="2122" w:type="dxa"/>
            <w:vMerge/>
            <w:shd w:val="clear" w:color="auto" w:fill="auto"/>
          </w:tcPr>
          <w:p w14:paraId="5CCD4642" w14:textId="77777777" w:rsidR="00344FCE" w:rsidRPr="00344FCE" w:rsidRDefault="00344FCE" w:rsidP="00344FCE">
            <w:pPr>
              <w:spacing w:before="0" w:after="160" w:line="252" w:lineRule="auto"/>
              <w:ind w:firstLine="0"/>
              <w:jc w:val="left"/>
              <w:rPr>
                <w:rFonts w:eastAsia="Times New Roman" w:cs="Times New Roman"/>
                <w:kern w:val="0"/>
                <w:lang w:val="ro-RO"/>
              </w:rPr>
            </w:pPr>
          </w:p>
        </w:tc>
        <w:tc>
          <w:tcPr>
            <w:tcW w:w="2693" w:type="dxa"/>
            <w:shd w:val="clear" w:color="auto" w:fill="auto"/>
          </w:tcPr>
          <w:p w14:paraId="4A0D47B0"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D.13 Dezvoltarea programelor/proiectelor privind porturile “verzi” de la litoralul românesc al Mării Negre</w:t>
            </w:r>
          </w:p>
        </w:tc>
        <w:tc>
          <w:tcPr>
            <w:tcW w:w="6520" w:type="dxa"/>
            <w:shd w:val="clear" w:color="auto" w:fill="auto"/>
          </w:tcPr>
          <w:p w14:paraId="7A84127C"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Implementarea unor proiecte pentru realizarea unui design ecologic al portului, care include perdele forestiere, ce contribuie la reducerea poluării</w:t>
            </w:r>
            <w:r w:rsidR="0081695E">
              <w:rPr>
                <w:rFonts w:eastAsia="Times New Roman" w:cs="Times New Roman"/>
                <w:kern w:val="0"/>
                <w:lang w:val="ro-RO"/>
              </w:rPr>
              <w:t xml:space="preserve"> </w:t>
            </w:r>
            <w:r w:rsidRPr="00344FCE">
              <w:rPr>
                <w:rFonts w:eastAsia="Times New Roman" w:cs="Times New Roman"/>
                <w:kern w:val="0"/>
                <w:lang w:val="ro-RO"/>
              </w:rPr>
              <w:t>atmosferice.</w:t>
            </w:r>
          </w:p>
          <w:p w14:paraId="37C6204D"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Implementarea proiectelor privind utilizarea surselor de energie regenerabilă în operațiunile și activitățile portuare (inclusiv transport).</w:t>
            </w:r>
          </w:p>
          <w:p w14:paraId="46D1EA30"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 Identificarea și aplicarea de soluții moderne pentru tratarea și reciclarea deșeurilor de la nave, precum și a celor rezultate din diverse activități portuare. </w:t>
            </w:r>
          </w:p>
          <w:p w14:paraId="7E120076" w14:textId="77777777" w:rsidR="00344FCE" w:rsidRPr="00344FCE" w:rsidRDefault="00344FCE" w:rsidP="00344FCE">
            <w:pPr>
              <w:spacing w:before="0" w:after="0" w:line="240" w:lineRule="auto"/>
              <w:ind w:firstLine="0"/>
              <w:jc w:val="left"/>
              <w:rPr>
                <w:rFonts w:eastAsia="Times New Roman" w:cs="Times New Roman"/>
                <w:kern w:val="0"/>
                <w:lang w:val="ro-RO"/>
              </w:rPr>
            </w:pPr>
          </w:p>
        </w:tc>
        <w:tc>
          <w:tcPr>
            <w:tcW w:w="3261" w:type="dxa"/>
            <w:shd w:val="clear" w:color="auto" w:fill="auto"/>
          </w:tcPr>
          <w:p w14:paraId="13A8A495"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Os4.b Dezvoltarea “verde” a zonei costiere</w:t>
            </w:r>
          </w:p>
          <w:p w14:paraId="47BEA964" w14:textId="77777777" w:rsidR="00344FCE" w:rsidRPr="00344FCE" w:rsidRDefault="00344FCE" w:rsidP="00344FCE">
            <w:pPr>
              <w:spacing w:before="0" w:after="0" w:line="240" w:lineRule="auto"/>
              <w:ind w:firstLine="0"/>
              <w:jc w:val="left"/>
              <w:rPr>
                <w:rFonts w:eastAsia="Times New Roman" w:cs="Times New Roman"/>
                <w:kern w:val="0"/>
                <w:lang w:val="ro-RO"/>
              </w:rPr>
            </w:pPr>
          </w:p>
          <w:p w14:paraId="7875432E"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Os2.c Stimularea dezvoltării infrastructurii verzi</w:t>
            </w:r>
          </w:p>
        </w:tc>
      </w:tr>
      <w:tr w:rsidR="00344FCE" w:rsidRPr="00344FCE" w14:paraId="2EA7737A" w14:textId="77777777" w:rsidTr="00583732">
        <w:tc>
          <w:tcPr>
            <w:tcW w:w="2122" w:type="dxa"/>
            <w:vMerge w:val="restart"/>
            <w:shd w:val="clear" w:color="auto" w:fill="auto"/>
          </w:tcPr>
          <w:p w14:paraId="0A120304" w14:textId="77777777" w:rsidR="00344FCE" w:rsidRPr="00344FCE" w:rsidRDefault="00344FCE" w:rsidP="00344FCE">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 xml:space="preserve">Optimizarea cadrului </w:t>
            </w:r>
            <w:r w:rsidRPr="00344FCE">
              <w:rPr>
                <w:rFonts w:eastAsia="Times New Roman" w:cs="Times New Roman"/>
                <w:kern w:val="0"/>
                <w:lang w:val="ro-RO"/>
              </w:rPr>
              <w:lastRenderedPageBreak/>
              <w:t>instituțional și procedural al planificării spațiale în zona costieră</w:t>
            </w:r>
          </w:p>
          <w:p w14:paraId="700A6101"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5938582D"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619B9714"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28FFC737"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778A4080"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0DD95F32"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6725BBD5"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2DA3BCD6" w14:textId="77777777" w:rsidR="00344FCE" w:rsidRPr="00344FCE" w:rsidRDefault="00344FCE" w:rsidP="00344FCE">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Optimizarea cadrului instituțional și procedural al planificării spațiale în zona costieră</w:t>
            </w:r>
          </w:p>
        </w:tc>
        <w:tc>
          <w:tcPr>
            <w:tcW w:w="2693" w:type="dxa"/>
            <w:shd w:val="clear" w:color="auto" w:fill="auto"/>
          </w:tcPr>
          <w:p w14:paraId="7D902B24"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 xml:space="preserve">E.1 Crearea unui cadru coerent, integrat și sinergic de planificare </w:t>
            </w:r>
            <w:r w:rsidRPr="00344FCE">
              <w:rPr>
                <w:rFonts w:eastAsia="Times New Roman" w:cs="Times New Roman"/>
                <w:kern w:val="0"/>
                <w:lang w:val="ro-RO"/>
              </w:rPr>
              <w:lastRenderedPageBreak/>
              <w:t>spațială specific pentru teritoriul transfrontalier și regional</w:t>
            </w:r>
          </w:p>
        </w:tc>
        <w:tc>
          <w:tcPr>
            <w:tcW w:w="6520" w:type="dxa"/>
            <w:shd w:val="clear" w:color="auto" w:fill="auto"/>
          </w:tcPr>
          <w:p w14:paraId="1ED3F645"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 elaborarea / actualizarea metodologiei de elaborare a planurilor de amenajare a teritoriului zonal transfrontalier și interjudețean;</w:t>
            </w:r>
          </w:p>
          <w:p w14:paraId="449B8803"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 elaborarea de strategii și planuri de dezvoltare spațială în zonele transfrontaliere și în zona costieră a Mării Negre.</w:t>
            </w:r>
          </w:p>
        </w:tc>
        <w:tc>
          <w:tcPr>
            <w:tcW w:w="3261" w:type="dxa"/>
            <w:shd w:val="clear" w:color="auto" w:fill="auto"/>
          </w:tcPr>
          <w:p w14:paraId="1DBDB7DA"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 xml:space="preserve">Os3.a Punerea în practică a planurilor de amenajare spațială a zonei costiere în </w:t>
            </w:r>
            <w:r w:rsidRPr="00344FCE">
              <w:rPr>
                <w:rFonts w:eastAsia="Times New Roman" w:cs="Times New Roman"/>
                <w:kern w:val="0"/>
                <w:lang w:val="ro-RO"/>
              </w:rPr>
              <w:lastRenderedPageBreak/>
              <w:t>coordonare cu planurile statelor vecine;</w:t>
            </w:r>
          </w:p>
          <w:p w14:paraId="1242FB18"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 Os3.c Planificare și dezvoltare spațială integrată și durabilă a zonelor metropolitane, periurbane și rurale din zona costieră.</w:t>
            </w:r>
          </w:p>
        </w:tc>
      </w:tr>
      <w:tr w:rsidR="00344FCE" w:rsidRPr="00344FCE" w14:paraId="2A52F9B2" w14:textId="77777777" w:rsidTr="00583732">
        <w:tc>
          <w:tcPr>
            <w:tcW w:w="2122" w:type="dxa"/>
            <w:vMerge/>
            <w:shd w:val="clear" w:color="auto" w:fill="auto"/>
          </w:tcPr>
          <w:p w14:paraId="6905EC27"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23419665"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E.2 Crearea unui cadru coerent și integrat de planificare strategică și planificare spațială la nivel zonal și local, specific zonei costiere</w:t>
            </w:r>
          </w:p>
        </w:tc>
        <w:tc>
          <w:tcPr>
            <w:tcW w:w="6520" w:type="dxa"/>
            <w:shd w:val="clear" w:color="auto" w:fill="auto"/>
          </w:tcPr>
          <w:p w14:paraId="26336EB2"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elaborarea / actualizarea metodologiei de elaborare a planurilor de amenajare a teritoriului zonal metropolitan / intercomunitar;</w:t>
            </w:r>
          </w:p>
          <w:p w14:paraId="1E2A5984"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elaborarea unui regulament-cadru de urbanism pentru toată zona costieră;</w:t>
            </w:r>
          </w:p>
          <w:p w14:paraId="59B8CEEE"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elaborarea/modificarea  documentațiilor de planificare spațială pentru zonele metropolitane, periurbane și rurale din zona costieră (planuri zonale metropolitane, periurbane, intercomunale, planuri urbanistice generale pentru municipii, orașe și comune);</w:t>
            </w:r>
          </w:p>
          <w:p w14:paraId="21E76039"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modificarea PUZ existente și elaborarea de noi planuri urbanistice zonale pentru zonele critice / sensibile (zona dintre linia apei și linia țărmului, zone istorice, statiuni, zona lacurilor).</w:t>
            </w:r>
          </w:p>
        </w:tc>
        <w:tc>
          <w:tcPr>
            <w:tcW w:w="3261" w:type="dxa"/>
            <w:shd w:val="clear" w:color="auto" w:fill="auto"/>
          </w:tcPr>
          <w:p w14:paraId="4463236E"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Os3.c Planificare și dezvoltare spațială integrată și durabilă a zonelor metropolitane, periurbane și rurale din zona costieră</w:t>
            </w:r>
          </w:p>
        </w:tc>
      </w:tr>
      <w:tr w:rsidR="00344FCE" w:rsidRPr="00344FCE" w14:paraId="266C795B" w14:textId="77777777" w:rsidTr="00583732">
        <w:tc>
          <w:tcPr>
            <w:tcW w:w="2122" w:type="dxa"/>
            <w:vMerge/>
            <w:shd w:val="clear" w:color="auto" w:fill="auto"/>
          </w:tcPr>
          <w:p w14:paraId="4C41E71F"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174C78B7"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E.3 Crearea unui mecanism eficient de implementare, monitorizare și verificare a instrumentelor de planificare spațială în zona costieră</w:t>
            </w:r>
          </w:p>
        </w:tc>
        <w:tc>
          <w:tcPr>
            <w:tcW w:w="6520" w:type="dxa"/>
            <w:shd w:val="clear" w:color="auto" w:fill="auto"/>
          </w:tcPr>
          <w:p w14:paraId="6BBFBFE5"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revizuirea / completarea procedurilor de avizare / aprobare a documentațiilor de amenajarea teritoriului și urbanism);</w:t>
            </w:r>
          </w:p>
          <w:p w14:paraId="3631B5F8"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crearea unui sistem de informare și comunicare eficient între administrațiile locale din zona costieră în domeniul planificării spațiale;</w:t>
            </w:r>
          </w:p>
          <w:p w14:paraId="2C1EB5A6"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crearea unei platforme cu acces public, de comunicare și dezbatere privind starea și evoluția zonei costiere.</w:t>
            </w:r>
          </w:p>
        </w:tc>
        <w:tc>
          <w:tcPr>
            <w:tcW w:w="3261" w:type="dxa"/>
            <w:shd w:val="clear" w:color="auto" w:fill="auto"/>
          </w:tcPr>
          <w:p w14:paraId="312B70E1"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Os3.b. Stabilirea unui sistem performant de supraveghere a eficienței implementării planificării spațiale prin realizarea Geamănului Digital (Digital Twin) a litoralului românesc;</w:t>
            </w:r>
          </w:p>
          <w:p w14:paraId="6A963DD4"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 Os3.c Planificare și dezvoltare spațială integrată și durabilă a zonelor metropolitane, periurbane și rurale din zona costieră,;</w:t>
            </w:r>
          </w:p>
          <w:p w14:paraId="20CEE2E8" w14:textId="77777777" w:rsidR="00344FCE" w:rsidRPr="00344FCE" w:rsidRDefault="00344FCE" w:rsidP="00344FCE">
            <w:pPr>
              <w:spacing w:before="0" w:line="240" w:lineRule="auto"/>
              <w:ind w:firstLine="0"/>
              <w:rPr>
                <w:rFonts w:eastAsia="Times New Roman" w:cs="Times New Roman"/>
                <w:kern w:val="0"/>
                <w:lang w:val="ro-RO"/>
              </w:rPr>
            </w:pPr>
            <w:r w:rsidRPr="00344FCE">
              <w:rPr>
                <w:rFonts w:eastAsia="Times New Roman" w:cs="Times New Roman"/>
                <w:kern w:val="0"/>
                <w:lang w:val="ro-RO"/>
              </w:rPr>
              <w:lastRenderedPageBreak/>
              <w:t>Os6.a Crearea unui proces real participativ în gestionarea integrată a zonei costiere;</w:t>
            </w:r>
          </w:p>
          <w:p w14:paraId="3BE39F8B"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Os6.b Creșterea gradului de conștientizare cu privire la necesitatea de a păstra și îmbunătăți resursele zonei de coastă.</w:t>
            </w:r>
          </w:p>
        </w:tc>
      </w:tr>
      <w:tr w:rsidR="00344FCE" w:rsidRPr="00344FCE" w14:paraId="1B04B9D8" w14:textId="77777777" w:rsidTr="00583732">
        <w:tc>
          <w:tcPr>
            <w:tcW w:w="2122" w:type="dxa"/>
            <w:vMerge w:val="restart"/>
            <w:shd w:val="clear" w:color="auto" w:fill="auto"/>
          </w:tcPr>
          <w:p w14:paraId="2A785414"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653E49B2"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219E27FA"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4B707464"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342E009D"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63DA4A2B"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485C4A3B"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1798A7E1" w14:textId="77777777" w:rsidR="00344FCE" w:rsidRPr="00344FCE" w:rsidRDefault="00344FCE" w:rsidP="00344FCE">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Consolidarea sistemului de management integrat al zonei costiere</w:t>
            </w:r>
          </w:p>
          <w:p w14:paraId="566D3289"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36389CC5"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34E2F3BB"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01AD0F53"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67319414"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740AB48F"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59BDB501"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5DD5C64C"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6D2530C4"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46CCC344"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386BEF7B"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1FCF0B1E"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64EA31AC"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07808109"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67E2D8CF"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04A4734A" w14:textId="77777777" w:rsidR="00344FCE" w:rsidRPr="00344FCE" w:rsidRDefault="00344FCE" w:rsidP="00344FCE">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Consolidarea sistemului de management integrat al zonei costiere</w:t>
            </w:r>
          </w:p>
          <w:p w14:paraId="33E79B8D"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57473681"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6202DB3D"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22A18DFA"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2AD068FE"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1858A275"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1B5D0F3D"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5C1E5B7E"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13A8E3CB"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51378F41"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5B7F8668"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46541CCC"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23E18FDC" w14:textId="77777777" w:rsidR="00344FCE" w:rsidRPr="00344FCE" w:rsidRDefault="00344FCE" w:rsidP="00344FCE">
            <w:pPr>
              <w:spacing w:before="0" w:after="160" w:line="252" w:lineRule="auto"/>
              <w:ind w:firstLine="0"/>
              <w:jc w:val="left"/>
              <w:rPr>
                <w:rFonts w:eastAsia="Times New Roman" w:cs="Times New Roman"/>
                <w:kern w:val="0"/>
                <w:lang w:val="ro-RO"/>
              </w:rPr>
            </w:pPr>
          </w:p>
          <w:p w14:paraId="1F58A4EB" w14:textId="77777777" w:rsidR="00344FCE" w:rsidRPr="00344FCE" w:rsidRDefault="00344FCE" w:rsidP="00344FCE">
            <w:pPr>
              <w:spacing w:before="0" w:after="160" w:line="252" w:lineRule="auto"/>
              <w:ind w:firstLine="0"/>
              <w:jc w:val="left"/>
              <w:rPr>
                <w:rFonts w:eastAsia="Times New Roman" w:cs="Times New Roman"/>
                <w:kern w:val="0"/>
                <w:lang w:val="ro-RO"/>
              </w:rPr>
            </w:pPr>
            <w:r w:rsidRPr="00344FCE">
              <w:rPr>
                <w:rFonts w:eastAsia="Times New Roman" w:cs="Times New Roman"/>
                <w:kern w:val="0"/>
                <w:lang w:val="ro-RO"/>
              </w:rPr>
              <w:t>Consolidarea sistemului de management integrat al zonei costiere</w:t>
            </w:r>
          </w:p>
          <w:p w14:paraId="26BB957A" w14:textId="77777777" w:rsidR="00344FCE" w:rsidRPr="00344FCE" w:rsidRDefault="00344FCE" w:rsidP="00344FCE">
            <w:pPr>
              <w:spacing w:before="0" w:after="160" w:line="252" w:lineRule="auto"/>
              <w:ind w:firstLine="0"/>
              <w:jc w:val="left"/>
              <w:rPr>
                <w:rFonts w:eastAsia="Times New Roman" w:cs="Times New Roman"/>
                <w:kern w:val="0"/>
                <w:lang w:val="ro-RO"/>
              </w:rPr>
            </w:pPr>
          </w:p>
        </w:tc>
        <w:tc>
          <w:tcPr>
            <w:tcW w:w="2693" w:type="dxa"/>
            <w:shd w:val="clear" w:color="auto" w:fill="auto"/>
          </w:tcPr>
          <w:p w14:paraId="05623574"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F.1 Reorganizarea Comitetului Național al Zonei Costiere</w:t>
            </w:r>
          </w:p>
        </w:tc>
        <w:tc>
          <w:tcPr>
            <w:tcW w:w="6520" w:type="dxa"/>
            <w:shd w:val="clear" w:color="auto" w:fill="auto"/>
          </w:tcPr>
          <w:p w14:paraId="23A9453C"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 revizuirea / completarea OUG 202/2002 cu privire la organizarea și componența CNZC; </w:t>
            </w:r>
          </w:p>
          <w:p w14:paraId="2FD1DB13"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revizuirea actelor normative subsecvente pentru funcționarea CNZC (pentru aprobarea regulamentului de funcționare) precum și completarea cu alte reglementări pentru aprobarea proceduri de lucru pentru grupurile de experți, cooperarea cu secretariatul tehnic-administrativ al zonei costiere, emiterea avizelor, etc.;</w:t>
            </w:r>
          </w:p>
          <w:p w14:paraId="20CE3E4C"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realizarea unei liste largi cu experți în vederea selectării acestora în vederea constituirii Grupurilor de Lucru;</w:t>
            </w:r>
          </w:p>
          <w:p w14:paraId="2338ADA5"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identificarea resurselor financiare necesare funcționării eficiente a  Grupurilor de Lucru (motivarea financiară a experților).</w:t>
            </w:r>
          </w:p>
        </w:tc>
        <w:tc>
          <w:tcPr>
            <w:tcW w:w="3261" w:type="dxa"/>
            <w:shd w:val="clear" w:color="auto" w:fill="auto"/>
          </w:tcPr>
          <w:p w14:paraId="506A6A15"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Os5.a Stabilirea / consolidarea mecanismului de coordonare a managementului integrat al zonei de coastă care să aducă împreună toate instituțiile responsabile ale statului român;</w:t>
            </w:r>
          </w:p>
          <w:p w14:paraId="1D748AFC" w14:textId="77777777" w:rsidR="00344FCE" w:rsidRPr="00344FCE" w:rsidRDefault="00344FCE" w:rsidP="00344FCE">
            <w:pPr>
              <w:spacing w:before="0" w:line="240" w:lineRule="auto"/>
              <w:ind w:firstLine="0"/>
              <w:rPr>
                <w:rFonts w:eastAsia="Times New Roman" w:cs="Times New Roman"/>
                <w:kern w:val="0"/>
                <w:lang w:val="ro-RO"/>
              </w:rPr>
            </w:pPr>
          </w:p>
        </w:tc>
      </w:tr>
      <w:tr w:rsidR="00344FCE" w:rsidRPr="00344FCE" w14:paraId="5C4B1C06" w14:textId="77777777" w:rsidTr="00583732">
        <w:tc>
          <w:tcPr>
            <w:tcW w:w="2122" w:type="dxa"/>
            <w:vMerge/>
            <w:shd w:val="clear" w:color="auto" w:fill="auto"/>
          </w:tcPr>
          <w:p w14:paraId="1F5A5436"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675D4CB1"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F.2 Înființarea și asigurarea funcționalității Observatorului Zonei Costiere</w:t>
            </w:r>
          </w:p>
        </w:tc>
        <w:tc>
          <w:tcPr>
            <w:tcW w:w="6520" w:type="dxa"/>
            <w:shd w:val="clear" w:color="auto" w:fill="auto"/>
          </w:tcPr>
          <w:p w14:paraId="01542188"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elaborarea unui studiu pentru stabilirea structurii bazei de date a Observatorului zonei costiere și a soluțiilor instituționale pentru gestionare;</w:t>
            </w:r>
          </w:p>
          <w:p w14:paraId="13972238"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elaborarea și aprobarea reglementărilor necesare înființării și funcționării;</w:t>
            </w:r>
          </w:p>
          <w:p w14:paraId="28088095"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programe de instruire a operatorilor de baze de date;</w:t>
            </w:r>
          </w:p>
          <w:p w14:paraId="6939A8FC"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realizarea legăturilor instituționale pentru asigurarea schimbului de date și informații cu alte sisteme de date, aparținând altor instituții (de exemplu Ministerul Dezvoltării, Lucrărilor, Publice și Administrației, Ministerul Transporturilor, etc)</w:t>
            </w:r>
          </w:p>
        </w:tc>
        <w:tc>
          <w:tcPr>
            <w:tcW w:w="3261" w:type="dxa"/>
            <w:shd w:val="clear" w:color="auto" w:fill="auto"/>
          </w:tcPr>
          <w:p w14:paraId="6414AD5D"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Os5.a Stabilirea / consolidarea mecanismului de coordonare a managementului integrat al zonei de coastă care să aducă împreună toate instituțiile responsabile ale statului român;</w:t>
            </w:r>
          </w:p>
          <w:p w14:paraId="084BBAD4"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Os3.b. Stabilirea unui sistem performant de supraveghere a eficienței implementării planificării spațiale prin realizarea Geamănului Digital </w:t>
            </w:r>
            <w:r w:rsidRPr="00344FCE">
              <w:rPr>
                <w:rFonts w:eastAsia="Times New Roman" w:cs="Times New Roman"/>
                <w:kern w:val="0"/>
                <w:lang w:val="ro-RO"/>
              </w:rPr>
              <w:lastRenderedPageBreak/>
              <w:t>(Digital Twin) a litoralului românesc.</w:t>
            </w:r>
          </w:p>
        </w:tc>
      </w:tr>
      <w:tr w:rsidR="00344FCE" w:rsidRPr="00344FCE" w14:paraId="1DA8FBC0" w14:textId="77777777" w:rsidTr="00583732">
        <w:tc>
          <w:tcPr>
            <w:tcW w:w="2122" w:type="dxa"/>
            <w:vMerge/>
            <w:shd w:val="clear" w:color="auto" w:fill="auto"/>
          </w:tcPr>
          <w:p w14:paraId="487EF72F"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49DD9A38"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F.3 Elaborarea și implementarea Planului de comunicare al Strategiei naționale pentru managementul integrat a zonei costiere</w:t>
            </w:r>
          </w:p>
        </w:tc>
        <w:tc>
          <w:tcPr>
            <w:tcW w:w="6520" w:type="dxa"/>
            <w:shd w:val="clear" w:color="auto" w:fill="auto"/>
          </w:tcPr>
          <w:p w14:paraId="55722F82" w14:textId="77777777" w:rsidR="00344FCE" w:rsidRPr="00344FCE" w:rsidRDefault="00344FCE" w:rsidP="00344FCE">
            <w:pPr>
              <w:spacing w:before="0" w:after="0" w:line="240" w:lineRule="auto"/>
              <w:ind w:firstLine="0"/>
              <w:jc w:val="left"/>
              <w:rPr>
                <w:rFonts w:eastAsia="Times New Roman" w:cs="Times New Roman"/>
                <w:kern w:val="0"/>
                <w:lang w:val="ro-RO"/>
              </w:rPr>
            </w:pPr>
          </w:p>
        </w:tc>
        <w:tc>
          <w:tcPr>
            <w:tcW w:w="3261" w:type="dxa"/>
            <w:shd w:val="clear" w:color="auto" w:fill="auto"/>
          </w:tcPr>
          <w:p w14:paraId="18956DEA"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Os6.b Creșterea gradului de conștientizare cu privire la necesitatea de a păstra și îmbunătăți resursele zonei de coastă;</w:t>
            </w:r>
          </w:p>
          <w:p w14:paraId="37A65BC3"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Os6.c Implicarea cetățenilor în monitorizarea stării de sănătate a mediului costier (Citizen-science);</w:t>
            </w:r>
          </w:p>
          <w:p w14:paraId="041B12B2" w14:textId="77777777" w:rsidR="00344FCE" w:rsidRPr="00344FCE" w:rsidRDefault="00344FCE" w:rsidP="00344FCE">
            <w:pPr>
              <w:spacing w:before="0" w:line="240" w:lineRule="auto"/>
              <w:ind w:firstLine="0"/>
              <w:rPr>
                <w:rFonts w:eastAsia="Times New Roman" w:cs="Times New Roman"/>
                <w:kern w:val="0"/>
                <w:lang w:val="ro-RO"/>
              </w:rPr>
            </w:pPr>
            <w:r w:rsidRPr="00344FCE">
              <w:rPr>
                <w:rFonts w:eastAsia="Times New Roman" w:cs="Times New Roman"/>
                <w:kern w:val="0"/>
                <w:lang w:val="ro-RO"/>
              </w:rPr>
              <w:t>Os6.a Crearea unui proces real participativ în gestionarea integrată a zonei costiere</w:t>
            </w:r>
          </w:p>
        </w:tc>
      </w:tr>
      <w:tr w:rsidR="00344FCE" w:rsidRPr="00344FCE" w14:paraId="41402EED" w14:textId="77777777" w:rsidTr="00583732">
        <w:tc>
          <w:tcPr>
            <w:tcW w:w="2122" w:type="dxa"/>
            <w:vMerge/>
            <w:shd w:val="clear" w:color="auto" w:fill="auto"/>
          </w:tcPr>
          <w:p w14:paraId="76CEBA5B"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73D02B71"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F.4 Promovarea și implementarea unui instrument de tip citizen-science în vederea implicării directe a cetățenilor, pe bază de voluntariat, în acțiuni de monitorizare a stării și proceselor din zona costieră</w:t>
            </w:r>
          </w:p>
        </w:tc>
        <w:tc>
          <w:tcPr>
            <w:tcW w:w="6520" w:type="dxa"/>
            <w:shd w:val="clear" w:color="auto" w:fill="auto"/>
          </w:tcPr>
          <w:p w14:paraId="141F8DF5"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-campanii de creștere a conștientizării privind necesitatea monitorizării stării și proceselor din zona costieră;</w:t>
            </w:r>
          </w:p>
          <w:p w14:paraId="1995A5E1"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-organizare de cursuri periodice de instruire a voluntarilor în aplicarea tehnicilor de monitoring;</w:t>
            </w:r>
          </w:p>
          <w:p w14:paraId="1D097338"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-sprijinirea voluntarilor prin permiterea accesului la infrastructura de monitorizare a organizațiilor specializate.</w:t>
            </w:r>
          </w:p>
        </w:tc>
        <w:tc>
          <w:tcPr>
            <w:tcW w:w="3261" w:type="dxa"/>
            <w:shd w:val="clear" w:color="auto" w:fill="auto"/>
          </w:tcPr>
          <w:p w14:paraId="0E95F3F4"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Os6.c Implicarea cetățenilor în monitorizarea stării de sănătate a mediului costier (Citizen-science);</w:t>
            </w:r>
          </w:p>
          <w:p w14:paraId="29BC8B7E"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Os6.b Creșterea gradului de conștientizare cu privire la necesitatea de a păstra și îmbunătăți resursele zonei costiere.</w:t>
            </w:r>
          </w:p>
        </w:tc>
      </w:tr>
      <w:tr w:rsidR="00344FCE" w:rsidRPr="00344FCE" w14:paraId="2A84792C" w14:textId="77777777" w:rsidTr="00583732">
        <w:tc>
          <w:tcPr>
            <w:tcW w:w="2122" w:type="dxa"/>
            <w:vMerge/>
            <w:shd w:val="clear" w:color="auto" w:fill="auto"/>
          </w:tcPr>
          <w:p w14:paraId="5654FEE1"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15C2F434"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F.5 Revizuirea delimitării zonei costiere prevăzută în OUG 202/2002, precum și a limitelor de restricție temporară stabilite prin actele normative subsecvente Legea 597/ 31.10. 2001, </w:t>
            </w:r>
            <w:r w:rsidRPr="00344FCE">
              <w:rPr>
                <w:rFonts w:eastAsia="Times New Roman" w:cs="Times New Roman"/>
                <w:kern w:val="0"/>
                <w:lang w:val="ro-RO"/>
              </w:rPr>
              <w:lastRenderedPageBreak/>
              <w:t>H.G. nr. 546/07.04.2004 și H.G. nr. 749/14.05.2004</w:t>
            </w:r>
          </w:p>
        </w:tc>
        <w:tc>
          <w:tcPr>
            <w:tcW w:w="6520" w:type="dxa"/>
            <w:shd w:val="clear" w:color="auto" w:fill="auto"/>
          </w:tcPr>
          <w:p w14:paraId="731F2908" w14:textId="77777777" w:rsidR="004F6ACF" w:rsidRPr="00344FCE" w:rsidRDefault="004F6ACF" w:rsidP="004F6ACF">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lastRenderedPageBreak/>
              <w:t xml:space="preserve">- stabilirea criteriilor de delimitare a spațiilor sensibile / critice / vulnerabile din zona costieră; </w:t>
            </w:r>
          </w:p>
          <w:p w14:paraId="0D761650"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xml:space="preserve">- elaborarea unui </w:t>
            </w:r>
            <w:r w:rsidR="004F6ACF">
              <w:rPr>
                <w:rFonts w:eastAsia="Times New Roman" w:cs="Times New Roman"/>
                <w:kern w:val="0"/>
                <w:lang w:val="ro-RO"/>
              </w:rPr>
              <w:t xml:space="preserve">studiu centralizat </w:t>
            </w:r>
            <w:r w:rsidRPr="00344FCE">
              <w:rPr>
                <w:rFonts w:eastAsia="Times New Roman" w:cs="Times New Roman"/>
                <w:kern w:val="0"/>
                <w:lang w:val="ro-RO"/>
              </w:rPr>
              <w:t>pentru stabilirea spațiilor</w:t>
            </w:r>
            <w:r w:rsidR="004F6ACF">
              <w:rPr>
                <w:rFonts w:eastAsia="Times New Roman" w:cs="Times New Roman"/>
                <w:kern w:val="0"/>
                <w:lang w:val="ro-RO"/>
              </w:rPr>
              <w:t xml:space="preserve"> sensibile /</w:t>
            </w:r>
            <w:r w:rsidRPr="00344FCE">
              <w:rPr>
                <w:rFonts w:eastAsia="Times New Roman" w:cs="Times New Roman"/>
                <w:kern w:val="0"/>
                <w:lang w:val="ro-RO"/>
              </w:rPr>
              <w:t xml:space="preserve"> critice </w:t>
            </w:r>
            <w:r w:rsidR="004F6ACF">
              <w:rPr>
                <w:rFonts w:eastAsia="Times New Roman" w:cs="Times New Roman"/>
                <w:kern w:val="0"/>
                <w:lang w:val="ro-RO"/>
              </w:rPr>
              <w:t xml:space="preserve">/ vulnerabile </w:t>
            </w:r>
            <w:r w:rsidRPr="00344FCE">
              <w:rPr>
                <w:rFonts w:eastAsia="Times New Roman" w:cs="Times New Roman"/>
                <w:kern w:val="0"/>
                <w:lang w:val="ro-RO"/>
              </w:rPr>
              <w:t>din zona costieră;</w:t>
            </w:r>
          </w:p>
          <w:p w14:paraId="0642BF07"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elaborarea și aprobarea proiectelor de revizuire a OUG 202/2002, precum și a actelor normative subsecvente Legea 597/31.10.2001, H.G. nr. 546/07.04.2004 și H.G. nr. 749/14.05.2004.</w:t>
            </w:r>
          </w:p>
        </w:tc>
        <w:tc>
          <w:tcPr>
            <w:tcW w:w="3261" w:type="dxa"/>
            <w:shd w:val="clear" w:color="auto" w:fill="auto"/>
          </w:tcPr>
          <w:p w14:paraId="49A7195A"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Os5.a Stabilirea / consolidarea mecanismului de coordonare a managementului integrat al zonei de coastă care să aducă împreună toate instituțiile responsabile ale statului român.</w:t>
            </w:r>
          </w:p>
        </w:tc>
      </w:tr>
      <w:tr w:rsidR="00344FCE" w:rsidRPr="00344FCE" w14:paraId="46A136A6" w14:textId="77777777" w:rsidTr="00583732">
        <w:tc>
          <w:tcPr>
            <w:tcW w:w="2122" w:type="dxa"/>
            <w:vMerge/>
            <w:shd w:val="clear" w:color="auto" w:fill="auto"/>
          </w:tcPr>
          <w:p w14:paraId="372960E8"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4977688A"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F.6 Programe pentru furnizarea de Asistență Tehnică pentru îmbunătățirea / consolidarea capacității administrative  a actorilor instituționali implicați în implementarea managementului integrat al zonei costiere</w:t>
            </w:r>
          </w:p>
        </w:tc>
        <w:tc>
          <w:tcPr>
            <w:tcW w:w="6520" w:type="dxa"/>
            <w:shd w:val="clear" w:color="auto" w:fill="auto"/>
          </w:tcPr>
          <w:p w14:paraId="04F2622F"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identificarea beneficiarilor instituționali potențiali și a nevoii acestora de asistență tehnică;</w:t>
            </w:r>
          </w:p>
          <w:p w14:paraId="61AD55B3"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elaborarea planului de acțiuni de asistență tehnică.</w:t>
            </w:r>
          </w:p>
        </w:tc>
        <w:tc>
          <w:tcPr>
            <w:tcW w:w="3261" w:type="dxa"/>
            <w:shd w:val="clear" w:color="auto" w:fill="auto"/>
          </w:tcPr>
          <w:p w14:paraId="51BDAFCF" w14:textId="77777777" w:rsidR="00344FCE" w:rsidRPr="00344FCE" w:rsidRDefault="00344FCE" w:rsidP="00344FCE">
            <w:pPr>
              <w:spacing w:before="0" w:line="252" w:lineRule="auto"/>
              <w:ind w:firstLine="0"/>
              <w:rPr>
                <w:rFonts w:eastAsia="Times New Roman" w:cs="Times New Roman"/>
                <w:kern w:val="0"/>
                <w:lang w:val="ro-RO"/>
              </w:rPr>
            </w:pPr>
            <w:r w:rsidRPr="00344FCE">
              <w:rPr>
                <w:rFonts w:eastAsia="Times New Roman" w:cs="Times New Roman"/>
                <w:kern w:val="0"/>
                <w:lang w:val="ro-RO"/>
              </w:rPr>
              <w:t>Os5.b Consolidarea capacităţii administrației publice</w:t>
            </w:r>
          </w:p>
          <w:p w14:paraId="750E74BC" w14:textId="77777777" w:rsidR="00344FCE" w:rsidRPr="00344FCE" w:rsidRDefault="00344FCE" w:rsidP="00344FCE">
            <w:pPr>
              <w:spacing w:before="0" w:after="160" w:line="252" w:lineRule="auto"/>
              <w:ind w:firstLine="0"/>
              <w:jc w:val="left"/>
              <w:rPr>
                <w:rFonts w:eastAsia="Times New Roman" w:cs="Times New Roman"/>
                <w:kern w:val="0"/>
                <w:lang w:val="ro-RO"/>
              </w:rPr>
            </w:pPr>
          </w:p>
        </w:tc>
      </w:tr>
      <w:tr w:rsidR="00344FCE" w:rsidRPr="00344FCE" w14:paraId="7A765771" w14:textId="77777777" w:rsidTr="00583732">
        <w:tc>
          <w:tcPr>
            <w:tcW w:w="2122" w:type="dxa"/>
            <w:vMerge/>
            <w:shd w:val="clear" w:color="auto" w:fill="auto"/>
          </w:tcPr>
          <w:p w14:paraId="31BA5CF1" w14:textId="77777777" w:rsidR="00344FCE" w:rsidRPr="00344FCE" w:rsidRDefault="00344FCE" w:rsidP="00344FCE">
            <w:pPr>
              <w:widowControl w:val="0"/>
              <w:pBdr>
                <w:top w:val="nil"/>
                <w:left w:val="nil"/>
                <w:bottom w:val="nil"/>
                <w:right w:val="nil"/>
                <w:between w:val="nil"/>
              </w:pBdr>
              <w:spacing w:before="0" w:after="0"/>
              <w:ind w:firstLine="0"/>
              <w:jc w:val="left"/>
              <w:rPr>
                <w:rFonts w:eastAsia="Times New Roman" w:cs="Times New Roman"/>
                <w:kern w:val="0"/>
                <w:lang w:val="ro-RO"/>
              </w:rPr>
            </w:pPr>
          </w:p>
        </w:tc>
        <w:tc>
          <w:tcPr>
            <w:tcW w:w="2693" w:type="dxa"/>
            <w:shd w:val="clear" w:color="auto" w:fill="auto"/>
          </w:tcPr>
          <w:p w14:paraId="558C4CD6" w14:textId="77777777" w:rsidR="00344FCE" w:rsidRPr="00344FCE" w:rsidRDefault="00344FCE" w:rsidP="00344FCE">
            <w:pPr>
              <w:spacing w:before="0" w:after="0" w:line="240" w:lineRule="auto"/>
              <w:ind w:firstLine="0"/>
              <w:jc w:val="left"/>
              <w:rPr>
                <w:rFonts w:eastAsia="Times New Roman" w:cs="Times New Roman"/>
                <w:kern w:val="0"/>
                <w:lang w:val="ro-RO"/>
              </w:rPr>
            </w:pPr>
          </w:p>
          <w:p w14:paraId="026C8BEE" w14:textId="77777777" w:rsidR="00344FCE" w:rsidRPr="00344FCE" w:rsidRDefault="00344FCE" w:rsidP="00344FCE">
            <w:pPr>
              <w:spacing w:before="0" w:after="0" w:line="240" w:lineRule="auto"/>
              <w:ind w:firstLine="0"/>
              <w:jc w:val="left"/>
              <w:rPr>
                <w:rFonts w:eastAsia="Times New Roman" w:cs="Times New Roman"/>
                <w:kern w:val="0"/>
                <w:lang w:val="ro-RO"/>
              </w:rPr>
            </w:pPr>
          </w:p>
          <w:p w14:paraId="1940E94D"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F.7 Dezvoltarea unui sistem eficient de supraveghere și control a utilizării resurselor zonei costiere</w:t>
            </w:r>
          </w:p>
        </w:tc>
        <w:tc>
          <w:tcPr>
            <w:tcW w:w="6520" w:type="dxa"/>
            <w:shd w:val="clear" w:color="auto" w:fill="auto"/>
          </w:tcPr>
          <w:p w14:paraId="6A42FF85"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dezvoltarea unor mecanisme pentru îmbunătățirea coordonării acțiunilor entităților/organizațiilor responsabile pentru supravegherea și controlul activităților de pescuit, poluării apelor subterane și de suprafață, poluării solului, construcțiilor ilegale, etc.;</w:t>
            </w:r>
          </w:p>
          <w:p w14:paraId="27518C47"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realizarea periodică de programe de instruire a personalului de control;</w:t>
            </w:r>
          </w:p>
          <w:p w14:paraId="7E7F360A"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 realizarea de programe de consolidare a capacităților tehnice (utilizarea unor mijloace moderne de control)de supraveghere și control, în special din perspectiva  prevenirii utilizării mijloacelor interzise în pescuit, introducerii interzise de specii invazive, construcţiilor ilegale, valorificării comerciale a patrimoniului natural şi cultural de pe uscat şi pe mare.</w:t>
            </w:r>
          </w:p>
        </w:tc>
        <w:tc>
          <w:tcPr>
            <w:tcW w:w="3261" w:type="dxa"/>
            <w:shd w:val="clear" w:color="auto" w:fill="auto"/>
          </w:tcPr>
          <w:p w14:paraId="71490AF3" w14:textId="77777777" w:rsidR="00344FCE" w:rsidRPr="00344FCE" w:rsidRDefault="00344FCE" w:rsidP="00344FCE">
            <w:pPr>
              <w:spacing w:before="0" w:after="0" w:line="240" w:lineRule="auto"/>
              <w:ind w:firstLine="0"/>
              <w:jc w:val="left"/>
              <w:rPr>
                <w:rFonts w:eastAsia="Times New Roman" w:cs="Times New Roman"/>
                <w:kern w:val="0"/>
                <w:lang w:val="ro-RO"/>
              </w:rPr>
            </w:pPr>
            <w:r w:rsidRPr="00344FCE">
              <w:rPr>
                <w:rFonts w:eastAsia="Times New Roman" w:cs="Times New Roman"/>
                <w:kern w:val="0"/>
                <w:lang w:val="ro-RO"/>
              </w:rPr>
              <w:t>Os4.a Gestionarea durabilă a resurselor zonei de coastă;</w:t>
            </w:r>
          </w:p>
          <w:p w14:paraId="1A360D15" w14:textId="77777777" w:rsidR="00344FCE" w:rsidRPr="00344FCE" w:rsidRDefault="00344FCE" w:rsidP="00344FCE">
            <w:pPr>
              <w:spacing w:before="0" w:line="240" w:lineRule="auto"/>
              <w:ind w:firstLine="0"/>
              <w:rPr>
                <w:rFonts w:eastAsia="Times New Roman" w:cs="Times New Roman"/>
                <w:kern w:val="0"/>
                <w:lang w:val="ro-RO"/>
              </w:rPr>
            </w:pPr>
            <w:r w:rsidRPr="00344FCE">
              <w:rPr>
                <w:rFonts w:eastAsia="Times New Roman" w:cs="Times New Roman"/>
                <w:kern w:val="0"/>
                <w:lang w:val="ro-RO"/>
              </w:rPr>
              <w:t xml:space="preserve">Os5.c Întărirea aplicării normelor specifice sectoarelor economice din zona costieră </w:t>
            </w:r>
          </w:p>
          <w:p w14:paraId="26A09B66" w14:textId="77777777" w:rsidR="00344FCE" w:rsidRPr="00344FCE" w:rsidRDefault="00344FCE" w:rsidP="00344FCE">
            <w:pPr>
              <w:spacing w:before="0" w:after="0" w:line="240" w:lineRule="auto"/>
              <w:ind w:firstLine="0"/>
              <w:jc w:val="left"/>
              <w:rPr>
                <w:rFonts w:eastAsia="Times New Roman" w:cs="Times New Roman"/>
                <w:kern w:val="0"/>
                <w:lang w:val="ro-RO"/>
              </w:rPr>
            </w:pPr>
          </w:p>
        </w:tc>
      </w:tr>
    </w:tbl>
    <w:p w14:paraId="29057D84" w14:textId="77777777" w:rsidR="00B50691" w:rsidRDefault="00B50691" w:rsidP="00BA1C09">
      <w:pPr>
        <w:ind w:firstLine="0"/>
        <w:rPr>
          <w:lang w:val="ro-RO"/>
        </w:rPr>
      </w:pPr>
    </w:p>
    <w:p w14:paraId="52AD0758" w14:textId="77777777" w:rsidR="00E441F9" w:rsidRDefault="00E441F9" w:rsidP="00BA1C09">
      <w:pPr>
        <w:ind w:firstLine="0"/>
        <w:rPr>
          <w:lang w:val="ro-RO"/>
        </w:rPr>
      </w:pPr>
    </w:p>
    <w:p w14:paraId="52FFA55E" w14:textId="77777777" w:rsidR="00E441F9" w:rsidRDefault="00E441F9" w:rsidP="00BA1C09">
      <w:pPr>
        <w:ind w:firstLine="0"/>
        <w:rPr>
          <w:lang w:val="ro-RO"/>
        </w:rPr>
      </w:pPr>
    </w:p>
    <w:p w14:paraId="3477DE4B" w14:textId="77777777" w:rsidR="00E441F9" w:rsidRDefault="00E441F9" w:rsidP="00BA1C09">
      <w:pPr>
        <w:ind w:firstLine="0"/>
        <w:rPr>
          <w:lang w:val="ro-RO"/>
        </w:rPr>
      </w:pPr>
    </w:p>
    <w:p w14:paraId="7597A03C" w14:textId="77777777" w:rsidR="00E441F9" w:rsidRDefault="00E441F9" w:rsidP="00BA1C09">
      <w:pPr>
        <w:ind w:firstLine="0"/>
        <w:rPr>
          <w:lang w:val="ro-RO"/>
        </w:rPr>
      </w:pPr>
    </w:p>
    <w:p w14:paraId="54EB1874" w14:textId="77777777" w:rsidR="00E441F9" w:rsidRDefault="00E441F9" w:rsidP="00BA1C09">
      <w:pPr>
        <w:ind w:firstLine="0"/>
        <w:rPr>
          <w:lang w:val="ro-RO"/>
        </w:rPr>
      </w:pPr>
    </w:p>
    <w:p w14:paraId="5A160151" w14:textId="77777777" w:rsidR="00E441F9" w:rsidRDefault="00E441F9" w:rsidP="00BA1C09">
      <w:pPr>
        <w:ind w:firstLine="0"/>
        <w:rPr>
          <w:lang w:val="ro-RO"/>
        </w:rPr>
      </w:pPr>
    </w:p>
    <w:p w14:paraId="4813AD01" w14:textId="77777777" w:rsidR="00BA434A" w:rsidRDefault="00BA434A" w:rsidP="00BA1C09">
      <w:pPr>
        <w:ind w:firstLine="0"/>
        <w:rPr>
          <w:lang w:val="ro-RO"/>
        </w:rPr>
      </w:pPr>
    </w:p>
    <w:p w14:paraId="193D5ED7" w14:textId="77777777" w:rsidR="00E441F9" w:rsidRPr="00B50691" w:rsidRDefault="00E441F9" w:rsidP="00BA1C09">
      <w:pPr>
        <w:ind w:firstLine="0"/>
        <w:rPr>
          <w:lang w:val="ro-RO"/>
        </w:rPr>
      </w:pPr>
    </w:p>
    <w:p w14:paraId="626C0C7C" w14:textId="77777777" w:rsidR="00B50691" w:rsidRPr="00B50691" w:rsidRDefault="00B50691" w:rsidP="00344FCE">
      <w:pPr>
        <w:pStyle w:val="Heading2"/>
      </w:pPr>
      <w:bookmarkStart w:id="167" w:name="_Toc150247025"/>
      <w:bookmarkStart w:id="168" w:name="_Toc169625161"/>
      <w:r w:rsidRPr="00B50691">
        <w:t>Anexa 3</w:t>
      </w:r>
      <w:bookmarkEnd w:id="167"/>
      <w:bookmarkEnd w:id="168"/>
    </w:p>
    <w:tbl>
      <w:tblPr>
        <w:tblW w:w="130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4536"/>
        <w:gridCol w:w="6237"/>
      </w:tblGrid>
      <w:tr w:rsidR="00344FCE" w:rsidRPr="00344FCE" w14:paraId="28086741" w14:textId="77777777" w:rsidTr="00583732">
        <w:tc>
          <w:tcPr>
            <w:tcW w:w="2263" w:type="dxa"/>
          </w:tcPr>
          <w:p w14:paraId="6627DB98" w14:textId="77777777" w:rsidR="00344FCE" w:rsidRPr="00344FCE" w:rsidRDefault="00344FCE" w:rsidP="00344FCE">
            <w:pPr>
              <w:spacing w:before="0" w:after="0"/>
              <w:ind w:firstLine="0"/>
              <w:contextualSpacing/>
              <w:jc w:val="left"/>
              <w:rPr>
                <w:rFonts w:cs="Times New Roman"/>
                <w:b/>
                <w:kern w:val="0"/>
                <w:lang w:val="ro-RO"/>
              </w:rPr>
            </w:pPr>
            <w:r w:rsidRPr="00344FCE">
              <w:rPr>
                <w:rFonts w:cs="Times New Roman"/>
                <w:b/>
                <w:kern w:val="0"/>
                <w:lang w:val="ro-RO"/>
              </w:rPr>
              <w:t>Obiectiv general</w:t>
            </w:r>
          </w:p>
        </w:tc>
        <w:tc>
          <w:tcPr>
            <w:tcW w:w="4536" w:type="dxa"/>
          </w:tcPr>
          <w:p w14:paraId="22203B4D" w14:textId="77777777" w:rsidR="00344FCE" w:rsidRPr="00344FCE" w:rsidRDefault="00344FCE" w:rsidP="00344FCE">
            <w:pPr>
              <w:spacing w:before="0" w:after="0"/>
              <w:ind w:firstLine="0"/>
              <w:contextualSpacing/>
              <w:jc w:val="left"/>
              <w:rPr>
                <w:rFonts w:cs="Times New Roman"/>
                <w:b/>
                <w:kern w:val="0"/>
                <w:lang w:val="ro-RO"/>
              </w:rPr>
            </w:pPr>
            <w:r w:rsidRPr="00344FCE">
              <w:rPr>
                <w:rFonts w:cs="Times New Roman"/>
                <w:b/>
                <w:kern w:val="0"/>
                <w:lang w:val="ro-RO"/>
              </w:rPr>
              <w:t>Indicator</w:t>
            </w:r>
          </w:p>
        </w:tc>
        <w:tc>
          <w:tcPr>
            <w:tcW w:w="6237" w:type="dxa"/>
          </w:tcPr>
          <w:p w14:paraId="498FADB9" w14:textId="77777777" w:rsidR="00344FCE" w:rsidRPr="00344FCE" w:rsidRDefault="00344FCE" w:rsidP="00344FCE">
            <w:pPr>
              <w:spacing w:before="0" w:after="0"/>
              <w:ind w:firstLine="0"/>
              <w:contextualSpacing/>
              <w:jc w:val="left"/>
              <w:rPr>
                <w:rFonts w:cs="Times New Roman"/>
                <w:b/>
                <w:kern w:val="0"/>
                <w:lang w:val="ro-RO"/>
              </w:rPr>
            </w:pPr>
            <w:r w:rsidRPr="00344FCE">
              <w:rPr>
                <w:rFonts w:cs="Times New Roman"/>
                <w:b/>
                <w:kern w:val="0"/>
                <w:lang w:val="ro-RO"/>
              </w:rPr>
              <w:t>Parametru măsurat</w:t>
            </w:r>
          </w:p>
        </w:tc>
      </w:tr>
      <w:tr w:rsidR="00344FCE" w:rsidRPr="00344FCE" w14:paraId="6780B7FE" w14:textId="77777777" w:rsidTr="00583732">
        <w:tc>
          <w:tcPr>
            <w:tcW w:w="2263" w:type="dxa"/>
            <w:vMerge w:val="restart"/>
          </w:tcPr>
          <w:p w14:paraId="656DE24E" w14:textId="77777777" w:rsidR="00344FCE" w:rsidRPr="00344FCE" w:rsidRDefault="00344FCE" w:rsidP="00344FCE">
            <w:pPr>
              <w:spacing w:before="0" w:after="0"/>
              <w:ind w:firstLine="0"/>
              <w:contextualSpacing/>
              <w:jc w:val="left"/>
              <w:rPr>
                <w:rFonts w:cs="Times New Roman"/>
                <w:kern w:val="0"/>
                <w:lang w:val="ro-RO"/>
              </w:rPr>
            </w:pPr>
          </w:p>
          <w:p w14:paraId="438FC54B" w14:textId="77777777" w:rsidR="00344FCE" w:rsidRPr="00344FCE" w:rsidRDefault="00344FCE" w:rsidP="00344FCE">
            <w:pPr>
              <w:spacing w:before="0" w:after="0"/>
              <w:ind w:firstLine="0"/>
              <w:contextualSpacing/>
              <w:jc w:val="left"/>
              <w:rPr>
                <w:rFonts w:cs="Times New Roman"/>
                <w:kern w:val="0"/>
                <w:lang w:val="ro-RO"/>
              </w:rPr>
            </w:pPr>
          </w:p>
          <w:p w14:paraId="7D90AADB" w14:textId="77777777" w:rsidR="00344FCE" w:rsidRPr="00344FCE" w:rsidRDefault="00344FCE" w:rsidP="00344FCE">
            <w:pPr>
              <w:spacing w:before="0" w:after="0"/>
              <w:ind w:firstLine="0"/>
              <w:contextualSpacing/>
              <w:jc w:val="left"/>
              <w:rPr>
                <w:rFonts w:cs="Times New Roman"/>
                <w:kern w:val="0"/>
                <w:lang w:val="ro-RO"/>
              </w:rPr>
            </w:pPr>
          </w:p>
          <w:p w14:paraId="31F780E1" w14:textId="77777777" w:rsidR="00344FCE" w:rsidRPr="00344FCE" w:rsidRDefault="00344FCE" w:rsidP="00344FCE">
            <w:pPr>
              <w:spacing w:before="0" w:after="0"/>
              <w:ind w:firstLine="0"/>
              <w:contextualSpacing/>
              <w:jc w:val="left"/>
              <w:rPr>
                <w:rFonts w:cs="Times New Roman"/>
                <w:kern w:val="0"/>
                <w:lang w:val="ro-RO"/>
              </w:rPr>
            </w:pPr>
          </w:p>
          <w:p w14:paraId="7F18122C" w14:textId="77777777" w:rsidR="00344FCE" w:rsidRPr="00344FCE" w:rsidRDefault="00344FCE" w:rsidP="00344FCE">
            <w:pPr>
              <w:spacing w:before="0" w:after="0"/>
              <w:ind w:firstLine="0"/>
              <w:contextualSpacing/>
              <w:jc w:val="left"/>
              <w:rPr>
                <w:rFonts w:cs="Times New Roman"/>
                <w:kern w:val="0"/>
                <w:lang w:val="ro-RO"/>
              </w:rPr>
            </w:pPr>
          </w:p>
          <w:p w14:paraId="597E2B67" w14:textId="77777777" w:rsidR="00344FCE" w:rsidRPr="00344FCE" w:rsidRDefault="00344FCE" w:rsidP="00344FCE">
            <w:pPr>
              <w:spacing w:before="0" w:after="0"/>
              <w:ind w:firstLine="0"/>
              <w:contextualSpacing/>
              <w:jc w:val="left"/>
              <w:rPr>
                <w:rFonts w:cs="Times New Roman"/>
                <w:kern w:val="0"/>
                <w:lang w:val="ro-RO"/>
              </w:rPr>
            </w:pPr>
          </w:p>
          <w:p w14:paraId="5853ED5A" w14:textId="77777777" w:rsidR="00344FCE" w:rsidRPr="00344FCE" w:rsidRDefault="00344FCE" w:rsidP="00344FCE">
            <w:pPr>
              <w:spacing w:before="0" w:after="0"/>
              <w:ind w:firstLine="0"/>
              <w:contextualSpacing/>
              <w:jc w:val="left"/>
              <w:rPr>
                <w:rFonts w:cs="Times New Roman"/>
                <w:kern w:val="0"/>
                <w:lang w:val="ro-RO"/>
              </w:rPr>
            </w:pPr>
          </w:p>
          <w:p w14:paraId="26C574DB" w14:textId="77777777" w:rsidR="00344FCE" w:rsidRPr="00344FCE" w:rsidRDefault="00344FCE" w:rsidP="00344FCE">
            <w:pPr>
              <w:spacing w:before="0" w:after="0"/>
              <w:ind w:firstLine="0"/>
              <w:contextualSpacing/>
              <w:jc w:val="left"/>
              <w:rPr>
                <w:rFonts w:cs="Times New Roman"/>
                <w:kern w:val="0"/>
                <w:lang w:val="ro-RO"/>
              </w:rPr>
            </w:pPr>
          </w:p>
          <w:p w14:paraId="0020C343" w14:textId="77777777" w:rsidR="00344FCE" w:rsidRPr="00344FCE" w:rsidRDefault="00344FCE" w:rsidP="00344FCE">
            <w:pPr>
              <w:spacing w:before="0" w:after="0"/>
              <w:ind w:firstLine="0"/>
              <w:contextualSpacing/>
              <w:jc w:val="left"/>
              <w:rPr>
                <w:rFonts w:cs="Times New Roman"/>
                <w:kern w:val="0"/>
                <w:lang w:val="ro-RO"/>
              </w:rPr>
            </w:pPr>
          </w:p>
          <w:p w14:paraId="03EFA2AE" w14:textId="77777777" w:rsidR="00344FCE" w:rsidRPr="00344FCE" w:rsidRDefault="00344FCE" w:rsidP="00344FCE">
            <w:pPr>
              <w:spacing w:before="0" w:after="0"/>
              <w:ind w:firstLine="0"/>
              <w:contextualSpacing/>
              <w:jc w:val="left"/>
              <w:rPr>
                <w:rFonts w:cs="Times New Roman"/>
                <w:kern w:val="0"/>
                <w:lang w:val="ro-RO"/>
              </w:rPr>
            </w:pPr>
          </w:p>
          <w:p w14:paraId="1B40AFAD"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Conservarea valorilor naturale, peisagistice și culturale</w:t>
            </w:r>
          </w:p>
          <w:p w14:paraId="1BA0461E" w14:textId="77777777" w:rsidR="00344FCE" w:rsidRPr="00344FCE" w:rsidRDefault="00344FCE" w:rsidP="00344FCE">
            <w:pPr>
              <w:spacing w:before="0" w:after="0"/>
              <w:ind w:firstLine="0"/>
              <w:contextualSpacing/>
              <w:jc w:val="left"/>
              <w:rPr>
                <w:rFonts w:cs="Times New Roman"/>
                <w:kern w:val="0"/>
                <w:lang w:val="ro-RO"/>
              </w:rPr>
            </w:pPr>
          </w:p>
          <w:p w14:paraId="6EAEBE61" w14:textId="77777777" w:rsidR="00344FCE" w:rsidRPr="00344FCE" w:rsidRDefault="00344FCE" w:rsidP="00344FCE">
            <w:pPr>
              <w:spacing w:before="0" w:after="0"/>
              <w:ind w:firstLine="0"/>
              <w:contextualSpacing/>
              <w:jc w:val="left"/>
              <w:rPr>
                <w:rFonts w:cs="Times New Roman"/>
                <w:kern w:val="0"/>
                <w:lang w:val="ro-RO"/>
              </w:rPr>
            </w:pPr>
          </w:p>
          <w:p w14:paraId="40CA90C1" w14:textId="77777777" w:rsidR="00344FCE" w:rsidRPr="00344FCE" w:rsidRDefault="00344FCE" w:rsidP="00344FCE">
            <w:pPr>
              <w:spacing w:before="0" w:after="0"/>
              <w:ind w:firstLine="0"/>
              <w:contextualSpacing/>
              <w:jc w:val="left"/>
              <w:rPr>
                <w:rFonts w:cs="Times New Roman"/>
                <w:kern w:val="0"/>
                <w:lang w:val="ro-RO"/>
              </w:rPr>
            </w:pPr>
          </w:p>
          <w:p w14:paraId="36200193" w14:textId="77777777" w:rsidR="00344FCE" w:rsidRPr="00344FCE" w:rsidRDefault="00344FCE" w:rsidP="00344FCE">
            <w:pPr>
              <w:spacing w:before="0" w:after="0"/>
              <w:ind w:firstLine="0"/>
              <w:contextualSpacing/>
              <w:jc w:val="left"/>
              <w:rPr>
                <w:rFonts w:cs="Times New Roman"/>
                <w:kern w:val="0"/>
                <w:lang w:val="ro-RO"/>
              </w:rPr>
            </w:pPr>
          </w:p>
          <w:p w14:paraId="04E9267E" w14:textId="77777777" w:rsidR="00344FCE" w:rsidRPr="00344FCE" w:rsidRDefault="00344FCE" w:rsidP="00344FCE">
            <w:pPr>
              <w:spacing w:before="0" w:after="0"/>
              <w:ind w:firstLine="0"/>
              <w:contextualSpacing/>
              <w:jc w:val="left"/>
              <w:rPr>
                <w:rFonts w:cs="Times New Roman"/>
                <w:kern w:val="0"/>
                <w:lang w:val="ro-RO"/>
              </w:rPr>
            </w:pPr>
          </w:p>
          <w:p w14:paraId="7F766B30" w14:textId="77777777" w:rsidR="00344FCE" w:rsidRPr="00344FCE" w:rsidRDefault="00344FCE" w:rsidP="00344FCE">
            <w:pPr>
              <w:spacing w:before="0" w:after="0"/>
              <w:ind w:firstLine="0"/>
              <w:contextualSpacing/>
              <w:jc w:val="left"/>
              <w:rPr>
                <w:rFonts w:cs="Times New Roman"/>
                <w:kern w:val="0"/>
                <w:lang w:val="ro-RO"/>
              </w:rPr>
            </w:pPr>
          </w:p>
          <w:p w14:paraId="7CFB1236" w14:textId="77777777" w:rsidR="00344FCE" w:rsidRPr="00344FCE" w:rsidRDefault="00344FCE" w:rsidP="00344FCE">
            <w:pPr>
              <w:spacing w:before="0" w:after="0"/>
              <w:ind w:firstLine="0"/>
              <w:contextualSpacing/>
              <w:jc w:val="left"/>
              <w:rPr>
                <w:rFonts w:cs="Times New Roman"/>
                <w:kern w:val="0"/>
                <w:lang w:val="ro-RO"/>
              </w:rPr>
            </w:pPr>
          </w:p>
          <w:p w14:paraId="46F69289" w14:textId="77777777" w:rsidR="00344FCE" w:rsidRPr="00344FCE" w:rsidRDefault="00344FCE" w:rsidP="00344FCE">
            <w:pPr>
              <w:spacing w:before="0" w:after="0"/>
              <w:ind w:firstLine="0"/>
              <w:contextualSpacing/>
              <w:jc w:val="left"/>
              <w:rPr>
                <w:rFonts w:cs="Times New Roman"/>
                <w:kern w:val="0"/>
                <w:lang w:val="ro-RO"/>
              </w:rPr>
            </w:pPr>
          </w:p>
          <w:p w14:paraId="7C60616A"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val="restart"/>
          </w:tcPr>
          <w:p w14:paraId="188622EF" w14:textId="77777777" w:rsidR="00344FCE" w:rsidRPr="00344FCE" w:rsidRDefault="00344FCE" w:rsidP="00344FCE">
            <w:pPr>
              <w:spacing w:before="0" w:after="0"/>
              <w:ind w:firstLine="0"/>
              <w:contextualSpacing/>
              <w:jc w:val="left"/>
              <w:rPr>
                <w:rFonts w:cs="Times New Roman"/>
                <w:kern w:val="0"/>
                <w:lang w:val="ro-RO"/>
              </w:rPr>
            </w:pPr>
          </w:p>
          <w:p w14:paraId="6CF6F560" w14:textId="77777777" w:rsidR="00344FCE" w:rsidRPr="00344FCE" w:rsidRDefault="00344FCE" w:rsidP="00344FCE">
            <w:pPr>
              <w:spacing w:before="0" w:after="0"/>
              <w:ind w:firstLine="0"/>
              <w:contextualSpacing/>
              <w:jc w:val="left"/>
              <w:rPr>
                <w:rFonts w:cs="Times New Roman"/>
                <w:kern w:val="0"/>
                <w:lang w:val="ro-RO"/>
              </w:rPr>
            </w:pPr>
          </w:p>
          <w:p w14:paraId="593059D0" w14:textId="77777777" w:rsidR="00344FCE" w:rsidRPr="00344FCE" w:rsidRDefault="00344FCE" w:rsidP="00344FCE">
            <w:pPr>
              <w:spacing w:before="0" w:after="0"/>
              <w:ind w:firstLine="0"/>
              <w:contextualSpacing/>
              <w:jc w:val="left"/>
              <w:rPr>
                <w:rFonts w:cs="Times New Roman"/>
                <w:kern w:val="0"/>
                <w:lang w:val="ro-RO"/>
              </w:rPr>
            </w:pPr>
          </w:p>
          <w:p w14:paraId="2EF256CE"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Protejarea patrimoniului cultural</w:t>
            </w:r>
          </w:p>
        </w:tc>
        <w:tc>
          <w:tcPr>
            <w:tcW w:w="6237" w:type="dxa"/>
          </w:tcPr>
          <w:p w14:paraId="21F8F94D"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 situri subacvatice inventariate</w:t>
            </w:r>
          </w:p>
        </w:tc>
      </w:tr>
      <w:tr w:rsidR="00344FCE" w:rsidRPr="00344FCE" w14:paraId="229084E4" w14:textId="77777777" w:rsidTr="00583732">
        <w:tc>
          <w:tcPr>
            <w:tcW w:w="2263" w:type="dxa"/>
            <w:vMerge/>
          </w:tcPr>
          <w:p w14:paraId="501F6DE1"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60C72C13"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53F2BEDA"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 monumente istorice și situri arheologice cu zone de protecție georeferențiate</w:t>
            </w:r>
          </w:p>
        </w:tc>
      </w:tr>
      <w:tr w:rsidR="00344FCE" w:rsidRPr="00344FCE" w14:paraId="1E6173CA" w14:textId="77777777" w:rsidTr="00583732">
        <w:tc>
          <w:tcPr>
            <w:tcW w:w="2263" w:type="dxa"/>
            <w:vMerge/>
          </w:tcPr>
          <w:p w14:paraId="1D46F48C"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462070E8"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65984A26"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 de monumente istorice și situri cadastrate</w:t>
            </w:r>
          </w:p>
        </w:tc>
      </w:tr>
      <w:tr w:rsidR="00344FCE" w:rsidRPr="00344FCE" w14:paraId="3FA131D0" w14:textId="77777777" w:rsidTr="00583732">
        <w:tc>
          <w:tcPr>
            <w:tcW w:w="2263" w:type="dxa"/>
            <w:vMerge/>
          </w:tcPr>
          <w:p w14:paraId="1BA3DA03"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77EF5F75"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352DF873"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Monumente istorice și situri arheologice protejate/conservate/restaurate</w:t>
            </w:r>
          </w:p>
        </w:tc>
      </w:tr>
      <w:tr w:rsidR="00344FCE" w:rsidRPr="00344FCE" w14:paraId="32343B5B" w14:textId="77777777" w:rsidTr="00583732">
        <w:tc>
          <w:tcPr>
            <w:tcW w:w="2263" w:type="dxa"/>
            <w:vMerge/>
          </w:tcPr>
          <w:p w14:paraId="2600D0D4"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08582DCF"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39E21B0B"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 planuri de peisaj elaborate</w:t>
            </w:r>
          </w:p>
        </w:tc>
      </w:tr>
      <w:tr w:rsidR="00344FCE" w:rsidRPr="00344FCE" w14:paraId="43260978" w14:textId="77777777" w:rsidTr="00583732">
        <w:tc>
          <w:tcPr>
            <w:tcW w:w="2263" w:type="dxa"/>
            <w:vMerge/>
          </w:tcPr>
          <w:p w14:paraId="18D5DB0B"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val="restart"/>
          </w:tcPr>
          <w:p w14:paraId="5F40E553"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Management eficient al ariilor protejate</w:t>
            </w:r>
          </w:p>
        </w:tc>
        <w:tc>
          <w:tcPr>
            <w:tcW w:w="6237" w:type="dxa"/>
          </w:tcPr>
          <w:p w14:paraId="57AA810F"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Suprafața totală a zonelor degradate din ariile protejate în urma desfășurării de activității umane</w:t>
            </w:r>
          </w:p>
        </w:tc>
      </w:tr>
      <w:tr w:rsidR="00344FCE" w:rsidRPr="00344FCE" w14:paraId="37818593" w14:textId="77777777" w:rsidTr="00583732">
        <w:tc>
          <w:tcPr>
            <w:tcW w:w="2263" w:type="dxa"/>
            <w:vMerge/>
          </w:tcPr>
          <w:p w14:paraId="25462573"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0F1772FD"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11A30EF5"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Rata pierderii sau deteriorării ariilor protejate</w:t>
            </w:r>
          </w:p>
        </w:tc>
      </w:tr>
      <w:tr w:rsidR="00344FCE" w:rsidRPr="00344FCE" w14:paraId="235BC515" w14:textId="77777777" w:rsidTr="00583732">
        <w:tc>
          <w:tcPr>
            <w:tcW w:w="2263" w:type="dxa"/>
            <w:vMerge/>
          </w:tcPr>
          <w:p w14:paraId="7EEE378F"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13D65D04"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21BB23DE"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 de măsuri incluse în planurile de management care sa corespunda dezideratului de conservare a ariilor protejate, a habitatelor naturale și a biodiversității</w:t>
            </w:r>
          </w:p>
        </w:tc>
      </w:tr>
      <w:tr w:rsidR="00344FCE" w:rsidRPr="00344FCE" w14:paraId="6BBAA6F0" w14:textId="77777777" w:rsidTr="00583732">
        <w:trPr>
          <w:trHeight w:val="592"/>
        </w:trPr>
        <w:tc>
          <w:tcPr>
            <w:tcW w:w="2263" w:type="dxa"/>
            <w:vMerge/>
          </w:tcPr>
          <w:p w14:paraId="12A46A68"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4892DEF7"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458072A3"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 de planuri de management elaborate / revizuite / implementate</w:t>
            </w:r>
            <w:r w:rsidRPr="00344FCE">
              <w:rPr>
                <w:rFonts w:cs="Times New Roman"/>
                <w:kern w:val="0"/>
                <w:lang w:val="ro-RO"/>
              </w:rPr>
              <w:tab/>
            </w:r>
          </w:p>
        </w:tc>
      </w:tr>
      <w:tr w:rsidR="00344FCE" w:rsidRPr="00344FCE" w14:paraId="19333427" w14:textId="77777777" w:rsidTr="00583732">
        <w:tc>
          <w:tcPr>
            <w:tcW w:w="2263" w:type="dxa"/>
            <w:vMerge/>
          </w:tcPr>
          <w:p w14:paraId="72A32937"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val="restart"/>
          </w:tcPr>
          <w:p w14:paraId="78710FB3"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Refacerea habitatelor folosind soluții bazate pe natură (nature-based solutions)</w:t>
            </w:r>
          </w:p>
        </w:tc>
        <w:tc>
          <w:tcPr>
            <w:tcW w:w="6237" w:type="dxa"/>
          </w:tcPr>
          <w:p w14:paraId="24743573"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Plan de refacere a habitatelor și de prevenire și reducere a impactului dezastrelor naturale.</w:t>
            </w:r>
          </w:p>
        </w:tc>
      </w:tr>
      <w:tr w:rsidR="00344FCE" w:rsidRPr="00344FCE" w14:paraId="64D499F3" w14:textId="77777777" w:rsidTr="00583732">
        <w:tc>
          <w:tcPr>
            <w:tcW w:w="2263" w:type="dxa"/>
            <w:vMerge/>
          </w:tcPr>
          <w:p w14:paraId="5C64788F"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1571EF3A"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4EF33F6A"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Suprafața habitatelor supuse procesului de refacere, raportată la suprafața totala a habitatelor de același tip din zona costiera</w:t>
            </w:r>
          </w:p>
        </w:tc>
      </w:tr>
      <w:tr w:rsidR="00344FCE" w:rsidRPr="00344FCE" w14:paraId="106AA2CB" w14:textId="77777777" w:rsidTr="00583732">
        <w:tc>
          <w:tcPr>
            <w:tcW w:w="2263" w:type="dxa"/>
            <w:vMerge/>
          </w:tcPr>
          <w:p w14:paraId="4B22F451"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val="restart"/>
          </w:tcPr>
          <w:p w14:paraId="170396A1"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Modificări în importanța speciilor și habitatelor din zona costieră</w:t>
            </w:r>
          </w:p>
        </w:tc>
        <w:tc>
          <w:tcPr>
            <w:tcW w:w="6237" w:type="dxa"/>
          </w:tcPr>
          <w:p w14:paraId="7FB651BC"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Starea și tendința speciilor și habitatelor costiere</w:t>
            </w:r>
          </w:p>
        </w:tc>
      </w:tr>
      <w:tr w:rsidR="00344FCE" w:rsidRPr="00344FCE" w14:paraId="1452C229" w14:textId="77777777" w:rsidTr="00583732">
        <w:tc>
          <w:tcPr>
            <w:tcW w:w="2263" w:type="dxa"/>
            <w:vMerge/>
          </w:tcPr>
          <w:p w14:paraId="65F40535"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5D78BCAF"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7BEB7E21"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 specii  per tip de habitat</w:t>
            </w:r>
          </w:p>
        </w:tc>
      </w:tr>
      <w:tr w:rsidR="00344FCE" w:rsidRPr="00344FCE" w14:paraId="282849C8" w14:textId="77777777" w:rsidTr="00583732">
        <w:tc>
          <w:tcPr>
            <w:tcW w:w="2263" w:type="dxa"/>
            <w:vMerge/>
          </w:tcPr>
          <w:p w14:paraId="45EF5046"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08E75BCF"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2EB9C787"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 specii din Lista Roșie</w:t>
            </w:r>
          </w:p>
        </w:tc>
      </w:tr>
      <w:tr w:rsidR="00344FCE" w:rsidRPr="00344FCE" w14:paraId="21C6565B" w14:textId="77777777" w:rsidTr="00583732">
        <w:trPr>
          <w:trHeight w:val="547"/>
        </w:trPr>
        <w:tc>
          <w:tcPr>
            <w:tcW w:w="2263" w:type="dxa"/>
            <w:vMerge/>
          </w:tcPr>
          <w:p w14:paraId="2CA338ED"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val="restart"/>
          </w:tcPr>
          <w:p w14:paraId="0CCBA994"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Valorizarea serviciilor ecosistemice din zona costieră</w:t>
            </w:r>
          </w:p>
        </w:tc>
        <w:tc>
          <w:tcPr>
            <w:tcW w:w="6237" w:type="dxa"/>
          </w:tcPr>
          <w:p w14:paraId="7C353F32"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 servicii ecosistemice identificate și evaluate în zona costieră.</w:t>
            </w:r>
          </w:p>
        </w:tc>
      </w:tr>
      <w:tr w:rsidR="00344FCE" w:rsidRPr="00344FCE" w14:paraId="60DAF345" w14:textId="77777777" w:rsidTr="00583732">
        <w:trPr>
          <w:trHeight w:val="692"/>
        </w:trPr>
        <w:tc>
          <w:tcPr>
            <w:tcW w:w="2263" w:type="dxa"/>
            <w:vMerge/>
          </w:tcPr>
          <w:p w14:paraId="50EB97D5"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792C97BF"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3EC684A1"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 servicii ecosistemice valorizate prin instrumente economice</w:t>
            </w:r>
          </w:p>
        </w:tc>
      </w:tr>
      <w:tr w:rsidR="00344FCE" w:rsidRPr="00344FCE" w14:paraId="41C2A51D" w14:textId="77777777" w:rsidTr="00583732">
        <w:trPr>
          <w:trHeight w:val="676"/>
        </w:trPr>
        <w:tc>
          <w:tcPr>
            <w:tcW w:w="2263" w:type="dxa"/>
            <w:vMerge/>
          </w:tcPr>
          <w:p w14:paraId="4AB395A7"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val="restart"/>
          </w:tcPr>
          <w:p w14:paraId="6680FD9C" w14:textId="77777777" w:rsidR="00344FCE" w:rsidRPr="00344FCE" w:rsidRDefault="00344FCE" w:rsidP="00344FCE">
            <w:pPr>
              <w:spacing w:before="0" w:after="0"/>
              <w:ind w:firstLine="0"/>
              <w:contextualSpacing/>
              <w:jc w:val="left"/>
              <w:rPr>
                <w:rFonts w:cs="Times New Roman"/>
                <w:kern w:val="0"/>
                <w:lang w:val="ro-RO"/>
              </w:rPr>
            </w:pPr>
          </w:p>
          <w:p w14:paraId="7D8E309F" w14:textId="77777777" w:rsidR="00344FCE" w:rsidRPr="00344FCE" w:rsidRDefault="00344FCE" w:rsidP="00344FCE">
            <w:pPr>
              <w:spacing w:before="0" w:after="0"/>
              <w:ind w:firstLine="0"/>
              <w:contextualSpacing/>
              <w:jc w:val="left"/>
              <w:rPr>
                <w:rFonts w:cs="Times New Roman"/>
                <w:kern w:val="0"/>
                <w:lang w:val="ro-RO"/>
              </w:rPr>
            </w:pPr>
          </w:p>
          <w:p w14:paraId="52EC33A1" w14:textId="77777777" w:rsidR="00344FCE" w:rsidRPr="00344FCE" w:rsidRDefault="00344FCE" w:rsidP="00344FCE">
            <w:pPr>
              <w:spacing w:before="0" w:after="0"/>
              <w:ind w:firstLine="0"/>
              <w:contextualSpacing/>
              <w:jc w:val="left"/>
              <w:rPr>
                <w:rFonts w:cs="Times New Roman"/>
                <w:kern w:val="0"/>
                <w:lang w:val="ro-RO"/>
              </w:rPr>
            </w:pPr>
          </w:p>
          <w:p w14:paraId="4A8588AC"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Specii invazive</w:t>
            </w:r>
          </w:p>
        </w:tc>
        <w:tc>
          <w:tcPr>
            <w:tcW w:w="6237" w:type="dxa"/>
          </w:tcPr>
          <w:p w14:paraId="7FD8F883"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Numărul de specii alogene invazive pentru care s-au prevăzut măsuri de eradicare/ limitare /control al populațiilor</w:t>
            </w:r>
          </w:p>
        </w:tc>
      </w:tr>
      <w:tr w:rsidR="00344FCE" w:rsidRPr="00344FCE" w14:paraId="2DD2C8DD" w14:textId="77777777" w:rsidTr="00583732">
        <w:trPr>
          <w:trHeight w:val="676"/>
        </w:trPr>
        <w:tc>
          <w:tcPr>
            <w:tcW w:w="2263" w:type="dxa"/>
            <w:vMerge/>
          </w:tcPr>
          <w:p w14:paraId="6345162F"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6C71024E"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4672667E"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 de specii alohtone/invazive introduse prin activități umane (acvacultură, transport naval, comerț, etc)</w:t>
            </w:r>
          </w:p>
        </w:tc>
      </w:tr>
      <w:tr w:rsidR="00344FCE" w:rsidRPr="00344FCE" w14:paraId="5060A92F" w14:textId="77777777" w:rsidTr="00583732">
        <w:trPr>
          <w:trHeight w:val="321"/>
        </w:trPr>
        <w:tc>
          <w:tcPr>
            <w:tcW w:w="2263" w:type="dxa"/>
            <w:vMerge/>
          </w:tcPr>
          <w:p w14:paraId="0A709F01"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1D909F3D"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5039B1A3"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 de specii alohtone potențial invazive în zona costiera</w:t>
            </w:r>
          </w:p>
        </w:tc>
      </w:tr>
      <w:tr w:rsidR="00344FCE" w:rsidRPr="00344FCE" w14:paraId="37ED7347" w14:textId="77777777" w:rsidTr="0084413B">
        <w:trPr>
          <w:trHeight w:val="710"/>
        </w:trPr>
        <w:tc>
          <w:tcPr>
            <w:tcW w:w="2263" w:type="dxa"/>
            <w:vMerge w:val="restart"/>
          </w:tcPr>
          <w:p w14:paraId="27474A4A" w14:textId="77777777" w:rsidR="00344FCE" w:rsidRPr="00344FCE" w:rsidRDefault="00344FCE" w:rsidP="00344FCE">
            <w:pPr>
              <w:spacing w:before="0" w:after="0"/>
              <w:ind w:firstLine="0"/>
              <w:contextualSpacing/>
              <w:jc w:val="left"/>
              <w:rPr>
                <w:rFonts w:cs="Times New Roman"/>
                <w:kern w:val="0"/>
                <w:lang w:val="ro-RO"/>
              </w:rPr>
            </w:pPr>
          </w:p>
          <w:p w14:paraId="74F9C708" w14:textId="77777777" w:rsidR="00344FCE" w:rsidRPr="00344FCE" w:rsidRDefault="00344FCE" w:rsidP="00344FCE">
            <w:pPr>
              <w:spacing w:before="0" w:after="0"/>
              <w:ind w:firstLine="0"/>
              <w:contextualSpacing/>
              <w:jc w:val="left"/>
              <w:rPr>
                <w:rFonts w:cs="Times New Roman"/>
                <w:kern w:val="0"/>
                <w:lang w:val="ro-RO"/>
              </w:rPr>
            </w:pPr>
          </w:p>
          <w:p w14:paraId="2D55690E" w14:textId="77777777" w:rsidR="00344FCE" w:rsidRPr="00344FCE" w:rsidRDefault="00344FCE" w:rsidP="00344FCE">
            <w:pPr>
              <w:spacing w:before="0" w:after="0"/>
              <w:ind w:firstLine="0"/>
              <w:contextualSpacing/>
              <w:jc w:val="left"/>
              <w:rPr>
                <w:rFonts w:cs="Times New Roman"/>
                <w:kern w:val="0"/>
                <w:lang w:val="ro-RO"/>
              </w:rPr>
            </w:pPr>
          </w:p>
          <w:p w14:paraId="40AC0E56" w14:textId="77777777" w:rsidR="00344FCE" w:rsidRPr="00344FCE" w:rsidRDefault="00344FCE" w:rsidP="00344FCE">
            <w:pPr>
              <w:spacing w:before="0" w:after="0"/>
              <w:ind w:firstLine="0"/>
              <w:contextualSpacing/>
              <w:jc w:val="left"/>
              <w:rPr>
                <w:rFonts w:cs="Times New Roman"/>
                <w:kern w:val="0"/>
                <w:lang w:val="ro-RO"/>
              </w:rPr>
            </w:pPr>
          </w:p>
          <w:p w14:paraId="23AEC153" w14:textId="77777777" w:rsidR="00344FCE" w:rsidRPr="00344FCE" w:rsidRDefault="00344FCE" w:rsidP="00344FCE">
            <w:pPr>
              <w:spacing w:before="0" w:after="0"/>
              <w:ind w:firstLine="0"/>
              <w:contextualSpacing/>
              <w:jc w:val="left"/>
              <w:rPr>
                <w:rFonts w:cs="Times New Roman"/>
                <w:kern w:val="0"/>
                <w:lang w:val="ro-RO"/>
              </w:rPr>
            </w:pPr>
          </w:p>
          <w:p w14:paraId="023B5CF4" w14:textId="77777777" w:rsidR="00344FCE" w:rsidRPr="00344FCE" w:rsidRDefault="00344FCE" w:rsidP="00344FCE">
            <w:pPr>
              <w:spacing w:before="0" w:after="0"/>
              <w:ind w:firstLine="0"/>
              <w:contextualSpacing/>
              <w:jc w:val="left"/>
              <w:rPr>
                <w:rFonts w:cs="Times New Roman"/>
                <w:kern w:val="0"/>
                <w:lang w:val="ro-RO"/>
              </w:rPr>
            </w:pPr>
          </w:p>
          <w:p w14:paraId="3A69C147" w14:textId="77777777" w:rsidR="00344FCE" w:rsidRPr="00344FCE" w:rsidRDefault="00344FCE" w:rsidP="00344FCE">
            <w:pPr>
              <w:spacing w:before="0" w:after="0"/>
              <w:ind w:firstLine="0"/>
              <w:contextualSpacing/>
              <w:jc w:val="left"/>
              <w:rPr>
                <w:rFonts w:cs="Times New Roman"/>
                <w:kern w:val="0"/>
                <w:lang w:val="ro-RO"/>
              </w:rPr>
            </w:pPr>
          </w:p>
          <w:p w14:paraId="062882F6" w14:textId="77777777" w:rsidR="00344FCE" w:rsidRPr="00344FCE" w:rsidRDefault="00344FCE" w:rsidP="00344FCE">
            <w:pPr>
              <w:spacing w:before="0" w:after="0"/>
              <w:ind w:firstLine="0"/>
              <w:contextualSpacing/>
              <w:jc w:val="left"/>
              <w:rPr>
                <w:rFonts w:cs="Times New Roman"/>
                <w:kern w:val="0"/>
                <w:lang w:val="ro-RO"/>
              </w:rPr>
            </w:pPr>
          </w:p>
          <w:p w14:paraId="5B34CA64" w14:textId="77777777" w:rsidR="00344FCE" w:rsidRPr="00344FCE" w:rsidRDefault="00344FCE" w:rsidP="00344FCE">
            <w:pPr>
              <w:spacing w:before="0" w:after="0"/>
              <w:ind w:firstLine="0"/>
              <w:contextualSpacing/>
              <w:jc w:val="left"/>
              <w:rPr>
                <w:rFonts w:cs="Times New Roman"/>
                <w:kern w:val="0"/>
                <w:lang w:val="ro-RO"/>
              </w:rPr>
            </w:pPr>
          </w:p>
          <w:p w14:paraId="134552EB" w14:textId="77777777" w:rsidR="00344FCE" w:rsidRPr="00344FCE" w:rsidRDefault="00344FCE" w:rsidP="00344FCE">
            <w:pPr>
              <w:spacing w:before="0" w:after="0"/>
              <w:ind w:firstLine="0"/>
              <w:contextualSpacing/>
              <w:jc w:val="left"/>
              <w:rPr>
                <w:rFonts w:cs="Times New Roman"/>
                <w:kern w:val="0"/>
                <w:lang w:val="ro-RO"/>
              </w:rPr>
            </w:pPr>
          </w:p>
          <w:p w14:paraId="658ACD1F"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 xml:space="preserve">Prevenirea, reducerea și </w:t>
            </w:r>
            <w:r w:rsidRPr="00344FCE">
              <w:rPr>
                <w:rFonts w:cs="Times New Roman"/>
                <w:kern w:val="0"/>
                <w:lang w:val="ro-RO"/>
              </w:rPr>
              <w:lastRenderedPageBreak/>
              <w:t xml:space="preserve">remedierea efectelor schimbărilor climatice și poluării </w:t>
            </w:r>
          </w:p>
          <w:p w14:paraId="18EC109B" w14:textId="77777777" w:rsidR="00344FCE" w:rsidRPr="00344FCE" w:rsidRDefault="00344FCE" w:rsidP="00344FCE">
            <w:pPr>
              <w:spacing w:before="0" w:after="0"/>
              <w:ind w:firstLine="0"/>
              <w:contextualSpacing/>
              <w:jc w:val="left"/>
              <w:rPr>
                <w:rFonts w:cs="Times New Roman"/>
                <w:kern w:val="0"/>
                <w:lang w:val="ro-RO"/>
              </w:rPr>
            </w:pPr>
          </w:p>
          <w:p w14:paraId="3345C4D4" w14:textId="77777777" w:rsidR="00344FCE" w:rsidRPr="00344FCE" w:rsidRDefault="00344FCE" w:rsidP="00344FCE">
            <w:pPr>
              <w:spacing w:before="0" w:after="0"/>
              <w:ind w:firstLine="0"/>
              <w:contextualSpacing/>
              <w:jc w:val="left"/>
              <w:rPr>
                <w:rFonts w:cs="Times New Roman"/>
                <w:kern w:val="0"/>
                <w:lang w:val="ro-RO"/>
              </w:rPr>
            </w:pPr>
          </w:p>
          <w:p w14:paraId="169CCD8A" w14:textId="77777777" w:rsidR="00344FCE" w:rsidRPr="00344FCE" w:rsidRDefault="00344FCE" w:rsidP="00344FCE">
            <w:pPr>
              <w:spacing w:before="0" w:after="0"/>
              <w:ind w:firstLine="0"/>
              <w:contextualSpacing/>
              <w:jc w:val="left"/>
              <w:rPr>
                <w:rFonts w:cs="Times New Roman"/>
                <w:kern w:val="0"/>
                <w:lang w:val="ro-RO"/>
              </w:rPr>
            </w:pPr>
          </w:p>
          <w:p w14:paraId="1885D66A" w14:textId="77777777" w:rsidR="00344FCE" w:rsidRPr="00344FCE" w:rsidRDefault="00344FCE" w:rsidP="00344FCE">
            <w:pPr>
              <w:spacing w:before="0" w:after="0"/>
              <w:ind w:firstLine="0"/>
              <w:contextualSpacing/>
              <w:jc w:val="left"/>
              <w:rPr>
                <w:rFonts w:cs="Times New Roman"/>
                <w:kern w:val="0"/>
                <w:lang w:val="ro-RO"/>
              </w:rPr>
            </w:pPr>
          </w:p>
          <w:p w14:paraId="617F6B96" w14:textId="77777777" w:rsidR="00344FCE" w:rsidRPr="00344FCE" w:rsidRDefault="00344FCE" w:rsidP="00344FCE">
            <w:pPr>
              <w:spacing w:before="0" w:after="0"/>
              <w:ind w:firstLine="0"/>
              <w:contextualSpacing/>
              <w:jc w:val="left"/>
              <w:rPr>
                <w:rFonts w:cs="Times New Roman"/>
                <w:kern w:val="0"/>
                <w:lang w:val="ro-RO"/>
              </w:rPr>
            </w:pPr>
          </w:p>
          <w:p w14:paraId="704F337A" w14:textId="77777777" w:rsidR="00344FCE" w:rsidRPr="00344FCE" w:rsidRDefault="00344FCE" w:rsidP="00344FCE">
            <w:pPr>
              <w:spacing w:before="0" w:after="0"/>
              <w:ind w:firstLine="0"/>
              <w:contextualSpacing/>
              <w:jc w:val="left"/>
              <w:rPr>
                <w:rFonts w:cs="Times New Roman"/>
                <w:kern w:val="0"/>
                <w:lang w:val="ro-RO"/>
              </w:rPr>
            </w:pPr>
          </w:p>
          <w:p w14:paraId="2976D54B" w14:textId="77777777" w:rsidR="00344FCE" w:rsidRPr="00344FCE" w:rsidRDefault="00344FCE" w:rsidP="00344FCE">
            <w:pPr>
              <w:spacing w:before="0" w:after="0"/>
              <w:ind w:firstLine="0"/>
              <w:contextualSpacing/>
              <w:jc w:val="left"/>
              <w:rPr>
                <w:rFonts w:cs="Times New Roman"/>
                <w:kern w:val="0"/>
                <w:lang w:val="ro-RO"/>
              </w:rPr>
            </w:pPr>
          </w:p>
          <w:p w14:paraId="4EE16F65" w14:textId="77777777" w:rsidR="00344FCE" w:rsidRPr="00344FCE" w:rsidRDefault="00344FCE" w:rsidP="00344FCE">
            <w:pPr>
              <w:spacing w:before="0" w:after="0"/>
              <w:ind w:firstLine="0"/>
              <w:contextualSpacing/>
              <w:jc w:val="left"/>
              <w:rPr>
                <w:rFonts w:cs="Times New Roman"/>
                <w:kern w:val="0"/>
                <w:lang w:val="ro-RO"/>
              </w:rPr>
            </w:pPr>
          </w:p>
          <w:p w14:paraId="397B44AB" w14:textId="77777777" w:rsidR="00344FCE" w:rsidRPr="00344FCE" w:rsidRDefault="00344FCE" w:rsidP="00344FCE">
            <w:pPr>
              <w:spacing w:before="0" w:after="0"/>
              <w:ind w:firstLine="0"/>
              <w:contextualSpacing/>
              <w:jc w:val="left"/>
              <w:rPr>
                <w:rFonts w:cs="Times New Roman"/>
                <w:kern w:val="0"/>
                <w:lang w:val="ro-RO"/>
              </w:rPr>
            </w:pPr>
          </w:p>
          <w:p w14:paraId="490618D5" w14:textId="77777777" w:rsidR="00344FCE" w:rsidRPr="00344FCE" w:rsidRDefault="00344FCE" w:rsidP="00344FCE">
            <w:pPr>
              <w:spacing w:before="0" w:after="0"/>
              <w:ind w:firstLine="0"/>
              <w:contextualSpacing/>
              <w:jc w:val="left"/>
              <w:rPr>
                <w:rFonts w:cs="Times New Roman"/>
                <w:kern w:val="0"/>
                <w:lang w:val="ro-RO"/>
              </w:rPr>
            </w:pPr>
          </w:p>
          <w:p w14:paraId="09F36C83" w14:textId="77777777" w:rsidR="00344FCE" w:rsidRPr="00344FCE" w:rsidRDefault="00344FCE" w:rsidP="00344FCE">
            <w:pPr>
              <w:spacing w:before="0" w:after="0"/>
              <w:ind w:firstLine="0"/>
              <w:contextualSpacing/>
              <w:jc w:val="left"/>
              <w:rPr>
                <w:rFonts w:cs="Times New Roman"/>
                <w:kern w:val="0"/>
                <w:lang w:val="ro-RO"/>
              </w:rPr>
            </w:pPr>
          </w:p>
          <w:p w14:paraId="5A969BDB" w14:textId="77777777" w:rsidR="00344FCE" w:rsidRPr="00344FCE" w:rsidRDefault="00344FCE" w:rsidP="00344FCE">
            <w:pPr>
              <w:spacing w:before="0" w:after="0"/>
              <w:ind w:firstLine="0"/>
              <w:contextualSpacing/>
              <w:jc w:val="left"/>
              <w:rPr>
                <w:rFonts w:cs="Times New Roman"/>
                <w:kern w:val="0"/>
                <w:lang w:val="ro-RO"/>
              </w:rPr>
            </w:pPr>
          </w:p>
          <w:p w14:paraId="5EE5F839" w14:textId="77777777" w:rsidR="00344FCE" w:rsidRPr="00344FCE" w:rsidRDefault="00344FCE" w:rsidP="00344FCE">
            <w:pPr>
              <w:spacing w:before="0" w:after="0"/>
              <w:ind w:firstLine="0"/>
              <w:contextualSpacing/>
              <w:jc w:val="left"/>
              <w:rPr>
                <w:rFonts w:cs="Times New Roman"/>
                <w:kern w:val="0"/>
                <w:lang w:val="ro-RO"/>
              </w:rPr>
            </w:pPr>
          </w:p>
          <w:p w14:paraId="3770907A" w14:textId="77777777" w:rsidR="00344FCE" w:rsidRPr="00344FCE" w:rsidRDefault="00344FCE" w:rsidP="00344FCE">
            <w:pPr>
              <w:spacing w:before="0" w:after="0"/>
              <w:ind w:firstLine="0"/>
              <w:contextualSpacing/>
              <w:jc w:val="left"/>
              <w:rPr>
                <w:rFonts w:cs="Times New Roman"/>
                <w:kern w:val="0"/>
                <w:lang w:val="ro-RO"/>
              </w:rPr>
            </w:pPr>
          </w:p>
          <w:p w14:paraId="74637621" w14:textId="77777777" w:rsidR="00344FCE" w:rsidRPr="00344FCE" w:rsidRDefault="00344FCE" w:rsidP="00344FCE">
            <w:pPr>
              <w:spacing w:before="0" w:after="0"/>
              <w:ind w:firstLine="0"/>
              <w:contextualSpacing/>
              <w:jc w:val="left"/>
              <w:rPr>
                <w:rFonts w:cs="Times New Roman"/>
                <w:kern w:val="0"/>
                <w:lang w:val="ro-RO"/>
              </w:rPr>
            </w:pPr>
          </w:p>
          <w:p w14:paraId="26B7B9B7" w14:textId="77777777" w:rsidR="00344FCE" w:rsidRPr="00344FCE" w:rsidRDefault="00344FCE" w:rsidP="00344FCE">
            <w:pPr>
              <w:spacing w:before="0" w:after="0"/>
              <w:ind w:firstLine="0"/>
              <w:contextualSpacing/>
              <w:jc w:val="left"/>
              <w:rPr>
                <w:rFonts w:cs="Times New Roman"/>
                <w:kern w:val="0"/>
                <w:lang w:val="ro-RO"/>
              </w:rPr>
            </w:pPr>
          </w:p>
          <w:p w14:paraId="715C6058" w14:textId="77777777" w:rsidR="00344FCE" w:rsidRPr="00344FCE" w:rsidRDefault="00344FCE" w:rsidP="00344FCE">
            <w:pPr>
              <w:spacing w:before="0" w:after="0"/>
              <w:ind w:firstLine="0"/>
              <w:contextualSpacing/>
              <w:jc w:val="left"/>
              <w:rPr>
                <w:rFonts w:cs="Times New Roman"/>
                <w:kern w:val="0"/>
                <w:lang w:val="ro-RO"/>
              </w:rPr>
            </w:pPr>
          </w:p>
          <w:p w14:paraId="7FE8F904" w14:textId="77777777" w:rsidR="00344FCE" w:rsidRPr="00344FCE" w:rsidRDefault="00344FCE" w:rsidP="00344FCE">
            <w:pPr>
              <w:spacing w:before="0" w:after="0"/>
              <w:ind w:firstLine="0"/>
              <w:contextualSpacing/>
              <w:jc w:val="left"/>
              <w:rPr>
                <w:rFonts w:cs="Times New Roman"/>
                <w:kern w:val="0"/>
                <w:lang w:val="ro-RO"/>
              </w:rPr>
            </w:pPr>
          </w:p>
          <w:p w14:paraId="27A601C5" w14:textId="77777777" w:rsidR="00344FCE" w:rsidRPr="00344FCE" w:rsidRDefault="00344FCE" w:rsidP="00344FCE">
            <w:pPr>
              <w:spacing w:before="0" w:after="0"/>
              <w:ind w:firstLine="0"/>
              <w:contextualSpacing/>
              <w:jc w:val="left"/>
              <w:rPr>
                <w:rFonts w:cs="Times New Roman"/>
                <w:kern w:val="0"/>
                <w:lang w:val="ro-RO"/>
              </w:rPr>
            </w:pPr>
          </w:p>
          <w:p w14:paraId="269EAB06" w14:textId="77777777" w:rsidR="00344FCE" w:rsidRDefault="00344FCE" w:rsidP="00344FCE">
            <w:pPr>
              <w:spacing w:before="0" w:after="0"/>
              <w:ind w:firstLine="0"/>
              <w:contextualSpacing/>
              <w:jc w:val="left"/>
              <w:rPr>
                <w:rFonts w:cs="Times New Roman"/>
                <w:kern w:val="0"/>
                <w:lang w:val="ro-RO"/>
              </w:rPr>
            </w:pPr>
          </w:p>
          <w:p w14:paraId="7D8F9735" w14:textId="77777777" w:rsidR="0084413B" w:rsidRDefault="0084413B" w:rsidP="00344FCE">
            <w:pPr>
              <w:spacing w:before="0" w:after="0"/>
              <w:ind w:firstLine="0"/>
              <w:contextualSpacing/>
              <w:jc w:val="left"/>
              <w:rPr>
                <w:rFonts w:cs="Times New Roman"/>
                <w:kern w:val="0"/>
                <w:lang w:val="ro-RO"/>
              </w:rPr>
            </w:pPr>
          </w:p>
          <w:p w14:paraId="4F1A31DA" w14:textId="77777777" w:rsidR="0084413B" w:rsidRPr="00344FCE" w:rsidRDefault="0084413B" w:rsidP="00344FCE">
            <w:pPr>
              <w:spacing w:before="0" w:after="0"/>
              <w:ind w:firstLine="0"/>
              <w:contextualSpacing/>
              <w:jc w:val="left"/>
              <w:rPr>
                <w:rFonts w:cs="Times New Roman"/>
                <w:kern w:val="0"/>
                <w:lang w:val="ro-RO"/>
              </w:rPr>
            </w:pPr>
          </w:p>
          <w:p w14:paraId="3013D175"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lastRenderedPageBreak/>
              <w:t xml:space="preserve">Prevenirea, reducerea și remedierea efectelor schimbărilor climatice și poluării </w:t>
            </w:r>
          </w:p>
          <w:p w14:paraId="03574BE6" w14:textId="77777777" w:rsidR="00344FCE" w:rsidRPr="00344FCE" w:rsidRDefault="00344FCE" w:rsidP="00344FCE">
            <w:pPr>
              <w:spacing w:before="0" w:after="0"/>
              <w:ind w:firstLine="0"/>
              <w:contextualSpacing/>
              <w:jc w:val="left"/>
              <w:rPr>
                <w:rFonts w:cs="Times New Roman"/>
                <w:kern w:val="0"/>
                <w:lang w:val="ro-RO"/>
              </w:rPr>
            </w:pPr>
          </w:p>
          <w:p w14:paraId="47077A97" w14:textId="77777777" w:rsidR="00344FCE" w:rsidRPr="00344FCE" w:rsidRDefault="00344FCE" w:rsidP="00344FCE">
            <w:pPr>
              <w:spacing w:before="0" w:after="0"/>
              <w:ind w:firstLine="0"/>
              <w:contextualSpacing/>
              <w:jc w:val="left"/>
              <w:rPr>
                <w:rFonts w:cs="Times New Roman"/>
                <w:kern w:val="0"/>
                <w:lang w:val="ro-RO"/>
              </w:rPr>
            </w:pPr>
          </w:p>
          <w:p w14:paraId="04F6CA00" w14:textId="77777777" w:rsidR="00344FCE" w:rsidRPr="00344FCE" w:rsidRDefault="00344FCE" w:rsidP="00344FCE">
            <w:pPr>
              <w:spacing w:before="0" w:after="0"/>
              <w:ind w:firstLine="0"/>
              <w:contextualSpacing/>
              <w:jc w:val="left"/>
              <w:rPr>
                <w:rFonts w:cs="Times New Roman"/>
                <w:kern w:val="0"/>
                <w:lang w:val="ro-RO"/>
              </w:rPr>
            </w:pPr>
          </w:p>
          <w:p w14:paraId="0AB01EFF" w14:textId="77777777" w:rsidR="00344FCE" w:rsidRPr="00344FCE" w:rsidRDefault="00344FCE" w:rsidP="00344FCE">
            <w:pPr>
              <w:spacing w:before="0" w:after="0"/>
              <w:ind w:firstLine="0"/>
              <w:contextualSpacing/>
              <w:jc w:val="left"/>
              <w:rPr>
                <w:rFonts w:cs="Times New Roman"/>
                <w:kern w:val="0"/>
                <w:lang w:val="ro-RO"/>
              </w:rPr>
            </w:pPr>
          </w:p>
          <w:p w14:paraId="21A1CA92" w14:textId="77777777" w:rsidR="00344FCE" w:rsidRPr="00344FCE" w:rsidRDefault="00344FCE" w:rsidP="00344FCE">
            <w:pPr>
              <w:spacing w:before="0" w:after="0"/>
              <w:ind w:firstLine="0"/>
              <w:contextualSpacing/>
              <w:jc w:val="left"/>
              <w:rPr>
                <w:rFonts w:cs="Times New Roman"/>
                <w:kern w:val="0"/>
                <w:lang w:val="ro-RO"/>
              </w:rPr>
            </w:pPr>
          </w:p>
          <w:p w14:paraId="56E503C7" w14:textId="77777777" w:rsidR="00344FCE" w:rsidRPr="00344FCE" w:rsidRDefault="00344FCE" w:rsidP="00344FCE">
            <w:pPr>
              <w:spacing w:before="0" w:after="0"/>
              <w:ind w:firstLine="0"/>
              <w:contextualSpacing/>
              <w:jc w:val="left"/>
              <w:rPr>
                <w:rFonts w:cs="Times New Roman"/>
                <w:kern w:val="0"/>
                <w:lang w:val="ro-RO"/>
              </w:rPr>
            </w:pPr>
          </w:p>
          <w:p w14:paraId="2ACEC0BC" w14:textId="77777777" w:rsidR="00344FCE" w:rsidRPr="00344FCE" w:rsidRDefault="00344FCE" w:rsidP="00344FCE">
            <w:pPr>
              <w:spacing w:before="0" w:after="0"/>
              <w:ind w:firstLine="0"/>
              <w:contextualSpacing/>
              <w:jc w:val="left"/>
              <w:rPr>
                <w:rFonts w:cs="Times New Roman"/>
                <w:kern w:val="0"/>
                <w:lang w:val="ro-RO"/>
              </w:rPr>
            </w:pPr>
          </w:p>
          <w:p w14:paraId="58C4C529" w14:textId="77777777" w:rsidR="00344FCE" w:rsidRPr="00344FCE" w:rsidRDefault="00344FCE" w:rsidP="00344FCE">
            <w:pPr>
              <w:spacing w:before="0" w:after="0"/>
              <w:ind w:firstLine="0"/>
              <w:contextualSpacing/>
              <w:jc w:val="left"/>
              <w:rPr>
                <w:rFonts w:cs="Times New Roman"/>
                <w:kern w:val="0"/>
                <w:lang w:val="ro-RO"/>
              </w:rPr>
            </w:pPr>
          </w:p>
          <w:p w14:paraId="0FCCA012" w14:textId="77777777" w:rsidR="00344FCE" w:rsidRPr="00344FCE" w:rsidRDefault="00344FCE" w:rsidP="00344FCE">
            <w:pPr>
              <w:spacing w:before="0" w:after="0"/>
              <w:ind w:firstLine="0"/>
              <w:contextualSpacing/>
              <w:jc w:val="left"/>
              <w:rPr>
                <w:rFonts w:cs="Times New Roman"/>
                <w:kern w:val="0"/>
                <w:lang w:val="ro-RO"/>
              </w:rPr>
            </w:pPr>
          </w:p>
          <w:p w14:paraId="382594C7" w14:textId="77777777" w:rsidR="00344FCE" w:rsidRPr="00344FCE" w:rsidRDefault="00344FCE" w:rsidP="00344FCE">
            <w:pPr>
              <w:spacing w:before="0" w:after="0"/>
              <w:ind w:firstLine="0"/>
              <w:contextualSpacing/>
              <w:jc w:val="left"/>
              <w:rPr>
                <w:rFonts w:cs="Times New Roman"/>
                <w:kern w:val="0"/>
                <w:lang w:val="ro-RO"/>
              </w:rPr>
            </w:pPr>
          </w:p>
          <w:p w14:paraId="14C95FA7"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val="restart"/>
          </w:tcPr>
          <w:p w14:paraId="0C67367B" w14:textId="77777777" w:rsidR="00344FCE" w:rsidRPr="00344FCE" w:rsidRDefault="00344FCE" w:rsidP="00344FCE">
            <w:pPr>
              <w:spacing w:before="0" w:after="0"/>
              <w:ind w:firstLine="0"/>
              <w:contextualSpacing/>
              <w:jc w:val="left"/>
              <w:rPr>
                <w:rFonts w:cs="Times New Roman"/>
                <w:kern w:val="0"/>
                <w:lang w:val="ro-RO"/>
              </w:rPr>
            </w:pPr>
          </w:p>
          <w:p w14:paraId="6EA1B19F"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Cantitatea de deșeuri</w:t>
            </w:r>
          </w:p>
        </w:tc>
        <w:tc>
          <w:tcPr>
            <w:tcW w:w="6237" w:type="dxa"/>
          </w:tcPr>
          <w:p w14:paraId="4C280FA8"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Cantitatea de deșeuri de pe plaje</w:t>
            </w:r>
          </w:p>
        </w:tc>
      </w:tr>
      <w:tr w:rsidR="00344FCE" w:rsidRPr="00344FCE" w14:paraId="21537E49" w14:textId="77777777" w:rsidTr="00583732">
        <w:trPr>
          <w:trHeight w:val="272"/>
        </w:trPr>
        <w:tc>
          <w:tcPr>
            <w:tcW w:w="2263" w:type="dxa"/>
            <w:vMerge/>
          </w:tcPr>
          <w:p w14:paraId="2B6C3D11"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726F7995"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3998431D"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Cantitatea de deșeuri plutitoare și scufundate în mare</w:t>
            </w:r>
          </w:p>
        </w:tc>
      </w:tr>
      <w:tr w:rsidR="00344FCE" w:rsidRPr="00344FCE" w14:paraId="78D09375" w14:textId="77777777" w:rsidTr="00583732">
        <w:trPr>
          <w:trHeight w:val="263"/>
        </w:trPr>
        <w:tc>
          <w:tcPr>
            <w:tcW w:w="2263" w:type="dxa"/>
            <w:vMerge/>
          </w:tcPr>
          <w:p w14:paraId="1B208CB1"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4AC2116E"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12238C78"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Suprafața depozitelor ilegale de deșeuri</w:t>
            </w:r>
          </w:p>
        </w:tc>
      </w:tr>
      <w:tr w:rsidR="00344FCE" w:rsidRPr="00344FCE" w14:paraId="08B80360" w14:textId="77777777" w:rsidTr="00583732">
        <w:trPr>
          <w:trHeight w:val="266"/>
        </w:trPr>
        <w:tc>
          <w:tcPr>
            <w:tcW w:w="2263" w:type="dxa"/>
            <w:vMerge/>
          </w:tcPr>
          <w:p w14:paraId="74B5F4B9"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037A5BEA"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0824D97B" w14:textId="7919DC48"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Volumul de deșeuri trata</w:t>
            </w:r>
            <w:r w:rsidR="00B02DAD">
              <w:rPr>
                <w:rFonts w:cs="Times New Roman"/>
                <w:kern w:val="0"/>
                <w:lang w:val="ro-RO"/>
              </w:rPr>
              <w:t>t</w:t>
            </w:r>
            <w:r w:rsidRPr="00344FCE">
              <w:rPr>
                <w:rFonts w:cs="Times New Roman"/>
                <w:kern w:val="0"/>
                <w:lang w:val="ro-RO"/>
              </w:rPr>
              <w:t>e și recicla</w:t>
            </w:r>
            <w:r w:rsidR="00B02DAD">
              <w:rPr>
                <w:rFonts w:cs="Times New Roman"/>
                <w:kern w:val="0"/>
                <w:lang w:val="ro-RO"/>
              </w:rPr>
              <w:t>t</w:t>
            </w:r>
            <w:r w:rsidRPr="00344FCE">
              <w:rPr>
                <w:rFonts w:cs="Times New Roman"/>
                <w:kern w:val="0"/>
                <w:lang w:val="ro-RO"/>
              </w:rPr>
              <w:t>e</w:t>
            </w:r>
          </w:p>
        </w:tc>
      </w:tr>
      <w:tr w:rsidR="00344FCE" w:rsidRPr="00344FCE" w14:paraId="4CFFB764" w14:textId="77777777" w:rsidTr="00583732">
        <w:trPr>
          <w:trHeight w:val="378"/>
        </w:trPr>
        <w:tc>
          <w:tcPr>
            <w:tcW w:w="2263" w:type="dxa"/>
            <w:vMerge/>
          </w:tcPr>
          <w:p w14:paraId="16663C7D"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val="restart"/>
          </w:tcPr>
          <w:p w14:paraId="6B2B4D3E"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Situri contaminate și potențial contaminate</w:t>
            </w:r>
          </w:p>
        </w:tc>
        <w:tc>
          <w:tcPr>
            <w:tcW w:w="6237" w:type="dxa"/>
          </w:tcPr>
          <w:p w14:paraId="773F2873"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 de situri contaminate și potențial contaminate identificate</w:t>
            </w:r>
          </w:p>
        </w:tc>
      </w:tr>
      <w:tr w:rsidR="00344FCE" w:rsidRPr="00344FCE" w14:paraId="139C45D5" w14:textId="77777777" w:rsidTr="00583732">
        <w:trPr>
          <w:trHeight w:val="265"/>
        </w:trPr>
        <w:tc>
          <w:tcPr>
            <w:tcW w:w="2263" w:type="dxa"/>
            <w:vMerge/>
          </w:tcPr>
          <w:p w14:paraId="092B5BA9"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5F681E30"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385AEF54"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 de situri remediate</w:t>
            </w:r>
          </w:p>
        </w:tc>
      </w:tr>
      <w:tr w:rsidR="00344FCE" w:rsidRPr="00344FCE" w14:paraId="7DA26BE8" w14:textId="77777777" w:rsidTr="00583732">
        <w:tc>
          <w:tcPr>
            <w:tcW w:w="2263" w:type="dxa"/>
            <w:vMerge/>
          </w:tcPr>
          <w:p w14:paraId="6D2FA776" w14:textId="77777777" w:rsidR="00344FCE" w:rsidRPr="00344FCE" w:rsidRDefault="00344FCE" w:rsidP="00344FCE">
            <w:pPr>
              <w:spacing w:before="0" w:after="0"/>
              <w:ind w:firstLine="0"/>
              <w:contextualSpacing/>
              <w:jc w:val="left"/>
              <w:rPr>
                <w:rFonts w:cs="Times New Roman"/>
                <w:kern w:val="0"/>
                <w:lang w:val="ro-RO"/>
              </w:rPr>
            </w:pPr>
          </w:p>
        </w:tc>
        <w:tc>
          <w:tcPr>
            <w:tcW w:w="4536" w:type="dxa"/>
          </w:tcPr>
          <w:p w14:paraId="583844B7"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Calitatea apelor de îmbăiere</w:t>
            </w:r>
          </w:p>
        </w:tc>
        <w:tc>
          <w:tcPr>
            <w:tcW w:w="6237" w:type="dxa"/>
          </w:tcPr>
          <w:p w14:paraId="01B0FB39"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 xml:space="preserve">Numărul de plaje cu stare excelentă conform Directivei Ape de Îmbăiere </w:t>
            </w:r>
          </w:p>
        </w:tc>
      </w:tr>
      <w:tr w:rsidR="00344FCE" w:rsidRPr="00344FCE" w14:paraId="7F000A60" w14:textId="77777777" w:rsidTr="00583732">
        <w:tc>
          <w:tcPr>
            <w:tcW w:w="2263" w:type="dxa"/>
            <w:vMerge/>
          </w:tcPr>
          <w:p w14:paraId="5B1297F2" w14:textId="77777777" w:rsidR="00344FCE" w:rsidRPr="00344FCE" w:rsidRDefault="00344FCE" w:rsidP="00344FCE">
            <w:pPr>
              <w:spacing w:before="0" w:after="0"/>
              <w:ind w:firstLine="0"/>
              <w:contextualSpacing/>
              <w:jc w:val="left"/>
              <w:rPr>
                <w:rFonts w:cs="Times New Roman"/>
                <w:kern w:val="0"/>
                <w:lang w:val="ro-RO"/>
              </w:rPr>
            </w:pPr>
          </w:p>
        </w:tc>
        <w:tc>
          <w:tcPr>
            <w:tcW w:w="4536" w:type="dxa"/>
          </w:tcPr>
          <w:p w14:paraId="735C08A3"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Calitatea apelor subterane</w:t>
            </w:r>
          </w:p>
        </w:tc>
        <w:tc>
          <w:tcPr>
            <w:tcW w:w="6237" w:type="dxa"/>
          </w:tcPr>
          <w:p w14:paraId="2CC43A5F"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Numărul de corpuri de apă subterană aflată în stare chimică proastă</w:t>
            </w:r>
          </w:p>
        </w:tc>
      </w:tr>
      <w:tr w:rsidR="00344FCE" w:rsidRPr="00344FCE" w14:paraId="092DC65C" w14:textId="77777777" w:rsidTr="00583732">
        <w:trPr>
          <w:trHeight w:val="356"/>
        </w:trPr>
        <w:tc>
          <w:tcPr>
            <w:tcW w:w="2263" w:type="dxa"/>
            <w:vMerge/>
          </w:tcPr>
          <w:p w14:paraId="3F9B0A19"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val="restart"/>
          </w:tcPr>
          <w:p w14:paraId="39DF396C"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Introducerea de nutrienți în mediul acvatic</w:t>
            </w:r>
          </w:p>
        </w:tc>
        <w:tc>
          <w:tcPr>
            <w:tcW w:w="6237" w:type="dxa"/>
          </w:tcPr>
          <w:p w14:paraId="43AAC3FE"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Cantitate de azot și fosfor introdusă în mediul acvatic (ape costiere, tranzitorii și ape interioare) din surse punctiforme</w:t>
            </w:r>
          </w:p>
        </w:tc>
      </w:tr>
      <w:tr w:rsidR="00344FCE" w:rsidRPr="00344FCE" w14:paraId="417C8634" w14:textId="77777777" w:rsidTr="00583732">
        <w:trPr>
          <w:trHeight w:val="356"/>
        </w:trPr>
        <w:tc>
          <w:tcPr>
            <w:tcW w:w="2263" w:type="dxa"/>
            <w:vMerge/>
          </w:tcPr>
          <w:p w14:paraId="3C1F7E28"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1F3789FE"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30B5975D"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Cantitate de azot și fosfor introdusă în mediul acvatic (ape costiere, tranzitorii și ape interioare) din surse difuze</w:t>
            </w:r>
          </w:p>
        </w:tc>
      </w:tr>
      <w:tr w:rsidR="00344FCE" w:rsidRPr="00344FCE" w14:paraId="2AFB3D09" w14:textId="77777777" w:rsidTr="00583732">
        <w:trPr>
          <w:trHeight w:val="144"/>
        </w:trPr>
        <w:tc>
          <w:tcPr>
            <w:tcW w:w="2263" w:type="dxa"/>
            <w:vMerge/>
          </w:tcPr>
          <w:p w14:paraId="6135544D"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val="restart"/>
          </w:tcPr>
          <w:p w14:paraId="55EFFEE3" w14:textId="77777777" w:rsidR="00344FCE" w:rsidRPr="00344FCE" w:rsidRDefault="00344FCE" w:rsidP="00344FCE">
            <w:pPr>
              <w:spacing w:before="0" w:after="0"/>
              <w:ind w:firstLine="0"/>
              <w:contextualSpacing/>
              <w:jc w:val="left"/>
              <w:rPr>
                <w:rFonts w:cs="Times New Roman"/>
                <w:kern w:val="0"/>
                <w:lang w:val="ro-RO"/>
              </w:rPr>
            </w:pPr>
          </w:p>
          <w:p w14:paraId="73124066" w14:textId="77777777" w:rsidR="00344FCE" w:rsidRPr="00344FCE" w:rsidRDefault="00344FCE" w:rsidP="00344FCE">
            <w:pPr>
              <w:spacing w:before="0" w:after="0"/>
              <w:ind w:firstLine="0"/>
              <w:contextualSpacing/>
              <w:jc w:val="left"/>
              <w:rPr>
                <w:rFonts w:cs="Times New Roman"/>
                <w:kern w:val="0"/>
                <w:lang w:val="ro-RO"/>
              </w:rPr>
            </w:pPr>
          </w:p>
          <w:p w14:paraId="1E3D8583"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Eutrofizarea apelor de suprafață</w:t>
            </w:r>
          </w:p>
        </w:tc>
        <w:tc>
          <w:tcPr>
            <w:tcW w:w="6237" w:type="dxa"/>
          </w:tcPr>
          <w:p w14:paraId="3937C131"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Concentrația nutrienților în apele interioare</w:t>
            </w:r>
          </w:p>
        </w:tc>
      </w:tr>
      <w:tr w:rsidR="00344FCE" w:rsidRPr="00344FCE" w14:paraId="44FDCAE0" w14:textId="77777777" w:rsidTr="00583732">
        <w:trPr>
          <w:trHeight w:val="144"/>
        </w:trPr>
        <w:tc>
          <w:tcPr>
            <w:tcW w:w="2263" w:type="dxa"/>
            <w:vMerge/>
          </w:tcPr>
          <w:p w14:paraId="036139A5"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43ED2B55"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7CA44526"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Concentrația de materie organică în apele interioare</w:t>
            </w:r>
          </w:p>
        </w:tc>
      </w:tr>
      <w:tr w:rsidR="00344FCE" w:rsidRPr="00344FCE" w14:paraId="562EA713" w14:textId="77777777" w:rsidTr="00583732">
        <w:trPr>
          <w:trHeight w:val="144"/>
        </w:trPr>
        <w:tc>
          <w:tcPr>
            <w:tcW w:w="2263" w:type="dxa"/>
            <w:vMerge/>
          </w:tcPr>
          <w:p w14:paraId="575CC7D1"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1D6A91F7"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1C6E7FEF"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Conținutul de oxigen dizolvat în apele interioare</w:t>
            </w:r>
          </w:p>
        </w:tc>
      </w:tr>
      <w:tr w:rsidR="00344FCE" w:rsidRPr="00344FCE" w14:paraId="75F85987" w14:textId="77777777" w:rsidTr="00583732">
        <w:trPr>
          <w:trHeight w:val="144"/>
        </w:trPr>
        <w:tc>
          <w:tcPr>
            <w:tcW w:w="2263" w:type="dxa"/>
            <w:vMerge/>
          </w:tcPr>
          <w:p w14:paraId="56CC6708"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7A9983A8"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6E5CB77E"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Turbiditatea și suspensii totale în apele interioare</w:t>
            </w:r>
          </w:p>
        </w:tc>
      </w:tr>
      <w:tr w:rsidR="00344FCE" w:rsidRPr="00344FCE" w14:paraId="1B344F3D" w14:textId="77777777" w:rsidTr="00583732">
        <w:trPr>
          <w:trHeight w:val="267"/>
        </w:trPr>
        <w:tc>
          <w:tcPr>
            <w:tcW w:w="2263" w:type="dxa"/>
            <w:vMerge/>
          </w:tcPr>
          <w:p w14:paraId="538F7A84"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val="restart"/>
          </w:tcPr>
          <w:p w14:paraId="425BF823" w14:textId="77777777" w:rsidR="00344FCE" w:rsidRPr="00344FCE" w:rsidRDefault="00344FCE" w:rsidP="00344FCE">
            <w:pPr>
              <w:spacing w:before="0" w:after="0"/>
              <w:ind w:firstLine="0"/>
              <w:contextualSpacing/>
              <w:jc w:val="left"/>
              <w:rPr>
                <w:rFonts w:cs="Times New Roman"/>
                <w:kern w:val="0"/>
                <w:lang w:val="ro-RO"/>
              </w:rPr>
            </w:pPr>
          </w:p>
          <w:p w14:paraId="5D4B3CEA" w14:textId="77777777" w:rsidR="00344FCE" w:rsidRPr="00344FCE" w:rsidRDefault="00344FCE" w:rsidP="00344FCE">
            <w:pPr>
              <w:spacing w:before="0" w:after="0"/>
              <w:ind w:firstLine="0"/>
              <w:contextualSpacing/>
              <w:jc w:val="left"/>
              <w:rPr>
                <w:rFonts w:cs="Times New Roman"/>
                <w:kern w:val="0"/>
                <w:lang w:val="ro-RO"/>
              </w:rPr>
            </w:pPr>
          </w:p>
          <w:p w14:paraId="2A6CD3EC" w14:textId="77777777" w:rsidR="00344FCE" w:rsidRPr="00344FCE" w:rsidRDefault="00344FCE" w:rsidP="00344FCE">
            <w:pPr>
              <w:spacing w:before="0" w:after="0"/>
              <w:ind w:firstLine="0"/>
              <w:contextualSpacing/>
              <w:jc w:val="left"/>
              <w:rPr>
                <w:rFonts w:cs="Times New Roman"/>
                <w:kern w:val="0"/>
                <w:lang w:val="ro-RO"/>
              </w:rPr>
            </w:pPr>
          </w:p>
          <w:p w14:paraId="2C0AC254" w14:textId="77777777" w:rsidR="00344FCE" w:rsidRPr="00344FCE" w:rsidRDefault="00344FCE" w:rsidP="00344FCE">
            <w:pPr>
              <w:spacing w:before="0" w:after="0"/>
              <w:ind w:firstLine="0"/>
              <w:contextualSpacing/>
              <w:jc w:val="left"/>
              <w:rPr>
                <w:rFonts w:cs="Times New Roman"/>
                <w:kern w:val="0"/>
                <w:lang w:val="ro-RO"/>
              </w:rPr>
            </w:pPr>
          </w:p>
          <w:p w14:paraId="33CDCFD5" w14:textId="77777777" w:rsidR="00344FCE" w:rsidRPr="00344FCE" w:rsidRDefault="00344FCE" w:rsidP="00344FCE">
            <w:pPr>
              <w:spacing w:before="0" w:after="0"/>
              <w:ind w:firstLine="0"/>
              <w:contextualSpacing/>
              <w:jc w:val="left"/>
              <w:rPr>
                <w:rFonts w:cs="Times New Roman"/>
                <w:kern w:val="0"/>
                <w:lang w:val="ro-RO"/>
              </w:rPr>
            </w:pPr>
          </w:p>
          <w:p w14:paraId="79AAE482" w14:textId="77777777" w:rsidR="00344FCE" w:rsidRPr="00344FCE" w:rsidRDefault="00344FCE" w:rsidP="00344FCE">
            <w:pPr>
              <w:spacing w:before="0" w:after="0"/>
              <w:ind w:firstLine="0"/>
              <w:contextualSpacing/>
              <w:jc w:val="left"/>
              <w:rPr>
                <w:rFonts w:cs="Times New Roman"/>
                <w:kern w:val="0"/>
                <w:lang w:val="ro-RO"/>
              </w:rPr>
            </w:pPr>
          </w:p>
          <w:p w14:paraId="2C0D5008"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Poluare cu substanțe periculoase</w:t>
            </w:r>
          </w:p>
        </w:tc>
        <w:tc>
          <w:tcPr>
            <w:tcW w:w="6237" w:type="dxa"/>
          </w:tcPr>
          <w:p w14:paraId="15C3FFAD"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Evacuări de substanțe periculoase din Dunăre în apele costiere și tranzitorii</w:t>
            </w:r>
          </w:p>
        </w:tc>
      </w:tr>
      <w:tr w:rsidR="00344FCE" w:rsidRPr="00344FCE" w14:paraId="56DB6E21" w14:textId="77777777" w:rsidTr="00583732">
        <w:trPr>
          <w:trHeight w:val="267"/>
        </w:trPr>
        <w:tc>
          <w:tcPr>
            <w:tcW w:w="2263" w:type="dxa"/>
            <w:vMerge/>
          </w:tcPr>
          <w:p w14:paraId="40D0A443"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1F3A74A9"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209A3477"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Evacuări de substanțe periculoase în mediul acvatic din surse punctiforme</w:t>
            </w:r>
          </w:p>
        </w:tc>
      </w:tr>
      <w:tr w:rsidR="00344FCE" w:rsidRPr="00344FCE" w14:paraId="3944DD7B" w14:textId="77777777" w:rsidTr="00583732">
        <w:trPr>
          <w:trHeight w:val="267"/>
        </w:trPr>
        <w:tc>
          <w:tcPr>
            <w:tcW w:w="2263" w:type="dxa"/>
            <w:vMerge/>
          </w:tcPr>
          <w:p w14:paraId="3B1CCAF8"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5AA363E9"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493CB6FD"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Valorile modelate ale evacuărilor de substanțe periculoase din surse difuze</w:t>
            </w:r>
          </w:p>
        </w:tc>
      </w:tr>
      <w:tr w:rsidR="00344FCE" w:rsidRPr="00344FCE" w14:paraId="3694E86A" w14:textId="77777777" w:rsidTr="00583732">
        <w:trPr>
          <w:trHeight w:val="108"/>
        </w:trPr>
        <w:tc>
          <w:tcPr>
            <w:tcW w:w="2263" w:type="dxa"/>
            <w:vMerge/>
          </w:tcPr>
          <w:p w14:paraId="21F17BCC"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4826F8DB"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1A25C8CC"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Concentrații ale substanțelor periculoase în apele costiere, tranzitorii și marine</w:t>
            </w:r>
          </w:p>
        </w:tc>
      </w:tr>
      <w:tr w:rsidR="00344FCE" w:rsidRPr="00344FCE" w14:paraId="5FE793B2" w14:textId="77777777" w:rsidTr="00583732">
        <w:trPr>
          <w:trHeight w:val="108"/>
        </w:trPr>
        <w:tc>
          <w:tcPr>
            <w:tcW w:w="2263" w:type="dxa"/>
            <w:vMerge/>
          </w:tcPr>
          <w:p w14:paraId="09A50E17"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1C1A4B32"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37C3718A"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 xml:space="preserve">Concentrații ale substanțelor periculoase în sedimentele din mediul marin </w:t>
            </w:r>
          </w:p>
        </w:tc>
      </w:tr>
      <w:tr w:rsidR="00344FCE" w:rsidRPr="00344FCE" w14:paraId="1C46CFB6" w14:textId="77777777" w:rsidTr="00583732">
        <w:trPr>
          <w:trHeight w:val="108"/>
        </w:trPr>
        <w:tc>
          <w:tcPr>
            <w:tcW w:w="2263" w:type="dxa"/>
            <w:vMerge/>
          </w:tcPr>
          <w:p w14:paraId="521A0854"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4BBE513C"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5F3F5904"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Concentrații ale substanțelor periculoase în apele interioare (Dunăre, lacuri)</w:t>
            </w:r>
          </w:p>
        </w:tc>
      </w:tr>
      <w:tr w:rsidR="00344FCE" w:rsidRPr="00344FCE" w14:paraId="77C74A75" w14:textId="77777777" w:rsidTr="00583732">
        <w:trPr>
          <w:trHeight w:val="144"/>
        </w:trPr>
        <w:tc>
          <w:tcPr>
            <w:tcW w:w="2263" w:type="dxa"/>
            <w:vMerge/>
          </w:tcPr>
          <w:p w14:paraId="639B4A1D"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577721EF"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105DC124"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Concentrații ale substanțelor periculoase în sedimentele din mediul dulcicol</w:t>
            </w:r>
          </w:p>
        </w:tc>
      </w:tr>
      <w:tr w:rsidR="00344FCE" w:rsidRPr="00344FCE" w14:paraId="00D44B79" w14:textId="77777777" w:rsidTr="00583732">
        <w:trPr>
          <w:trHeight w:val="144"/>
        </w:trPr>
        <w:tc>
          <w:tcPr>
            <w:tcW w:w="2263" w:type="dxa"/>
            <w:vMerge/>
          </w:tcPr>
          <w:p w14:paraId="3380562D"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5D76D6EF"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33207FD1"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Concentrații ale substanțelor periculoase în pești (specii comerciale) și fructe de mare din mediul marin</w:t>
            </w:r>
          </w:p>
        </w:tc>
      </w:tr>
      <w:tr w:rsidR="00344FCE" w:rsidRPr="00344FCE" w14:paraId="31F2006F" w14:textId="77777777" w:rsidTr="00583732">
        <w:trPr>
          <w:trHeight w:val="144"/>
        </w:trPr>
        <w:tc>
          <w:tcPr>
            <w:tcW w:w="2263" w:type="dxa"/>
            <w:vMerge/>
          </w:tcPr>
          <w:p w14:paraId="6B600C90"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5ECEE593"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424A281F"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Concentrații ale substanțelor periculoase în soluri</w:t>
            </w:r>
          </w:p>
        </w:tc>
      </w:tr>
      <w:tr w:rsidR="0084413B" w:rsidRPr="00344FCE" w14:paraId="19C25D68" w14:textId="77777777" w:rsidTr="004A7579">
        <w:trPr>
          <w:trHeight w:val="1793"/>
        </w:trPr>
        <w:tc>
          <w:tcPr>
            <w:tcW w:w="2263" w:type="dxa"/>
            <w:vMerge/>
          </w:tcPr>
          <w:p w14:paraId="2C076DA1" w14:textId="77777777" w:rsidR="0084413B" w:rsidRPr="00344FCE" w:rsidRDefault="0084413B" w:rsidP="00344FCE">
            <w:pPr>
              <w:spacing w:before="0" w:after="0"/>
              <w:ind w:firstLine="0"/>
              <w:contextualSpacing/>
              <w:jc w:val="left"/>
              <w:rPr>
                <w:rFonts w:cs="Times New Roman"/>
                <w:kern w:val="0"/>
                <w:lang w:val="ro-RO"/>
              </w:rPr>
            </w:pPr>
          </w:p>
        </w:tc>
        <w:tc>
          <w:tcPr>
            <w:tcW w:w="4536" w:type="dxa"/>
            <w:vMerge w:val="restart"/>
          </w:tcPr>
          <w:p w14:paraId="34058205" w14:textId="77777777" w:rsidR="0084413B" w:rsidRPr="00344FCE" w:rsidRDefault="0084413B" w:rsidP="00344FCE">
            <w:pPr>
              <w:spacing w:before="0" w:after="0"/>
              <w:ind w:firstLine="0"/>
              <w:contextualSpacing/>
              <w:jc w:val="left"/>
              <w:rPr>
                <w:rFonts w:cs="Times New Roman"/>
                <w:kern w:val="0"/>
                <w:lang w:val="ro-RO"/>
              </w:rPr>
            </w:pPr>
          </w:p>
          <w:p w14:paraId="5259CD10" w14:textId="182374D4" w:rsidR="0084413B" w:rsidRPr="00344FCE" w:rsidRDefault="0084413B" w:rsidP="00344FCE">
            <w:pPr>
              <w:spacing w:before="0" w:after="0"/>
              <w:contextualSpacing/>
              <w:jc w:val="left"/>
              <w:rPr>
                <w:rFonts w:cs="Times New Roman"/>
                <w:kern w:val="0"/>
                <w:lang w:val="ro-RO"/>
              </w:rPr>
            </w:pPr>
            <w:r w:rsidRPr="00344FCE">
              <w:rPr>
                <w:rFonts w:cs="Times New Roman"/>
                <w:kern w:val="0"/>
                <w:lang w:val="ro-RO"/>
              </w:rPr>
              <w:t xml:space="preserve">Calitatea aerului </w:t>
            </w:r>
          </w:p>
        </w:tc>
        <w:tc>
          <w:tcPr>
            <w:tcW w:w="6237" w:type="dxa"/>
          </w:tcPr>
          <w:p w14:paraId="5A1CB115" w14:textId="49FA86FB" w:rsidR="0084413B" w:rsidRPr="00787B1D" w:rsidRDefault="0084413B" w:rsidP="00787B1D">
            <w:pPr>
              <w:spacing w:before="0" w:after="0"/>
              <w:ind w:firstLine="0"/>
              <w:contextualSpacing/>
              <w:jc w:val="left"/>
              <w:rPr>
                <w:rFonts w:cs="Times New Roman"/>
                <w:kern w:val="0"/>
                <w:lang w:val="ro-RO"/>
              </w:rPr>
            </w:pPr>
            <w:r w:rsidRPr="00344FCE">
              <w:rPr>
                <w:rFonts w:cs="Times New Roman"/>
                <w:kern w:val="0"/>
                <w:lang w:val="ro-RO"/>
              </w:rPr>
              <w:t>Concentrațiile poluanților atmosferici (valori orare, la 8 ore, zilnice</w:t>
            </w:r>
            <w:r w:rsidR="00787B1D">
              <w:rPr>
                <w:rFonts w:cs="Times New Roman"/>
                <w:kern w:val="0"/>
                <w:lang w:val="ro-RO"/>
              </w:rPr>
              <w:t>)</w:t>
            </w:r>
          </w:p>
        </w:tc>
      </w:tr>
      <w:tr w:rsidR="0084413B" w:rsidRPr="00344FCE" w14:paraId="17201F8F" w14:textId="77777777" w:rsidTr="00583732">
        <w:tc>
          <w:tcPr>
            <w:tcW w:w="2263" w:type="dxa"/>
            <w:vMerge/>
          </w:tcPr>
          <w:p w14:paraId="22976EB7" w14:textId="77777777" w:rsidR="0084413B" w:rsidRPr="00344FCE" w:rsidRDefault="0084413B" w:rsidP="00344FCE">
            <w:pPr>
              <w:spacing w:before="0" w:after="0"/>
              <w:ind w:firstLine="0"/>
              <w:contextualSpacing/>
              <w:jc w:val="left"/>
              <w:rPr>
                <w:rFonts w:cs="Times New Roman"/>
                <w:kern w:val="0"/>
                <w:lang w:val="ro-RO"/>
              </w:rPr>
            </w:pPr>
          </w:p>
        </w:tc>
        <w:tc>
          <w:tcPr>
            <w:tcW w:w="4536" w:type="dxa"/>
            <w:vMerge/>
          </w:tcPr>
          <w:p w14:paraId="267F2372" w14:textId="77777777" w:rsidR="0084413B" w:rsidRPr="00344FCE" w:rsidRDefault="0084413B" w:rsidP="00344FCE">
            <w:pPr>
              <w:spacing w:before="0" w:after="0"/>
              <w:ind w:firstLine="0"/>
              <w:contextualSpacing/>
              <w:jc w:val="left"/>
              <w:rPr>
                <w:rFonts w:cs="Times New Roman"/>
                <w:kern w:val="0"/>
                <w:lang w:val="ro-RO"/>
              </w:rPr>
            </w:pPr>
          </w:p>
        </w:tc>
        <w:tc>
          <w:tcPr>
            <w:tcW w:w="6237" w:type="dxa"/>
          </w:tcPr>
          <w:p w14:paraId="767F9265" w14:textId="77777777" w:rsidR="0084413B" w:rsidRPr="00344FCE" w:rsidRDefault="0084413B" w:rsidP="00344FCE">
            <w:pPr>
              <w:spacing w:before="0" w:after="0"/>
              <w:ind w:firstLine="0"/>
              <w:contextualSpacing/>
              <w:jc w:val="left"/>
              <w:rPr>
                <w:rFonts w:cs="Times New Roman"/>
                <w:kern w:val="0"/>
                <w:lang w:val="ro-RO"/>
              </w:rPr>
            </w:pPr>
            <w:r w:rsidRPr="00344FCE">
              <w:rPr>
                <w:rFonts w:cs="Times New Roman"/>
                <w:kern w:val="0"/>
                <w:lang w:val="ro-RO"/>
              </w:rPr>
              <w:t>Modele de dispersie a poluanților atmosferici</w:t>
            </w:r>
          </w:p>
        </w:tc>
      </w:tr>
      <w:tr w:rsidR="00344FCE" w:rsidRPr="00344FCE" w14:paraId="623FA92D" w14:textId="77777777" w:rsidTr="00583732">
        <w:trPr>
          <w:trHeight w:val="275"/>
        </w:trPr>
        <w:tc>
          <w:tcPr>
            <w:tcW w:w="2263" w:type="dxa"/>
            <w:vMerge/>
          </w:tcPr>
          <w:p w14:paraId="466775F5"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val="restart"/>
          </w:tcPr>
          <w:p w14:paraId="0A251D03"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Creșterea nivelului mării și condiții meteo extreme</w:t>
            </w:r>
          </w:p>
        </w:tc>
        <w:tc>
          <w:tcPr>
            <w:tcW w:w="6237" w:type="dxa"/>
          </w:tcPr>
          <w:p w14:paraId="4CD6A9DF"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Numărul de zile cu furtuni puternice</w:t>
            </w:r>
          </w:p>
        </w:tc>
      </w:tr>
      <w:tr w:rsidR="00344FCE" w:rsidRPr="00344FCE" w14:paraId="503D1D5A" w14:textId="77777777" w:rsidTr="00583732">
        <w:trPr>
          <w:trHeight w:val="253"/>
        </w:trPr>
        <w:tc>
          <w:tcPr>
            <w:tcW w:w="2263" w:type="dxa"/>
            <w:vMerge/>
          </w:tcPr>
          <w:p w14:paraId="3F4A0308"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15632206"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171D0B09"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Nivelul mării</w:t>
            </w:r>
          </w:p>
        </w:tc>
      </w:tr>
      <w:tr w:rsidR="00344FCE" w:rsidRPr="00344FCE" w14:paraId="06EA7259" w14:textId="77777777" w:rsidTr="00583732">
        <w:trPr>
          <w:trHeight w:val="257"/>
        </w:trPr>
        <w:tc>
          <w:tcPr>
            <w:tcW w:w="2263" w:type="dxa"/>
            <w:vMerge/>
          </w:tcPr>
          <w:p w14:paraId="539BF1AB"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2092FD26"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42064DFB"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Lungimea coastei protejate</w:t>
            </w:r>
          </w:p>
        </w:tc>
      </w:tr>
      <w:tr w:rsidR="00344FCE" w:rsidRPr="00344FCE" w14:paraId="5D202CA8" w14:textId="77777777" w:rsidTr="00583732">
        <w:trPr>
          <w:trHeight w:val="144"/>
        </w:trPr>
        <w:tc>
          <w:tcPr>
            <w:tcW w:w="2263" w:type="dxa"/>
            <w:vMerge/>
          </w:tcPr>
          <w:p w14:paraId="6B3183D7"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val="restart"/>
          </w:tcPr>
          <w:p w14:paraId="659BC231" w14:textId="77777777" w:rsidR="00344FCE" w:rsidRPr="00344FCE" w:rsidRDefault="00344FCE" w:rsidP="00344FCE">
            <w:pPr>
              <w:spacing w:before="0" w:after="0"/>
              <w:ind w:firstLine="0"/>
              <w:contextualSpacing/>
              <w:jc w:val="left"/>
              <w:rPr>
                <w:rFonts w:cs="Times New Roman"/>
                <w:kern w:val="0"/>
                <w:lang w:val="ro-RO"/>
              </w:rPr>
            </w:pPr>
          </w:p>
          <w:p w14:paraId="2375D201"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Eroziune costieră și acumulare</w:t>
            </w:r>
          </w:p>
        </w:tc>
        <w:tc>
          <w:tcPr>
            <w:tcW w:w="6237" w:type="dxa"/>
          </w:tcPr>
          <w:p w14:paraId="7A064208"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Lungimea țărmului dinamic</w:t>
            </w:r>
          </w:p>
        </w:tc>
      </w:tr>
      <w:tr w:rsidR="00344FCE" w:rsidRPr="00344FCE" w14:paraId="46C6AA8C" w14:textId="77777777" w:rsidTr="00583732">
        <w:trPr>
          <w:trHeight w:val="281"/>
        </w:trPr>
        <w:tc>
          <w:tcPr>
            <w:tcW w:w="2263" w:type="dxa"/>
            <w:vMerge/>
          </w:tcPr>
          <w:p w14:paraId="365E1DB2"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53A60862"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239C85D3"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 xml:space="preserve">Suprafața de uscat pierdută / erodată </w:t>
            </w:r>
            <w:r w:rsidRPr="00344FCE">
              <w:rPr>
                <w:rFonts w:cs="Times New Roman"/>
                <w:i/>
                <w:kern w:val="0"/>
                <w:lang w:val="ro-RO"/>
              </w:rPr>
              <w:t>per</w:t>
            </w:r>
            <w:r w:rsidRPr="00344FCE">
              <w:rPr>
                <w:rFonts w:cs="Times New Roman"/>
                <w:kern w:val="0"/>
                <w:lang w:val="ro-RO"/>
              </w:rPr>
              <w:t xml:space="preserve"> an</w:t>
            </w:r>
          </w:p>
        </w:tc>
      </w:tr>
      <w:tr w:rsidR="00344FCE" w:rsidRPr="00344FCE" w14:paraId="0407164C" w14:textId="77777777" w:rsidTr="00583732">
        <w:trPr>
          <w:trHeight w:val="252"/>
        </w:trPr>
        <w:tc>
          <w:tcPr>
            <w:tcW w:w="2263" w:type="dxa"/>
            <w:vMerge/>
          </w:tcPr>
          <w:p w14:paraId="4E898DDB"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val="restart"/>
          </w:tcPr>
          <w:p w14:paraId="0E13F1F7" w14:textId="77777777" w:rsidR="00344FCE" w:rsidRPr="00344FCE" w:rsidRDefault="00344FCE" w:rsidP="00344FCE">
            <w:pPr>
              <w:spacing w:before="0" w:after="0"/>
              <w:ind w:firstLine="0"/>
              <w:contextualSpacing/>
              <w:jc w:val="left"/>
              <w:rPr>
                <w:rFonts w:cs="Times New Roman"/>
                <w:kern w:val="0"/>
                <w:lang w:val="ro-RO"/>
              </w:rPr>
            </w:pPr>
          </w:p>
          <w:p w14:paraId="2E363752"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Valori naturale, umane și economice aflate în zone de risc</w:t>
            </w:r>
          </w:p>
        </w:tc>
        <w:tc>
          <w:tcPr>
            <w:tcW w:w="6237" w:type="dxa"/>
          </w:tcPr>
          <w:p w14:paraId="70F50D2B"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Suprafața ariilor protejate aflate în zona de risc</w:t>
            </w:r>
          </w:p>
        </w:tc>
      </w:tr>
      <w:tr w:rsidR="00344FCE" w:rsidRPr="00344FCE" w14:paraId="436EF70F" w14:textId="77777777" w:rsidTr="00583732">
        <w:trPr>
          <w:trHeight w:val="252"/>
        </w:trPr>
        <w:tc>
          <w:tcPr>
            <w:tcW w:w="2263" w:type="dxa"/>
            <w:vMerge/>
          </w:tcPr>
          <w:p w14:paraId="1EEF15D6"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55257D5F"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1A477C0E"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Valoarea activelor economice aflate în zona de risc</w:t>
            </w:r>
          </w:p>
        </w:tc>
      </w:tr>
      <w:tr w:rsidR="00344FCE" w:rsidRPr="00344FCE" w14:paraId="2AAB7371" w14:textId="77777777" w:rsidTr="00583732">
        <w:trPr>
          <w:trHeight w:val="260"/>
        </w:trPr>
        <w:tc>
          <w:tcPr>
            <w:tcW w:w="2263" w:type="dxa"/>
            <w:vMerge/>
          </w:tcPr>
          <w:p w14:paraId="1308C95A"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53213F6F"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3D8B78F0"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 de oameni ce locuiesc în zone de risc</w:t>
            </w:r>
          </w:p>
        </w:tc>
      </w:tr>
      <w:tr w:rsidR="00344FCE" w:rsidRPr="00344FCE" w14:paraId="236BD84B" w14:textId="77777777" w:rsidTr="00583732">
        <w:trPr>
          <w:trHeight w:val="274"/>
        </w:trPr>
        <w:tc>
          <w:tcPr>
            <w:tcW w:w="2263" w:type="dxa"/>
            <w:vMerge w:val="restart"/>
          </w:tcPr>
          <w:p w14:paraId="0E78913E" w14:textId="77777777" w:rsidR="00344FCE" w:rsidRPr="00344FCE" w:rsidRDefault="00344FCE" w:rsidP="00344FCE">
            <w:pPr>
              <w:spacing w:before="0" w:after="0"/>
              <w:ind w:firstLine="0"/>
              <w:contextualSpacing/>
              <w:jc w:val="left"/>
              <w:rPr>
                <w:rFonts w:cs="Times New Roman"/>
                <w:kern w:val="0"/>
                <w:lang w:val="ro-RO"/>
              </w:rPr>
            </w:pPr>
          </w:p>
          <w:p w14:paraId="4268AD2C" w14:textId="77777777" w:rsidR="00344FCE" w:rsidRPr="00344FCE" w:rsidRDefault="00344FCE" w:rsidP="00344FCE">
            <w:pPr>
              <w:spacing w:before="0" w:after="0"/>
              <w:ind w:firstLine="0"/>
              <w:contextualSpacing/>
              <w:jc w:val="left"/>
              <w:rPr>
                <w:rFonts w:cs="Times New Roman"/>
                <w:kern w:val="0"/>
                <w:lang w:val="ro-RO"/>
              </w:rPr>
            </w:pPr>
          </w:p>
          <w:p w14:paraId="44C84CEC" w14:textId="77777777" w:rsidR="00344FCE" w:rsidRPr="00344FCE" w:rsidRDefault="00344FCE" w:rsidP="00344FCE">
            <w:pPr>
              <w:spacing w:before="0" w:after="0"/>
              <w:ind w:firstLine="0"/>
              <w:contextualSpacing/>
              <w:jc w:val="left"/>
              <w:rPr>
                <w:rFonts w:cs="Times New Roman"/>
                <w:kern w:val="0"/>
                <w:lang w:val="ro-RO"/>
              </w:rPr>
            </w:pPr>
          </w:p>
          <w:p w14:paraId="533BCEB4"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Planificare spațială și dezvoltare spațială sustenabilă</w:t>
            </w:r>
          </w:p>
        </w:tc>
        <w:tc>
          <w:tcPr>
            <w:tcW w:w="4536" w:type="dxa"/>
            <w:vMerge w:val="restart"/>
          </w:tcPr>
          <w:p w14:paraId="3875A87B"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Planificare spațială a teritoriului</w:t>
            </w:r>
          </w:p>
        </w:tc>
        <w:tc>
          <w:tcPr>
            <w:tcW w:w="6237" w:type="dxa"/>
          </w:tcPr>
          <w:p w14:paraId="14CD4F67"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 PATZ</w:t>
            </w:r>
          </w:p>
        </w:tc>
      </w:tr>
      <w:tr w:rsidR="00344FCE" w:rsidRPr="00344FCE" w14:paraId="69AADD55" w14:textId="77777777" w:rsidTr="00583732">
        <w:trPr>
          <w:trHeight w:val="428"/>
        </w:trPr>
        <w:tc>
          <w:tcPr>
            <w:tcW w:w="2263" w:type="dxa"/>
            <w:vMerge/>
          </w:tcPr>
          <w:p w14:paraId="7B557FB9"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1A11CB2E"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37AC57A3"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 PUG-uri actualizate și aprobate</w:t>
            </w:r>
          </w:p>
        </w:tc>
      </w:tr>
      <w:tr w:rsidR="00344FCE" w:rsidRPr="00344FCE" w14:paraId="1CF57DE2" w14:textId="77777777" w:rsidTr="00583732">
        <w:trPr>
          <w:trHeight w:val="606"/>
        </w:trPr>
        <w:tc>
          <w:tcPr>
            <w:tcW w:w="2263" w:type="dxa"/>
            <w:vMerge/>
          </w:tcPr>
          <w:p w14:paraId="5AF9ECE7"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410250C1"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10E0D91A"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 de PUZ-uri pentru zone prioritare elaborate și aprobate</w:t>
            </w:r>
          </w:p>
        </w:tc>
      </w:tr>
      <w:tr w:rsidR="00344FCE" w:rsidRPr="00344FCE" w14:paraId="5B4031F7" w14:textId="77777777" w:rsidTr="00583732">
        <w:trPr>
          <w:trHeight w:val="738"/>
        </w:trPr>
        <w:tc>
          <w:tcPr>
            <w:tcW w:w="2263" w:type="dxa"/>
            <w:vMerge/>
          </w:tcPr>
          <w:p w14:paraId="10EB0CDD"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val="restart"/>
          </w:tcPr>
          <w:p w14:paraId="245931E2"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Impactul dezvoltării spațiale și al urbanizării în zona costieră</w:t>
            </w:r>
          </w:p>
        </w:tc>
        <w:tc>
          <w:tcPr>
            <w:tcW w:w="6237" w:type="dxa"/>
          </w:tcPr>
          <w:p w14:paraId="0CDB7C67"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Procent suprafață terenuri pentru utilizări  urbane (intravilane) raportat la total suprafață zonă costieră și UAT-uri din zona costieră</w:t>
            </w:r>
          </w:p>
        </w:tc>
      </w:tr>
      <w:tr w:rsidR="00344FCE" w:rsidRPr="00344FCE" w14:paraId="497B38DC" w14:textId="77777777" w:rsidTr="00583732">
        <w:trPr>
          <w:trHeight w:val="569"/>
        </w:trPr>
        <w:tc>
          <w:tcPr>
            <w:tcW w:w="2263" w:type="dxa"/>
            <w:vMerge/>
          </w:tcPr>
          <w:p w14:paraId="48C9B390"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7CFA6530"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2D08E663"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Procent suprafață terenuri pentru utilizări  urbane (intravilane) raportat la km linie de coastă</w:t>
            </w:r>
          </w:p>
        </w:tc>
      </w:tr>
      <w:tr w:rsidR="00344FCE" w:rsidRPr="00344FCE" w14:paraId="0B7E34E5" w14:textId="77777777" w:rsidTr="00583732">
        <w:tc>
          <w:tcPr>
            <w:tcW w:w="2263" w:type="dxa"/>
            <w:vMerge/>
          </w:tcPr>
          <w:p w14:paraId="1741220C"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val="restart"/>
          </w:tcPr>
          <w:p w14:paraId="38C3DCD5" w14:textId="77777777" w:rsidR="00344FCE" w:rsidRPr="00344FCE" w:rsidRDefault="00344FCE" w:rsidP="00344FCE">
            <w:pPr>
              <w:spacing w:before="0" w:after="0"/>
              <w:ind w:firstLine="0"/>
              <w:contextualSpacing/>
              <w:jc w:val="left"/>
              <w:rPr>
                <w:rFonts w:cs="Times New Roman"/>
                <w:kern w:val="0"/>
                <w:lang w:val="ro-RO"/>
              </w:rPr>
            </w:pPr>
          </w:p>
          <w:p w14:paraId="4CFBB33E"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lastRenderedPageBreak/>
              <w:t>Tendința dezvoltării funcțiunilor urbane (locuire, turism, spații verzi/plantate, etc.) în zona costieră</w:t>
            </w:r>
          </w:p>
        </w:tc>
        <w:tc>
          <w:tcPr>
            <w:tcW w:w="6237" w:type="dxa"/>
          </w:tcPr>
          <w:p w14:paraId="6F181F85"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lastRenderedPageBreak/>
              <w:t xml:space="preserve">Procent suprafață teren ocupat și/sau destinat pentru  funcțiunile urbane (locuire, turism, spații verzi/plantate, etc.) </w:t>
            </w:r>
            <w:r w:rsidRPr="00344FCE">
              <w:rPr>
                <w:rFonts w:cs="Times New Roman"/>
                <w:kern w:val="0"/>
                <w:lang w:val="ro-RO"/>
              </w:rPr>
              <w:lastRenderedPageBreak/>
              <w:t>raportat la total suprafață zonă costieră și UAT-uri din zona costieră</w:t>
            </w:r>
          </w:p>
        </w:tc>
      </w:tr>
      <w:tr w:rsidR="00344FCE" w:rsidRPr="00344FCE" w14:paraId="5DAD1AF5" w14:textId="77777777" w:rsidTr="00583732">
        <w:tc>
          <w:tcPr>
            <w:tcW w:w="2263" w:type="dxa"/>
            <w:vMerge/>
          </w:tcPr>
          <w:p w14:paraId="03BFE72C"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74143C60"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475D3452"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Procent suprafață teren ocupat și/sau destinat pentru  funcțiunile urbane (locuire, turism, spații verzi/plantate, etc.) raportat la km linie de coastă</w:t>
            </w:r>
          </w:p>
        </w:tc>
      </w:tr>
      <w:tr w:rsidR="00344FCE" w:rsidRPr="00344FCE" w14:paraId="43625D57" w14:textId="77777777" w:rsidTr="00583732">
        <w:tc>
          <w:tcPr>
            <w:tcW w:w="2263" w:type="dxa"/>
            <w:vMerge/>
          </w:tcPr>
          <w:p w14:paraId="54F01BCB"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1A671F14"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011FFE10"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Suprafață teren ocupat și/sau destinat pentru  funcțiunile urbane (locuire, turism, spații verzi/plantate, etc.) raportat la izocronele privind accesul la tărmul mării</w:t>
            </w:r>
          </w:p>
        </w:tc>
      </w:tr>
      <w:tr w:rsidR="00344FCE" w:rsidRPr="00344FCE" w14:paraId="48F8ADAC" w14:textId="77777777" w:rsidTr="00583732">
        <w:trPr>
          <w:trHeight w:val="416"/>
        </w:trPr>
        <w:tc>
          <w:tcPr>
            <w:tcW w:w="2263" w:type="dxa"/>
            <w:vMerge w:val="restart"/>
          </w:tcPr>
          <w:p w14:paraId="2FA3AEEB"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Dezvoltarea durabilă a zonei costiere</w:t>
            </w:r>
          </w:p>
          <w:p w14:paraId="357A4A48" w14:textId="77777777" w:rsidR="00344FCE" w:rsidRPr="00344FCE" w:rsidRDefault="00344FCE" w:rsidP="00344FCE">
            <w:pPr>
              <w:spacing w:before="0" w:after="0"/>
              <w:ind w:firstLine="0"/>
              <w:contextualSpacing/>
              <w:jc w:val="left"/>
              <w:rPr>
                <w:rFonts w:cs="Times New Roman"/>
                <w:kern w:val="0"/>
                <w:lang w:val="ro-RO"/>
              </w:rPr>
            </w:pPr>
          </w:p>
          <w:p w14:paraId="2F808EFD" w14:textId="77777777" w:rsidR="00344FCE" w:rsidRPr="00344FCE" w:rsidRDefault="00344FCE" w:rsidP="00344FCE">
            <w:pPr>
              <w:spacing w:before="0" w:after="0"/>
              <w:ind w:firstLine="0"/>
              <w:contextualSpacing/>
              <w:jc w:val="left"/>
              <w:rPr>
                <w:rFonts w:cs="Times New Roman"/>
                <w:kern w:val="0"/>
                <w:lang w:val="ro-RO"/>
              </w:rPr>
            </w:pPr>
          </w:p>
          <w:p w14:paraId="71FA49C9" w14:textId="77777777" w:rsidR="00344FCE" w:rsidRPr="00344FCE" w:rsidRDefault="00344FCE" w:rsidP="00344FCE">
            <w:pPr>
              <w:spacing w:before="0" w:after="0"/>
              <w:ind w:firstLine="0"/>
              <w:contextualSpacing/>
              <w:jc w:val="left"/>
              <w:rPr>
                <w:rFonts w:cs="Times New Roman"/>
                <w:kern w:val="0"/>
                <w:lang w:val="ro-RO"/>
              </w:rPr>
            </w:pPr>
          </w:p>
          <w:p w14:paraId="29EDA7F8" w14:textId="77777777" w:rsidR="00344FCE" w:rsidRPr="00344FCE" w:rsidRDefault="00344FCE" w:rsidP="00344FCE">
            <w:pPr>
              <w:spacing w:before="0" w:after="0"/>
              <w:ind w:firstLine="0"/>
              <w:contextualSpacing/>
              <w:jc w:val="left"/>
              <w:rPr>
                <w:rFonts w:cs="Times New Roman"/>
                <w:kern w:val="0"/>
                <w:lang w:val="ro-RO"/>
              </w:rPr>
            </w:pPr>
          </w:p>
          <w:p w14:paraId="1D51A9FD" w14:textId="77777777" w:rsidR="00344FCE" w:rsidRPr="00344FCE" w:rsidRDefault="00344FCE" w:rsidP="00344FCE">
            <w:pPr>
              <w:spacing w:before="0" w:after="0"/>
              <w:ind w:firstLine="0"/>
              <w:contextualSpacing/>
              <w:jc w:val="left"/>
              <w:rPr>
                <w:rFonts w:cs="Times New Roman"/>
                <w:kern w:val="0"/>
                <w:lang w:val="ro-RO"/>
              </w:rPr>
            </w:pPr>
          </w:p>
          <w:p w14:paraId="60F32108" w14:textId="77777777" w:rsidR="00344FCE" w:rsidRPr="00344FCE" w:rsidRDefault="00344FCE" w:rsidP="00344FCE">
            <w:pPr>
              <w:spacing w:before="0" w:after="0"/>
              <w:ind w:firstLine="0"/>
              <w:contextualSpacing/>
              <w:jc w:val="left"/>
              <w:rPr>
                <w:rFonts w:cs="Times New Roman"/>
                <w:kern w:val="0"/>
                <w:lang w:val="ro-RO"/>
              </w:rPr>
            </w:pPr>
          </w:p>
          <w:p w14:paraId="6A470CBD" w14:textId="77777777" w:rsidR="00344FCE" w:rsidRPr="00344FCE" w:rsidRDefault="00344FCE" w:rsidP="00344FCE">
            <w:pPr>
              <w:spacing w:before="0" w:after="0"/>
              <w:ind w:firstLine="0"/>
              <w:contextualSpacing/>
              <w:jc w:val="left"/>
              <w:rPr>
                <w:rFonts w:cs="Times New Roman"/>
                <w:kern w:val="0"/>
                <w:lang w:val="ro-RO"/>
              </w:rPr>
            </w:pPr>
          </w:p>
          <w:p w14:paraId="42C0B0E3" w14:textId="77777777" w:rsidR="00344FCE" w:rsidRPr="00344FCE" w:rsidRDefault="00344FCE" w:rsidP="00344FCE">
            <w:pPr>
              <w:spacing w:before="0" w:after="0"/>
              <w:ind w:firstLine="0"/>
              <w:contextualSpacing/>
              <w:jc w:val="left"/>
              <w:rPr>
                <w:rFonts w:cs="Times New Roman"/>
                <w:kern w:val="0"/>
                <w:lang w:val="ro-RO"/>
              </w:rPr>
            </w:pPr>
          </w:p>
          <w:p w14:paraId="754EC276" w14:textId="77777777" w:rsidR="00344FCE" w:rsidRPr="00344FCE" w:rsidRDefault="00344FCE" w:rsidP="00344FCE">
            <w:pPr>
              <w:spacing w:before="0" w:after="0"/>
              <w:ind w:firstLine="0"/>
              <w:contextualSpacing/>
              <w:jc w:val="left"/>
              <w:rPr>
                <w:rFonts w:cs="Times New Roman"/>
                <w:kern w:val="0"/>
                <w:lang w:val="ro-RO"/>
              </w:rPr>
            </w:pPr>
          </w:p>
          <w:p w14:paraId="69872C70" w14:textId="77777777" w:rsidR="00344FCE" w:rsidRPr="00344FCE" w:rsidRDefault="00344FCE" w:rsidP="00344FCE">
            <w:pPr>
              <w:spacing w:before="0" w:after="0"/>
              <w:ind w:firstLine="0"/>
              <w:contextualSpacing/>
              <w:jc w:val="left"/>
              <w:rPr>
                <w:rFonts w:cs="Times New Roman"/>
                <w:kern w:val="0"/>
                <w:lang w:val="ro-RO"/>
              </w:rPr>
            </w:pPr>
          </w:p>
          <w:p w14:paraId="01C0C365" w14:textId="77777777" w:rsidR="00344FCE" w:rsidRPr="00344FCE" w:rsidRDefault="00344FCE" w:rsidP="00344FCE">
            <w:pPr>
              <w:spacing w:before="0" w:after="0"/>
              <w:ind w:firstLine="0"/>
              <w:contextualSpacing/>
              <w:jc w:val="left"/>
              <w:rPr>
                <w:rFonts w:cs="Times New Roman"/>
                <w:kern w:val="0"/>
                <w:lang w:val="ro-RO"/>
              </w:rPr>
            </w:pPr>
          </w:p>
          <w:p w14:paraId="5B14B316"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Dezvoltarea durabilă a zonei costiere</w:t>
            </w:r>
          </w:p>
        </w:tc>
        <w:tc>
          <w:tcPr>
            <w:tcW w:w="4536" w:type="dxa"/>
            <w:vMerge w:val="restart"/>
          </w:tcPr>
          <w:p w14:paraId="44273214" w14:textId="77777777" w:rsidR="00344FCE" w:rsidRPr="00344FCE" w:rsidRDefault="00344FCE" w:rsidP="00344FCE">
            <w:pPr>
              <w:spacing w:before="0" w:after="0"/>
              <w:ind w:firstLine="0"/>
              <w:contextualSpacing/>
              <w:jc w:val="left"/>
              <w:rPr>
                <w:rFonts w:cs="Times New Roman"/>
                <w:kern w:val="0"/>
                <w:lang w:val="ro-RO"/>
              </w:rPr>
            </w:pPr>
          </w:p>
          <w:p w14:paraId="2EB90701" w14:textId="77777777" w:rsidR="00344FCE" w:rsidRPr="00344FCE" w:rsidRDefault="00344FCE" w:rsidP="00344FCE">
            <w:pPr>
              <w:spacing w:before="0" w:after="0"/>
              <w:ind w:firstLine="0"/>
              <w:contextualSpacing/>
              <w:jc w:val="left"/>
              <w:rPr>
                <w:rFonts w:cs="Times New Roman"/>
                <w:kern w:val="0"/>
                <w:lang w:val="ro-RO"/>
              </w:rPr>
            </w:pPr>
          </w:p>
          <w:p w14:paraId="0B4E6DC2"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Stocuri de resurse acvatice vii (pești, moluște, crustacee) și debarcări/totalul capturilor de pești în lacuri litorale și mare</w:t>
            </w:r>
          </w:p>
        </w:tc>
        <w:tc>
          <w:tcPr>
            <w:tcW w:w="6237" w:type="dxa"/>
          </w:tcPr>
          <w:p w14:paraId="5AD56E63"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Starea principalelor stocuri de pește, moluște și crustacee pe specii și zone</w:t>
            </w:r>
          </w:p>
        </w:tc>
      </w:tr>
      <w:tr w:rsidR="00344FCE" w:rsidRPr="00344FCE" w14:paraId="66C1E39F" w14:textId="77777777" w:rsidTr="00583732">
        <w:trPr>
          <w:trHeight w:val="372"/>
        </w:trPr>
        <w:tc>
          <w:tcPr>
            <w:tcW w:w="2263" w:type="dxa"/>
            <w:vMerge/>
          </w:tcPr>
          <w:p w14:paraId="072B73EF"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290B4023"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2FA84DEA"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Biomasa stocului reproducător și a stadiilor timpurii pe specii.</w:t>
            </w:r>
          </w:p>
        </w:tc>
      </w:tr>
      <w:tr w:rsidR="00344FCE" w:rsidRPr="00344FCE" w14:paraId="33091BC1" w14:textId="77777777" w:rsidTr="00583732">
        <w:trPr>
          <w:trHeight w:val="509"/>
        </w:trPr>
        <w:tc>
          <w:tcPr>
            <w:tcW w:w="2263" w:type="dxa"/>
            <w:vMerge/>
          </w:tcPr>
          <w:p w14:paraId="37462DE5"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1A5B6995"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3FEE463B"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Valoarea totală a capturilor și mortalitatea peștilor pe specii</w:t>
            </w:r>
          </w:p>
        </w:tc>
      </w:tr>
      <w:tr w:rsidR="00344FCE" w:rsidRPr="00344FCE" w14:paraId="5A9A363E" w14:textId="77777777" w:rsidTr="00583732">
        <w:trPr>
          <w:trHeight w:val="425"/>
        </w:trPr>
        <w:tc>
          <w:tcPr>
            <w:tcW w:w="2263" w:type="dxa"/>
            <w:vMerge/>
          </w:tcPr>
          <w:p w14:paraId="7F7A782D"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186157FA"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6978CE96"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Valoarea capturilor totale pe port și specii.</w:t>
            </w:r>
          </w:p>
        </w:tc>
      </w:tr>
      <w:tr w:rsidR="00344FCE" w:rsidRPr="00344FCE" w14:paraId="2A3ED4C4" w14:textId="77777777" w:rsidTr="00583732">
        <w:tc>
          <w:tcPr>
            <w:tcW w:w="2263" w:type="dxa"/>
            <w:vMerge/>
          </w:tcPr>
          <w:p w14:paraId="691FDBFC" w14:textId="77777777" w:rsidR="00344FCE" w:rsidRPr="00344FCE" w:rsidRDefault="00344FCE" w:rsidP="00344FCE">
            <w:pPr>
              <w:spacing w:before="0" w:after="0"/>
              <w:ind w:firstLine="0"/>
              <w:contextualSpacing/>
              <w:jc w:val="left"/>
              <w:rPr>
                <w:rFonts w:cs="Times New Roman"/>
                <w:kern w:val="0"/>
                <w:lang w:val="ro-RO"/>
              </w:rPr>
            </w:pPr>
          </w:p>
        </w:tc>
        <w:tc>
          <w:tcPr>
            <w:tcW w:w="4536" w:type="dxa"/>
          </w:tcPr>
          <w:p w14:paraId="06474F3B"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Sustenabilitatea pescuitului</w:t>
            </w:r>
          </w:p>
        </w:tc>
        <w:tc>
          <w:tcPr>
            <w:tcW w:w="6237" w:type="dxa"/>
          </w:tcPr>
          <w:p w14:paraId="78B7477F"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Numărul de unelte de pescuit prietenoase cu mediul</w:t>
            </w:r>
          </w:p>
        </w:tc>
      </w:tr>
      <w:tr w:rsidR="00344FCE" w:rsidRPr="00344FCE" w14:paraId="6FC35583" w14:textId="77777777" w:rsidTr="00583732">
        <w:trPr>
          <w:trHeight w:val="492"/>
        </w:trPr>
        <w:tc>
          <w:tcPr>
            <w:tcW w:w="2263" w:type="dxa"/>
            <w:vMerge/>
          </w:tcPr>
          <w:p w14:paraId="47751FF8"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val="restart"/>
          </w:tcPr>
          <w:p w14:paraId="735852D8" w14:textId="77777777" w:rsidR="00344FCE" w:rsidRPr="00344FCE" w:rsidRDefault="00344FCE" w:rsidP="00344FCE">
            <w:pPr>
              <w:spacing w:before="0" w:after="0"/>
              <w:ind w:firstLine="0"/>
              <w:contextualSpacing/>
              <w:jc w:val="left"/>
              <w:rPr>
                <w:rFonts w:cs="Times New Roman"/>
                <w:kern w:val="0"/>
                <w:lang w:val="ro-RO"/>
              </w:rPr>
            </w:pPr>
          </w:p>
          <w:p w14:paraId="1E6F1BF0" w14:textId="77777777" w:rsidR="00344FCE" w:rsidRPr="00344FCE" w:rsidRDefault="00344FCE" w:rsidP="00344FCE">
            <w:pPr>
              <w:spacing w:before="0" w:after="0"/>
              <w:ind w:firstLine="0"/>
              <w:contextualSpacing/>
              <w:jc w:val="left"/>
              <w:rPr>
                <w:rFonts w:cs="Times New Roman"/>
                <w:kern w:val="0"/>
                <w:lang w:val="ro-RO"/>
              </w:rPr>
            </w:pPr>
          </w:p>
          <w:p w14:paraId="278F7638" w14:textId="77777777" w:rsidR="00344FCE" w:rsidRPr="00344FCE" w:rsidRDefault="00344FCE" w:rsidP="00344FCE">
            <w:pPr>
              <w:spacing w:before="0" w:after="0"/>
              <w:ind w:firstLine="0"/>
              <w:contextualSpacing/>
              <w:jc w:val="left"/>
              <w:rPr>
                <w:rFonts w:cs="Times New Roman"/>
                <w:kern w:val="0"/>
                <w:lang w:val="ro-RO"/>
              </w:rPr>
            </w:pPr>
          </w:p>
          <w:p w14:paraId="45B70661" w14:textId="77777777" w:rsidR="00344FCE" w:rsidRPr="00344FCE" w:rsidRDefault="00344FCE" w:rsidP="00344FCE">
            <w:pPr>
              <w:spacing w:before="0" w:after="0"/>
              <w:ind w:firstLine="0"/>
              <w:contextualSpacing/>
              <w:jc w:val="left"/>
              <w:rPr>
                <w:rFonts w:cs="Times New Roman"/>
                <w:kern w:val="0"/>
                <w:lang w:val="ro-RO"/>
              </w:rPr>
            </w:pPr>
          </w:p>
          <w:p w14:paraId="197C8E62"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Intensitatea turismului</w:t>
            </w:r>
          </w:p>
        </w:tc>
        <w:tc>
          <w:tcPr>
            <w:tcW w:w="6237" w:type="dxa"/>
          </w:tcPr>
          <w:p w14:paraId="5A6F0298"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Numărul de sosiri și de înnoptări în structurile de primire turistică având funcțiuni de cazare turistică</w:t>
            </w:r>
          </w:p>
        </w:tc>
      </w:tr>
      <w:tr w:rsidR="00344FCE" w:rsidRPr="00344FCE" w14:paraId="5F566DA3" w14:textId="77777777" w:rsidTr="00583732">
        <w:trPr>
          <w:trHeight w:val="500"/>
        </w:trPr>
        <w:tc>
          <w:tcPr>
            <w:tcW w:w="2263" w:type="dxa"/>
            <w:vMerge/>
          </w:tcPr>
          <w:p w14:paraId="33B469B1"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2B4782BE"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716F8BE3"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Capacitatea de cazare turistică în funcțiune pe tipuri de structuri de primire turistică (în locuri-zile)</w:t>
            </w:r>
          </w:p>
        </w:tc>
      </w:tr>
      <w:tr w:rsidR="00344FCE" w:rsidRPr="00344FCE" w14:paraId="7E649418" w14:textId="77777777" w:rsidTr="00583732">
        <w:trPr>
          <w:trHeight w:val="665"/>
        </w:trPr>
        <w:tc>
          <w:tcPr>
            <w:tcW w:w="2263" w:type="dxa"/>
            <w:vMerge/>
          </w:tcPr>
          <w:p w14:paraId="11B8EEE5"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7EB17126"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784EB437"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Densitatea presiunii turistice la nivel teritorial (nr. de sosiri ale turiștilor/ km</w:t>
            </w:r>
            <w:r w:rsidRPr="00344FCE">
              <w:rPr>
                <w:rFonts w:cs="Times New Roman"/>
                <w:kern w:val="0"/>
                <w:vertAlign w:val="superscript"/>
                <w:lang w:val="ro-RO"/>
              </w:rPr>
              <w:t>2</w:t>
            </w:r>
            <w:r w:rsidRPr="00344FCE">
              <w:rPr>
                <w:rFonts w:cs="Times New Roman"/>
                <w:kern w:val="0"/>
                <w:lang w:val="ro-RO"/>
              </w:rPr>
              <w:t>/an)</w:t>
            </w:r>
          </w:p>
        </w:tc>
      </w:tr>
      <w:tr w:rsidR="00344FCE" w:rsidRPr="00344FCE" w14:paraId="269510AA" w14:textId="77777777" w:rsidTr="00583732">
        <w:trPr>
          <w:trHeight w:val="493"/>
        </w:trPr>
        <w:tc>
          <w:tcPr>
            <w:tcW w:w="2263" w:type="dxa"/>
            <w:vMerge/>
          </w:tcPr>
          <w:p w14:paraId="73924F22"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4EF2B347"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4FD4823C"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Durata presiunii turistice (nr. de înnoptări/km</w:t>
            </w:r>
            <w:r w:rsidRPr="00344FCE">
              <w:rPr>
                <w:rFonts w:cs="Times New Roman"/>
                <w:kern w:val="0"/>
                <w:vertAlign w:val="superscript"/>
                <w:lang w:val="ro-RO"/>
              </w:rPr>
              <w:t>2</w:t>
            </w:r>
            <w:r w:rsidRPr="00344FCE">
              <w:rPr>
                <w:rFonts w:cs="Times New Roman"/>
                <w:kern w:val="0"/>
                <w:lang w:val="ro-RO"/>
              </w:rPr>
              <w:t xml:space="preserve"> /an)</w:t>
            </w:r>
          </w:p>
        </w:tc>
      </w:tr>
      <w:tr w:rsidR="00344FCE" w:rsidRPr="00344FCE" w14:paraId="11D55A0E" w14:textId="77777777" w:rsidTr="00583732">
        <w:trPr>
          <w:trHeight w:val="553"/>
        </w:trPr>
        <w:tc>
          <w:tcPr>
            <w:tcW w:w="2263" w:type="dxa"/>
            <w:vMerge/>
          </w:tcPr>
          <w:p w14:paraId="3FAD0D91"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6CEE5C46"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0F56D927"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Presiunea socială generată de turiști (nr. de sosiri ale turiștilor/nr. locuitori din destinație)</w:t>
            </w:r>
          </w:p>
        </w:tc>
      </w:tr>
      <w:tr w:rsidR="00344FCE" w:rsidRPr="00344FCE" w14:paraId="44DE99FE" w14:textId="77777777" w:rsidTr="00583732">
        <w:tc>
          <w:tcPr>
            <w:tcW w:w="2263" w:type="dxa"/>
            <w:vMerge/>
          </w:tcPr>
          <w:p w14:paraId="40EC76FF"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val="restart"/>
          </w:tcPr>
          <w:p w14:paraId="4A9DD90C" w14:textId="77777777" w:rsidR="00344FCE" w:rsidRPr="00344FCE" w:rsidRDefault="00344FCE" w:rsidP="00344FCE">
            <w:pPr>
              <w:spacing w:before="0" w:after="0"/>
              <w:ind w:firstLine="0"/>
              <w:contextualSpacing/>
              <w:jc w:val="left"/>
              <w:rPr>
                <w:rFonts w:cs="Times New Roman"/>
                <w:kern w:val="0"/>
                <w:lang w:val="ro-RO"/>
              </w:rPr>
            </w:pPr>
          </w:p>
          <w:p w14:paraId="249C74FB"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Sustenabilitatea turismului</w:t>
            </w:r>
          </w:p>
        </w:tc>
        <w:tc>
          <w:tcPr>
            <w:tcW w:w="6237" w:type="dxa"/>
          </w:tcPr>
          <w:p w14:paraId="21408FEF"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 de plaje și porturi de agrement ce dețin distincția Blue Flag</w:t>
            </w:r>
          </w:p>
        </w:tc>
      </w:tr>
      <w:tr w:rsidR="00344FCE" w:rsidRPr="00344FCE" w14:paraId="20F93369" w14:textId="77777777" w:rsidTr="00583732">
        <w:tc>
          <w:tcPr>
            <w:tcW w:w="2263" w:type="dxa"/>
            <w:vMerge/>
          </w:tcPr>
          <w:p w14:paraId="2AC67AC5"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1B6094B6"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6335C5FC"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 de operatori de turism ce dețin eticheta ecologică</w:t>
            </w:r>
          </w:p>
        </w:tc>
      </w:tr>
      <w:tr w:rsidR="00344FCE" w:rsidRPr="00344FCE" w14:paraId="4F65603E" w14:textId="77777777" w:rsidTr="00583732">
        <w:trPr>
          <w:trHeight w:val="289"/>
        </w:trPr>
        <w:tc>
          <w:tcPr>
            <w:tcW w:w="2263" w:type="dxa"/>
            <w:vMerge/>
          </w:tcPr>
          <w:p w14:paraId="1335F4FA"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val="restart"/>
          </w:tcPr>
          <w:p w14:paraId="1803C648"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 xml:space="preserve">Agricultură sustenabilă </w:t>
            </w:r>
          </w:p>
        </w:tc>
        <w:tc>
          <w:tcPr>
            <w:tcW w:w="6237" w:type="dxa"/>
          </w:tcPr>
          <w:p w14:paraId="63DA791E"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Procentul de teren agricol utilizat pentru agricultura ecologică</w:t>
            </w:r>
          </w:p>
        </w:tc>
      </w:tr>
      <w:tr w:rsidR="00344FCE" w:rsidRPr="00344FCE" w14:paraId="679F9D23" w14:textId="77777777" w:rsidTr="00583732">
        <w:trPr>
          <w:trHeight w:val="457"/>
        </w:trPr>
        <w:tc>
          <w:tcPr>
            <w:tcW w:w="2263" w:type="dxa"/>
            <w:vMerge/>
          </w:tcPr>
          <w:p w14:paraId="7F2A1D63"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0DB64A44"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254BCA60"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Procentul de teren  agricol utilizat intensiv</w:t>
            </w:r>
          </w:p>
        </w:tc>
      </w:tr>
      <w:tr w:rsidR="00344FCE" w:rsidRPr="00344FCE" w14:paraId="41AED86D" w14:textId="77777777" w:rsidTr="00583732">
        <w:trPr>
          <w:trHeight w:val="276"/>
        </w:trPr>
        <w:tc>
          <w:tcPr>
            <w:tcW w:w="2263" w:type="dxa"/>
            <w:vMerge/>
          </w:tcPr>
          <w:p w14:paraId="715C46DE"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val="restart"/>
          </w:tcPr>
          <w:p w14:paraId="7C1795DA"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Transport sustenabil</w:t>
            </w:r>
          </w:p>
        </w:tc>
        <w:tc>
          <w:tcPr>
            <w:tcW w:w="6237" w:type="dxa"/>
          </w:tcPr>
          <w:p w14:paraId="2FDCB8EB"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Procentul de vehicule ce folosesc surse alternative de energie</w:t>
            </w:r>
          </w:p>
        </w:tc>
      </w:tr>
      <w:tr w:rsidR="00344FCE" w:rsidRPr="00344FCE" w14:paraId="24FBDB00" w14:textId="77777777" w:rsidTr="00583732">
        <w:trPr>
          <w:trHeight w:val="276"/>
        </w:trPr>
        <w:tc>
          <w:tcPr>
            <w:tcW w:w="2263" w:type="dxa"/>
            <w:vMerge/>
          </w:tcPr>
          <w:p w14:paraId="6BB1AB41"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1A03DEC4"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2185CC50"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Procentul de ambarcațiuni ce folosesc surse alternative de energie</w:t>
            </w:r>
          </w:p>
        </w:tc>
      </w:tr>
      <w:tr w:rsidR="00344FCE" w:rsidRPr="00344FCE" w14:paraId="061EED7E" w14:textId="77777777" w:rsidTr="00583732">
        <w:trPr>
          <w:trHeight w:val="550"/>
        </w:trPr>
        <w:tc>
          <w:tcPr>
            <w:tcW w:w="2263" w:type="dxa"/>
            <w:vMerge/>
          </w:tcPr>
          <w:p w14:paraId="6D0D62D8"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val="restart"/>
          </w:tcPr>
          <w:p w14:paraId="3595DC20" w14:textId="77777777" w:rsidR="00344FCE" w:rsidRPr="00344FCE" w:rsidRDefault="00344FCE" w:rsidP="00344FCE">
            <w:pPr>
              <w:spacing w:before="0" w:after="0"/>
              <w:ind w:firstLine="0"/>
              <w:contextualSpacing/>
              <w:jc w:val="left"/>
              <w:rPr>
                <w:rFonts w:cs="Times New Roman"/>
                <w:kern w:val="0"/>
                <w:lang w:val="ro-RO"/>
              </w:rPr>
            </w:pPr>
          </w:p>
          <w:p w14:paraId="512A8194"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Economie albastră</w:t>
            </w:r>
          </w:p>
        </w:tc>
        <w:tc>
          <w:tcPr>
            <w:tcW w:w="6237" w:type="dxa"/>
          </w:tcPr>
          <w:p w14:paraId="66B9EF51"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Numărul persoanelor angajate în sectoarele Economiei Albastre</w:t>
            </w:r>
          </w:p>
        </w:tc>
      </w:tr>
      <w:tr w:rsidR="00344FCE" w:rsidRPr="00344FCE" w14:paraId="28D2ABFF" w14:textId="77777777" w:rsidTr="00583732">
        <w:trPr>
          <w:trHeight w:val="275"/>
        </w:trPr>
        <w:tc>
          <w:tcPr>
            <w:tcW w:w="2263" w:type="dxa"/>
            <w:vMerge/>
          </w:tcPr>
          <w:p w14:paraId="6B899FEF"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19C997A0"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65CA9C15"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Total venituri generate de sectoarele Economiei Albastre</w:t>
            </w:r>
          </w:p>
        </w:tc>
      </w:tr>
      <w:tr w:rsidR="00344FCE" w:rsidRPr="00344FCE" w14:paraId="5DF5E599" w14:textId="77777777" w:rsidTr="00583732">
        <w:trPr>
          <w:trHeight w:val="421"/>
        </w:trPr>
        <w:tc>
          <w:tcPr>
            <w:tcW w:w="2263" w:type="dxa"/>
            <w:vMerge w:val="restart"/>
          </w:tcPr>
          <w:p w14:paraId="351D0B5C" w14:textId="77777777" w:rsidR="00344FCE" w:rsidRPr="00344FCE" w:rsidRDefault="00344FCE" w:rsidP="00344FCE">
            <w:pPr>
              <w:spacing w:before="0" w:after="0"/>
              <w:ind w:firstLine="0"/>
              <w:contextualSpacing/>
              <w:jc w:val="left"/>
              <w:rPr>
                <w:rFonts w:cs="Times New Roman"/>
                <w:kern w:val="0"/>
                <w:lang w:val="ro-RO"/>
              </w:rPr>
            </w:pPr>
          </w:p>
          <w:p w14:paraId="3649AB54" w14:textId="77777777" w:rsidR="00344FCE" w:rsidRPr="00344FCE" w:rsidRDefault="00344FCE" w:rsidP="00344FCE">
            <w:pPr>
              <w:spacing w:before="0" w:after="0"/>
              <w:ind w:firstLine="0"/>
              <w:contextualSpacing/>
              <w:jc w:val="left"/>
              <w:rPr>
                <w:rFonts w:cs="Times New Roman"/>
                <w:kern w:val="0"/>
                <w:lang w:val="ro-RO"/>
              </w:rPr>
            </w:pPr>
          </w:p>
          <w:p w14:paraId="433E865D" w14:textId="77777777" w:rsidR="00344FCE" w:rsidRPr="00344FCE" w:rsidRDefault="00344FCE" w:rsidP="00344FCE">
            <w:pPr>
              <w:spacing w:before="0" w:after="0"/>
              <w:ind w:firstLine="0"/>
              <w:contextualSpacing/>
              <w:jc w:val="left"/>
              <w:rPr>
                <w:rFonts w:cs="Times New Roman"/>
                <w:kern w:val="0"/>
                <w:lang w:val="ro-RO"/>
              </w:rPr>
            </w:pPr>
          </w:p>
          <w:p w14:paraId="50B57740" w14:textId="77777777" w:rsidR="00344FCE" w:rsidRPr="00344FCE" w:rsidRDefault="00344FCE" w:rsidP="00344FCE">
            <w:pPr>
              <w:spacing w:before="0" w:after="0"/>
              <w:ind w:firstLine="0"/>
              <w:contextualSpacing/>
              <w:jc w:val="left"/>
              <w:rPr>
                <w:rFonts w:cs="Times New Roman"/>
                <w:kern w:val="0"/>
                <w:lang w:val="ro-RO"/>
              </w:rPr>
            </w:pPr>
          </w:p>
          <w:p w14:paraId="5CACA771"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Creșterea eficienței sistemului de management al zonei costiere</w:t>
            </w:r>
          </w:p>
        </w:tc>
        <w:tc>
          <w:tcPr>
            <w:tcW w:w="4536" w:type="dxa"/>
            <w:vMerge w:val="restart"/>
          </w:tcPr>
          <w:p w14:paraId="66A0880B"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Observator al Zonei Costiere funcțional</w:t>
            </w:r>
          </w:p>
        </w:tc>
        <w:tc>
          <w:tcPr>
            <w:tcW w:w="6237" w:type="dxa"/>
          </w:tcPr>
          <w:p w14:paraId="379000B6"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 de furnizori de date</w:t>
            </w:r>
          </w:p>
          <w:p w14:paraId="2A78237B" w14:textId="77777777" w:rsidR="00344FCE" w:rsidRPr="00344FCE" w:rsidRDefault="00344FCE" w:rsidP="00344FCE">
            <w:pPr>
              <w:spacing w:before="0" w:after="0"/>
              <w:ind w:firstLine="0"/>
              <w:contextualSpacing/>
              <w:jc w:val="left"/>
              <w:rPr>
                <w:rFonts w:cs="Times New Roman"/>
                <w:kern w:val="0"/>
                <w:lang w:val="ro-RO"/>
              </w:rPr>
            </w:pPr>
          </w:p>
        </w:tc>
      </w:tr>
      <w:tr w:rsidR="00344FCE" w:rsidRPr="00344FCE" w14:paraId="1E55BF93" w14:textId="77777777" w:rsidTr="00583732">
        <w:trPr>
          <w:trHeight w:val="415"/>
        </w:trPr>
        <w:tc>
          <w:tcPr>
            <w:tcW w:w="2263" w:type="dxa"/>
            <w:vMerge/>
          </w:tcPr>
          <w:p w14:paraId="3D75F619"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716EFCEA"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49E9830F"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 de beneficiari ai datelor și informațiilor</w:t>
            </w:r>
          </w:p>
        </w:tc>
      </w:tr>
      <w:tr w:rsidR="00344FCE" w:rsidRPr="00344FCE" w14:paraId="246E438C" w14:textId="77777777" w:rsidTr="00583732">
        <w:tc>
          <w:tcPr>
            <w:tcW w:w="2263" w:type="dxa"/>
            <w:vMerge/>
          </w:tcPr>
          <w:p w14:paraId="5AA33E2C" w14:textId="77777777" w:rsidR="00344FCE" w:rsidRPr="00344FCE" w:rsidRDefault="00344FCE" w:rsidP="00344FCE">
            <w:pPr>
              <w:spacing w:before="0" w:after="0"/>
              <w:ind w:firstLine="0"/>
              <w:contextualSpacing/>
              <w:jc w:val="left"/>
              <w:rPr>
                <w:rFonts w:cs="Times New Roman"/>
                <w:kern w:val="0"/>
                <w:lang w:val="ro-RO"/>
              </w:rPr>
            </w:pPr>
          </w:p>
        </w:tc>
        <w:tc>
          <w:tcPr>
            <w:tcW w:w="4536" w:type="dxa"/>
          </w:tcPr>
          <w:p w14:paraId="4394FAAC"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Plan de comunicare al Strategiei</w:t>
            </w:r>
          </w:p>
        </w:tc>
        <w:tc>
          <w:tcPr>
            <w:tcW w:w="6237" w:type="dxa"/>
          </w:tcPr>
          <w:p w14:paraId="45616669"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-numărul de vizitatori ai website-ului dedicat;</w:t>
            </w:r>
          </w:p>
          <w:p w14:paraId="44A2A063"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 numărul articolelor de presă care promovează evenimentul de lansare a implementării Strategiei naționale MIZC</w:t>
            </w:r>
          </w:p>
          <w:p w14:paraId="2DEFD26E"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 numărul de buletine informative și comunicate de presă;</w:t>
            </w:r>
          </w:p>
          <w:p w14:paraId="64687EFB"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 număr de conferințe de presă;</w:t>
            </w:r>
          </w:p>
          <w:p w14:paraId="17DC45CB"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 numărul de participanți la dezbateri publice / procese consultative;</w:t>
            </w:r>
          </w:p>
          <w:p w14:paraId="786E31B8"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 numărul de postări în social media;</w:t>
            </w:r>
          </w:p>
          <w:p w14:paraId="367649CB"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 numărul de spoturi publicitare (radio, tv) dedicate MIZC;</w:t>
            </w:r>
          </w:p>
          <w:p w14:paraId="72F9C497"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 numărul de evenimente dedicate publicului larg;</w:t>
            </w:r>
          </w:p>
          <w:p w14:paraId="72F7B882"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 numărul de eveniment dedicate publicului specializat;</w:t>
            </w:r>
          </w:p>
        </w:tc>
      </w:tr>
      <w:tr w:rsidR="00344FCE" w:rsidRPr="00344FCE" w14:paraId="3CD1A38E" w14:textId="77777777" w:rsidTr="00583732">
        <w:trPr>
          <w:trHeight w:val="198"/>
        </w:trPr>
        <w:tc>
          <w:tcPr>
            <w:tcW w:w="2263" w:type="dxa"/>
            <w:vMerge/>
          </w:tcPr>
          <w:p w14:paraId="35221020"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val="restart"/>
          </w:tcPr>
          <w:p w14:paraId="76D1734A"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Controlul activităților socio-economice</w:t>
            </w:r>
          </w:p>
        </w:tc>
        <w:tc>
          <w:tcPr>
            <w:tcW w:w="6237" w:type="dxa"/>
          </w:tcPr>
          <w:p w14:paraId="5C40CBA7"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 de controale / an</w:t>
            </w:r>
          </w:p>
        </w:tc>
      </w:tr>
      <w:tr w:rsidR="00344FCE" w:rsidRPr="00344FCE" w14:paraId="65D243C1" w14:textId="77777777" w:rsidTr="00583732">
        <w:trPr>
          <w:trHeight w:val="198"/>
        </w:trPr>
        <w:tc>
          <w:tcPr>
            <w:tcW w:w="2263" w:type="dxa"/>
            <w:vMerge/>
          </w:tcPr>
          <w:p w14:paraId="517C48EA"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28061A0B"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0D21D418"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Total venituri încasate în urma activităților de control</w:t>
            </w:r>
          </w:p>
        </w:tc>
      </w:tr>
      <w:tr w:rsidR="00344FCE" w:rsidRPr="00344FCE" w14:paraId="62403E43" w14:textId="77777777" w:rsidTr="00583732">
        <w:trPr>
          <w:trHeight w:val="198"/>
        </w:trPr>
        <w:tc>
          <w:tcPr>
            <w:tcW w:w="2263" w:type="dxa"/>
            <w:vMerge/>
          </w:tcPr>
          <w:p w14:paraId="4E7E354E"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5ACFC448"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6FA9DAEA"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Valoarea economică a resurselor exploatate ilegal</w:t>
            </w:r>
          </w:p>
        </w:tc>
      </w:tr>
      <w:tr w:rsidR="00344FCE" w:rsidRPr="00344FCE" w14:paraId="116AB1A3" w14:textId="77777777" w:rsidTr="00583732">
        <w:trPr>
          <w:trHeight w:val="198"/>
        </w:trPr>
        <w:tc>
          <w:tcPr>
            <w:tcW w:w="2263" w:type="dxa"/>
            <w:vMerge/>
          </w:tcPr>
          <w:p w14:paraId="55A188E6" w14:textId="77777777" w:rsidR="00344FCE" w:rsidRPr="00344FCE" w:rsidRDefault="00344FCE" w:rsidP="00344FCE">
            <w:pPr>
              <w:spacing w:before="0" w:after="0"/>
              <w:ind w:firstLine="0"/>
              <w:contextualSpacing/>
              <w:jc w:val="left"/>
              <w:rPr>
                <w:rFonts w:cs="Times New Roman"/>
                <w:kern w:val="0"/>
                <w:lang w:val="ro-RO"/>
              </w:rPr>
            </w:pPr>
          </w:p>
        </w:tc>
        <w:tc>
          <w:tcPr>
            <w:tcW w:w="4536" w:type="dxa"/>
            <w:vMerge/>
          </w:tcPr>
          <w:p w14:paraId="310DC35C" w14:textId="77777777" w:rsidR="00344FCE" w:rsidRPr="00344FCE" w:rsidRDefault="00344FCE" w:rsidP="00344FCE">
            <w:pPr>
              <w:spacing w:before="0" w:after="0"/>
              <w:ind w:firstLine="0"/>
              <w:contextualSpacing/>
              <w:jc w:val="left"/>
              <w:rPr>
                <w:rFonts w:cs="Times New Roman"/>
                <w:kern w:val="0"/>
                <w:lang w:val="ro-RO"/>
              </w:rPr>
            </w:pPr>
          </w:p>
        </w:tc>
        <w:tc>
          <w:tcPr>
            <w:tcW w:w="6237" w:type="dxa"/>
          </w:tcPr>
          <w:p w14:paraId="780C7829"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 de clădiri construite și suprafața terenurilor ocupate ilegal</w:t>
            </w:r>
          </w:p>
        </w:tc>
      </w:tr>
      <w:tr w:rsidR="00344FCE" w:rsidRPr="00344FCE" w14:paraId="082FF327" w14:textId="77777777" w:rsidTr="00583732">
        <w:trPr>
          <w:trHeight w:val="555"/>
        </w:trPr>
        <w:tc>
          <w:tcPr>
            <w:tcW w:w="2263" w:type="dxa"/>
            <w:vMerge w:val="restart"/>
          </w:tcPr>
          <w:p w14:paraId="452D6DB1" w14:textId="77777777" w:rsidR="00344FCE" w:rsidRPr="00344FCE" w:rsidRDefault="00344FCE" w:rsidP="00344FCE">
            <w:pPr>
              <w:spacing w:before="0" w:after="0"/>
              <w:ind w:firstLine="0"/>
              <w:contextualSpacing/>
              <w:jc w:val="left"/>
              <w:rPr>
                <w:rFonts w:cs="Times New Roman"/>
                <w:kern w:val="0"/>
                <w:lang w:val="ro-RO"/>
              </w:rPr>
            </w:pPr>
          </w:p>
          <w:p w14:paraId="7AD5F0F8"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Consolidarea resursei umane și coeziunii sociale</w:t>
            </w:r>
          </w:p>
        </w:tc>
        <w:tc>
          <w:tcPr>
            <w:tcW w:w="4536" w:type="dxa"/>
          </w:tcPr>
          <w:p w14:paraId="7C8A59D8"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Gradul de informare și implicare a cetățenilor</w:t>
            </w:r>
          </w:p>
        </w:tc>
        <w:tc>
          <w:tcPr>
            <w:tcW w:w="6237" w:type="dxa"/>
          </w:tcPr>
          <w:p w14:paraId="62A5A821"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 de voluntari implicați în monitorizarea zonei costiere</w:t>
            </w:r>
          </w:p>
        </w:tc>
      </w:tr>
      <w:tr w:rsidR="00344FCE" w:rsidRPr="00344FCE" w14:paraId="24BA3305" w14:textId="77777777" w:rsidTr="00583732">
        <w:trPr>
          <w:trHeight w:val="563"/>
        </w:trPr>
        <w:tc>
          <w:tcPr>
            <w:tcW w:w="2263" w:type="dxa"/>
            <w:vMerge/>
          </w:tcPr>
          <w:p w14:paraId="328FC7A1" w14:textId="77777777" w:rsidR="00344FCE" w:rsidRPr="00344FCE" w:rsidRDefault="00344FCE" w:rsidP="00344FCE">
            <w:pPr>
              <w:spacing w:before="0" w:after="0"/>
              <w:ind w:firstLine="0"/>
              <w:contextualSpacing/>
              <w:jc w:val="left"/>
              <w:rPr>
                <w:rFonts w:cs="Times New Roman"/>
                <w:kern w:val="0"/>
                <w:lang w:val="ro-RO"/>
              </w:rPr>
            </w:pPr>
          </w:p>
        </w:tc>
        <w:tc>
          <w:tcPr>
            <w:tcW w:w="4536" w:type="dxa"/>
          </w:tcPr>
          <w:p w14:paraId="50EA48A0"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Nivelul de instruire al actorilor implicați în managementul integrat al zonei costiere</w:t>
            </w:r>
          </w:p>
        </w:tc>
        <w:tc>
          <w:tcPr>
            <w:tcW w:w="6237" w:type="dxa"/>
          </w:tcPr>
          <w:p w14:paraId="46F0F37F" w14:textId="77777777" w:rsidR="00344FCE" w:rsidRPr="00344FCE" w:rsidRDefault="00344FCE" w:rsidP="00344FCE">
            <w:pPr>
              <w:spacing w:before="0" w:after="0"/>
              <w:ind w:firstLine="0"/>
              <w:contextualSpacing/>
              <w:jc w:val="left"/>
              <w:rPr>
                <w:rFonts w:cs="Times New Roman"/>
                <w:kern w:val="0"/>
                <w:lang w:val="ro-RO"/>
              </w:rPr>
            </w:pPr>
            <w:r w:rsidRPr="00344FCE">
              <w:rPr>
                <w:rFonts w:cs="Times New Roman"/>
                <w:kern w:val="0"/>
                <w:lang w:val="ro-RO"/>
              </w:rPr>
              <w:t>Număr de programe de asistență tehnică</w:t>
            </w:r>
          </w:p>
        </w:tc>
      </w:tr>
    </w:tbl>
    <w:p w14:paraId="1643FF2A" w14:textId="77777777" w:rsidR="00B50691" w:rsidRDefault="00B50691" w:rsidP="00344FCE">
      <w:pPr>
        <w:ind w:firstLine="0"/>
        <w:rPr>
          <w:lang w:val="ro-RO"/>
        </w:rPr>
      </w:pPr>
    </w:p>
    <w:p w14:paraId="6B80C4B8" w14:textId="77777777" w:rsidR="005D2CE5" w:rsidRDefault="005D2CE5" w:rsidP="00344FCE">
      <w:pPr>
        <w:ind w:firstLine="0"/>
        <w:rPr>
          <w:lang w:val="ro-RO"/>
        </w:rPr>
      </w:pPr>
    </w:p>
    <w:p w14:paraId="16E607E2" w14:textId="77777777" w:rsidR="005D2CE5" w:rsidRDefault="005D2CE5" w:rsidP="00344FCE">
      <w:pPr>
        <w:ind w:firstLine="0"/>
        <w:rPr>
          <w:lang w:val="ro-RO"/>
        </w:rPr>
      </w:pPr>
    </w:p>
    <w:p w14:paraId="11C934DB" w14:textId="77777777" w:rsidR="005D2CE5" w:rsidRDefault="005D2CE5" w:rsidP="00344FCE">
      <w:pPr>
        <w:ind w:firstLine="0"/>
        <w:rPr>
          <w:lang w:val="ro-RO"/>
        </w:rPr>
      </w:pPr>
    </w:p>
    <w:p w14:paraId="6EFD8189" w14:textId="77777777" w:rsidR="005D2CE5" w:rsidRDefault="005D2CE5" w:rsidP="00344FCE">
      <w:pPr>
        <w:ind w:firstLine="0"/>
        <w:rPr>
          <w:lang w:val="ro-RO"/>
        </w:rPr>
      </w:pPr>
    </w:p>
    <w:p w14:paraId="65869BD5" w14:textId="4FD2F1E9" w:rsidR="00C90B98" w:rsidRDefault="00C90B98" w:rsidP="00C90B98">
      <w:pPr>
        <w:pStyle w:val="Heading2"/>
      </w:pPr>
      <w:bookmarkStart w:id="169" w:name="_Toc150501481"/>
      <w:bookmarkStart w:id="170" w:name="_Toc169625162"/>
      <w:r>
        <w:t>Anexa 4</w:t>
      </w:r>
      <w:bookmarkEnd w:id="170"/>
      <w:r w:rsidR="003B5B5D" w:rsidRPr="003B5B5D">
        <w:t xml:space="preserve"> </w:t>
      </w:r>
    </w:p>
    <w:bookmarkEnd w:id="169"/>
    <w:p w14:paraId="1FB1AF87" w14:textId="77777777" w:rsidR="003B5B5D" w:rsidRDefault="003B5B5D" w:rsidP="003B5B5D">
      <w:pPr>
        <w:pBdr>
          <w:top w:val="nil"/>
          <w:left w:val="nil"/>
          <w:bottom w:val="nil"/>
          <w:right w:val="nil"/>
          <w:between w:val="nil"/>
        </w:pBdr>
        <w:ind w:firstLine="567"/>
        <w:rPr>
          <w:rFonts w:eastAsia="Times New Roman" w:cs="Times New Roman"/>
        </w:rPr>
      </w:pPr>
      <w:r w:rsidRPr="00C90B98">
        <w:rPr>
          <w:rFonts w:eastAsia="Times New Roman" w:cs="Times New Roman"/>
        </w:rPr>
        <w:t>Anexa grupează un număr de 54 de acte normative referitoare direct sau indirect la zona costieră a Mării Negre. Actele normative sunt grupate pe 2 categorii: legislație primară și legislație complementară. În prima categorie sunt incluse 3 OUG-uri și 3 HG-uri refeitoare la protecția mediului, a zonei costiere și a plajelor. În a 2-a categorie sunt incluse acte normative – legi, OUG, OG, HG, ordine de ministru – referitoare la Rezervația Biosferei „Delta Dunării”, la activitățile economice și socio-culturale din zona costieră, la protejarea elementelor de patrimoniu natural și construit sau la activitățile de planificare spațială. Actele normative sunt ordonate pe categorii: legi, ordonanțe de urgență (OUG), ordonanțe (OG), hotărâri de guvern (HG) și ordine de ministru. Ordonarea este de tip cronologic de la cele mai recente, la cel mai vechi acte normative. Tabelul indică de asemenea instituțiile responsabile pentru aplicarea respectivelor prevederi normative precum și acte subsecvente – norme, reglementări, metodologii, planuri de management etc. – generate de respectivul act normativ. Se poate observa spectrul larg și diversitatea de actori publici, din administrațiile centrală și locale dar și din sectorul privat, implicați în activitățile legate de zona costieră a Mării Negre precum și numărul mare de acte subsecvente menționate și generate de actele normative menționate</w:t>
      </w:r>
      <w:r>
        <w:rPr>
          <w:rFonts w:eastAsia="Times New Roman" w:cs="Times New Roman"/>
        </w:rPr>
        <w:t>.</w:t>
      </w:r>
    </w:p>
    <w:p w14:paraId="7EA792E6" w14:textId="77777777" w:rsidR="003B5B5D" w:rsidRDefault="003B5B5D" w:rsidP="003B5B5D">
      <w:pPr>
        <w:pBdr>
          <w:top w:val="nil"/>
          <w:left w:val="nil"/>
          <w:bottom w:val="nil"/>
          <w:right w:val="nil"/>
          <w:between w:val="nil"/>
        </w:pBdr>
        <w:spacing w:after="200"/>
        <w:rPr>
          <w:rFonts w:eastAsia="Times New Roman" w:cs="Times New Roman"/>
          <w:b/>
          <w:sz w:val="28"/>
          <w:szCs w:val="28"/>
        </w:rPr>
      </w:pPr>
    </w:p>
    <w:tbl>
      <w:tblPr>
        <w:tblW w:w="140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3686"/>
        <w:gridCol w:w="4819"/>
        <w:gridCol w:w="4961"/>
      </w:tblGrid>
      <w:tr w:rsidR="003B5B5D" w:rsidRPr="003B5B5D" w14:paraId="007E35BA" w14:textId="77777777" w:rsidTr="003B5B5D">
        <w:trPr>
          <w:tblHeader/>
          <w:jc w:val="center"/>
        </w:trPr>
        <w:tc>
          <w:tcPr>
            <w:tcW w:w="562" w:type="dxa"/>
          </w:tcPr>
          <w:p w14:paraId="7DBB7EFB" w14:textId="77777777" w:rsidR="003B5B5D" w:rsidRPr="003B5B5D" w:rsidRDefault="003B5B5D" w:rsidP="003B5B5D">
            <w:pPr>
              <w:tabs>
                <w:tab w:val="left" w:pos="29"/>
                <w:tab w:val="left" w:pos="1447"/>
              </w:tabs>
              <w:spacing w:after="40"/>
              <w:ind w:firstLine="0"/>
              <w:rPr>
                <w:rFonts w:eastAsia="Times New Roman" w:cs="Times New Roman"/>
                <w:b/>
                <w:sz w:val="22"/>
                <w:szCs w:val="22"/>
              </w:rPr>
            </w:pPr>
            <w:r w:rsidRPr="003B5B5D">
              <w:rPr>
                <w:rFonts w:eastAsia="Times New Roman" w:cs="Times New Roman"/>
                <w:b/>
                <w:sz w:val="22"/>
                <w:szCs w:val="22"/>
              </w:rPr>
              <w:lastRenderedPageBreak/>
              <w:t>Nr. crt.</w:t>
            </w:r>
          </w:p>
        </w:tc>
        <w:tc>
          <w:tcPr>
            <w:tcW w:w="3686" w:type="dxa"/>
          </w:tcPr>
          <w:p w14:paraId="1D036616" w14:textId="77777777" w:rsidR="003B5B5D" w:rsidRPr="003B5B5D" w:rsidRDefault="003B5B5D" w:rsidP="003B5B5D">
            <w:pPr>
              <w:tabs>
                <w:tab w:val="left" w:pos="29"/>
                <w:tab w:val="left" w:pos="1447"/>
              </w:tabs>
              <w:spacing w:after="40"/>
              <w:rPr>
                <w:rFonts w:eastAsia="Times New Roman" w:cs="Times New Roman"/>
                <w:b/>
                <w:sz w:val="22"/>
                <w:szCs w:val="22"/>
              </w:rPr>
            </w:pPr>
            <w:r w:rsidRPr="003B5B5D">
              <w:rPr>
                <w:rFonts w:eastAsia="Times New Roman" w:cs="Times New Roman"/>
                <w:b/>
                <w:sz w:val="22"/>
                <w:szCs w:val="22"/>
              </w:rPr>
              <w:t>Act normativ</w:t>
            </w:r>
          </w:p>
        </w:tc>
        <w:tc>
          <w:tcPr>
            <w:tcW w:w="4819" w:type="dxa"/>
          </w:tcPr>
          <w:p w14:paraId="26701A0F" w14:textId="77777777" w:rsidR="003B5B5D" w:rsidRPr="003B5B5D" w:rsidRDefault="003B5B5D" w:rsidP="003B5B5D">
            <w:pPr>
              <w:spacing w:after="40"/>
              <w:ind w:firstLine="0"/>
              <w:rPr>
                <w:rFonts w:eastAsia="Times New Roman" w:cs="Times New Roman"/>
                <w:b/>
                <w:sz w:val="22"/>
                <w:szCs w:val="22"/>
              </w:rPr>
            </w:pPr>
            <w:r w:rsidRPr="003B5B5D">
              <w:rPr>
                <w:rFonts w:eastAsia="Times New Roman" w:cs="Times New Roman"/>
                <w:b/>
                <w:sz w:val="22"/>
                <w:szCs w:val="22"/>
              </w:rPr>
              <w:t>Instituție responsabilă (conf. actului normativ)</w:t>
            </w:r>
          </w:p>
        </w:tc>
        <w:tc>
          <w:tcPr>
            <w:tcW w:w="4961" w:type="dxa"/>
          </w:tcPr>
          <w:p w14:paraId="35A4708A" w14:textId="77777777" w:rsidR="003B5B5D" w:rsidRPr="003B5B5D" w:rsidRDefault="003B5B5D" w:rsidP="003B5B5D">
            <w:pPr>
              <w:spacing w:after="40"/>
              <w:ind w:firstLine="34"/>
              <w:rPr>
                <w:rFonts w:eastAsia="Times New Roman" w:cs="Times New Roman"/>
                <w:b/>
                <w:sz w:val="22"/>
                <w:szCs w:val="22"/>
              </w:rPr>
            </w:pPr>
            <w:r w:rsidRPr="003B5B5D">
              <w:rPr>
                <w:rFonts w:eastAsia="Times New Roman" w:cs="Times New Roman"/>
                <w:b/>
                <w:sz w:val="22"/>
                <w:szCs w:val="22"/>
              </w:rPr>
              <w:t>Reglementări și documente subsecvente (prevăzute de actul normativ)</w:t>
            </w:r>
          </w:p>
        </w:tc>
      </w:tr>
      <w:tr w:rsidR="003B5B5D" w:rsidRPr="003B5B5D" w14:paraId="1BC7EBA9" w14:textId="77777777" w:rsidTr="003B5B5D">
        <w:trPr>
          <w:jc w:val="center"/>
        </w:trPr>
        <w:tc>
          <w:tcPr>
            <w:tcW w:w="14028" w:type="dxa"/>
            <w:gridSpan w:val="4"/>
          </w:tcPr>
          <w:p w14:paraId="04DFE103" w14:textId="77777777" w:rsidR="003B5B5D" w:rsidRPr="003B5B5D" w:rsidRDefault="003B5B5D" w:rsidP="003B5B5D">
            <w:pPr>
              <w:pBdr>
                <w:top w:val="nil"/>
                <w:left w:val="nil"/>
                <w:bottom w:val="nil"/>
                <w:right w:val="nil"/>
                <w:between w:val="nil"/>
              </w:pBdr>
              <w:spacing w:after="40"/>
              <w:rPr>
                <w:rFonts w:eastAsia="Times New Roman" w:cs="Times New Roman"/>
                <w:b/>
                <w:color w:val="000000"/>
                <w:sz w:val="22"/>
                <w:szCs w:val="22"/>
              </w:rPr>
            </w:pPr>
            <w:r w:rsidRPr="003B5B5D">
              <w:rPr>
                <w:rFonts w:eastAsia="Times New Roman" w:cs="Times New Roman"/>
                <w:b/>
                <w:color w:val="000000"/>
                <w:sz w:val="22"/>
                <w:szCs w:val="22"/>
              </w:rPr>
              <w:t xml:space="preserve">Legislație primară </w:t>
            </w:r>
          </w:p>
        </w:tc>
      </w:tr>
      <w:tr w:rsidR="003B5B5D" w:rsidRPr="003B5B5D" w14:paraId="028A68F3" w14:textId="77777777" w:rsidTr="003B5B5D">
        <w:trPr>
          <w:jc w:val="center"/>
        </w:trPr>
        <w:tc>
          <w:tcPr>
            <w:tcW w:w="562" w:type="dxa"/>
          </w:tcPr>
          <w:p w14:paraId="5FA880E0"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5E65010E"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Ordonanța de Urgență a Guvernului (OUG) nr. 202/2002 privind managementul zonei costiere aprobată cu modificările și amendamentele ulterioare prin Legea nr. 280/2003</w:t>
            </w:r>
          </w:p>
        </w:tc>
        <w:tc>
          <w:tcPr>
            <w:tcW w:w="4819" w:type="dxa"/>
          </w:tcPr>
          <w:p w14:paraId="63E658FD"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publică centrală pentru protecţia mediului şi gospodărirea apelor</w:t>
            </w:r>
          </w:p>
          <w:p w14:paraId="16F0D920"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333333"/>
                <w:sz w:val="22"/>
                <w:szCs w:val="22"/>
                <w:highlight w:val="white"/>
              </w:rPr>
            </w:pPr>
            <w:r w:rsidRPr="003B5B5D">
              <w:rPr>
                <w:rFonts w:eastAsia="Times New Roman" w:cs="Times New Roman"/>
                <w:color w:val="333333"/>
                <w:sz w:val="22"/>
                <w:szCs w:val="22"/>
                <w:highlight w:val="white"/>
              </w:rPr>
              <w:t>Autorităţile publice teritoriale pentru protecţia mediului şi autorităţile locale pentru gospodărirea apelor</w:t>
            </w:r>
          </w:p>
          <w:p w14:paraId="30C653BA"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333333"/>
                <w:sz w:val="22"/>
                <w:szCs w:val="22"/>
                <w:highlight w:val="white"/>
              </w:rPr>
            </w:pPr>
            <w:r w:rsidRPr="003B5B5D">
              <w:rPr>
                <w:rFonts w:eastAsia="Times New Roman" w:cs="Times New Roman"/>
                <w:color w:val="333333"/>
                <w:sz w:val="22"/>
                <w:szCs w:val="22"/>
                <w:highlight w:val="white"/>
              </w:rPr>
              <w:t>Ministerul Apărării Naţionale</w:t>
            </w:r>
          </w:p>
          <w:p w14:paraId="4386DBC4"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333333"/>
                <w:sz w:val="22"/>
                <w:szCs w:val="22"/>
                <w:highlight w:val="white"/>
              </w:rPr>
            </w:pPr>
            <w:r w:rsidRPr="003B5B5D">
              <w:rPr>
                <w:rFonts w:eastAsia="Times New Roman" w:cs="Times New Roman"/>
                <w:color w:val="333333"/>
                <w:sz w:val="22"/>
                <w:szCs w:val="22"/>
                <w:highlight w:val="white"/>
              </w:rPr>
              <w:t>Autoritatea publică centrală pentru lucrări publice, transporturi şi locuinţă</w:t>
            </w:r>
          </w:p>
          <w:p w14:paraId="27A9B5D6"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333333"/>
                <w:sz w:val="22"/>
                <w:szCs w:val="22"/>
                <w:highlight w:val="white"/>
              </w:rPr>
            </w:pPr>
            <w:r w:rsidRPr="003B5B5D">
              <w:rPr>
                <w:rFonts w:eastAsia="Times New Roman" w:cs="Times New Roman"/>
                <w:color w:val="333333"/>
                <w:sz w:val="22"/>
                <w:szCs w:val="22"/>
                <w:highlight w:val="white"/>
              </w:rPr>
              <w:t>Autoritatea publică centrală pentru turism</w:t>
            </w:r>
          </w:p>
          <w:p w14:paraId="34B19F18"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333333"/>
                <w:sz w:val="22"/>
                <w:szCs w:val="22"/>
                <w:highlight w:val="white"/>
              </w:rPr>
            </w:pPr>
            <w:r w:rsidRPr="003B5B5D">
              <w:rPr>
                <w:rFonts w:eastAsia="Times New Roman" w:cs="Times New Roman"/>
                <w:color w:val="333333"/>
                <w:sz w:val="22"/>
                <w:szCs w:val="22"/>
                <w:highlight w:val="white"/>
              </w:rPr>
              <w:t>Autoritatea publică centrală pentru agricultură, alimentaţie şi păduri</w:t>
            </w:r>
          </w:p>
          <w:p w14:paraId="1D313915"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333333"/>
                <w:sz w:val="22"/>
                <w:szCs w:val="22"/>
                <w:highlight w:val="white"/>
              </w:rPr>
            </w:pPr>
            <w:r w:rsidRPr="003B5B5D">
              <w:rPr>
                <w:rFonts w:eastAsia="Times New Roman" w:cs="Times New Roman"/>
                <w:color w:val="333333"/>
                <w:sz w:val="22"/>
                <w:szCs w:val="22"/>
                <w:highlight w:val="white"/>
              </w:rPr>
              <w:t>Autoritatea publică centrală care răspunde de silvilcultură</w:t>
            </w:r>
          </w:p>
          <w:p w14:paraId="04679A8C"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333333"/>
                <w:sz w:val="22"/>
                <w:szCs w:val="22"/>
                <w:highlight w:val="white"/>
              </w:rPr>
            </w:pPr>
            <w:r w:rsidRPr="003B5B5D">
              <w:rPr>
                <w:rFonts w:eastAsia="Times New Roman" w:cs="Times New Roman"/>
                <w:color w:val="333333"/>
                <w:sz w:val="22"/>
                <w:szCs w:val="22"/>
                <w:highlight w:val="white"/>
              </w:rPr>
              <w:t>Administraţiile publice locale</w:t>
            </w:r>
          </w:p>
          <w:p w14:paraId="15A09E04"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Comitetul naţional al zonei costiere (cca. 40-45 de instituții reprezentate)</w:t>
            </w:r>
          </w:p>
        </w:tc>
        <w:tc>
          <w:tcPr>
            <w:tcW w:w="4961" w:type="dxa"/>
          </w:tcPr>
          <w:p w14:paraId="4DDAB8EC"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Norme de protecţie a mediului pentru activităţile militare desfăşurate în zonele costiere.</w:t>
            </w:r>
          </w:p>
          <w:p w14:paraId="5AF51BC9"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Norme şi reguli de igienă şi sănătate privind gestiunea deşeurilor provenite ca urmare a navigaţiei de agrement.</w:t>
            </w:r>
          </w:p>
          <w:p w14:paraId="0837D6FF"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sz w:val="22"/>
                <w:szCs w:val="22"/>
              </w:rPr>
            </w:pPr>
            <w:r w:rsidRPr="003B5B5D">
              <w:rPr>
                <w:rFonts w:eastAsia="Times New Roman" w:cs="Times New Roman"/>
                <w:color w:val="000000"/>
                <w:sz w:val="22"/>
                <w:szCs w:val="22"/>
              </w:rPr>
              <w:t xml:space="preserve">Norme de calitate a apelor din zonele amenajate pentru îmbăiere şi normele de igienă pentru încadrarea plajelor, în scopul protecţiei sănătăţii publicului. </w:t>
            </w:r>
          </w:p>
          <w:p w14:paraId="613FBA78"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sz w:val="22"/>
                <w:szCs w:val="22"/>
              </w:rPr>
            </w:pPr>
            <w:r w:rsidRPr="003B5B5D">
              <w:rPr>
                <w:rFonts w:eastAsia="Times New Roman" w:cs="Times New Roman"/>
                <w:sz w:val="22"/>
                <w:szCs w:val="22"/>
              </w:rPr>
              <w:t>Metodologie de delimitare a domeniului public al statului din zona costieră (litoralul şi aria maximă costieră, conf. art. 6)</w:t>
            </w:r>
          </w:p>
          <w:p w14:paraId="64E17285"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Elaborarea planurilor de amenajare a teritoriului şi de urbanism, cu includerea prescripţiilor de gestiune a zonei costiere în regulamentele aferente.</w:t>
            </w:r>
          </w:p>
          <w:p w14:paraId="37F34BDB"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Stabilirea nominală şi pe porţiuni a apelor navigabile şi a traseelor vapoarelor, astfel încât să se evite orice risc inutil şi să se protejeze ecosistemul zonei costiere.</w:t>
            </w:r>
          </w:p>
          <w:p w14:paraId="0BB1EDD9"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Sisteme de norme privind autorizarea, clasificarea, avizarea şi controlul activităţilor de turism în zona costieră.</w:t>
            </w:r>
          </w:p>
          <w:p w14:paraId="43FE56C7"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Coduri pentru notarea zonelor de îmbăiere, în scopul informării consumatorilor de servicii turistice asupra calităţii acestora.</w:t>
            </w:r>
          </w:p>
          <w:p w14:paraId="0F53EBEF"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Coduri de bună conduită pentru activităţile de recreere în zonele costiere.</w:t>
            </w:r>
          </w:p>
          <w:p w14:paraId="218EE8EC"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Cod de conduită pentru un pescuit responsabil.</w:t>
            </w:r>
          </w:p>
        </w:tc>
      </w:tr>
      <w:tr w:rsidR="003B5B5D" w:rsidRPr="003B5B5D" w14:paraId="6D3A22B6" w14:textId="77777777" w:rsidTr="003B5B5D">
        <w:trPr>
          <w:jc w:val="center"/>
        </w:trPr>
        <w:tc>
          <w:tcPr>
            <w:tcW w:w="562" w:type="dxa"/>
          </w:tcPr>
          <w:p w14:paraId="12E8E322"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0B5E5351"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OUG nr. 19/2006 privind utilizarea plajei Mării Negre şi controlul activităţilor desfăşurate pe plajă</w:t>
            </w:r>
          </w:p>
        </w:tc>
        <w:tc>
          <w:tcPr>
            <w:tcW w:w="4819" w:type="dxa"/>
          </w:tcPr>
          <w:p w14:paraId="3CAF0B3D"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Administraţia Naţională „Apele Române" prin Administrația Bazinală de Apă Dobrogea-Litoral</w:t>
            </w:r>
          </w:p>
          <w:p w14:paraId="224F0192"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Autorităţile administraţiei publice locale pe a căror rază teritorială se află plaje cu destinaţie turistică</w:t>
            </w:r>
          </w:p>
          <w:p w14:paraId="4BFC12C8"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Ministerului Dezvoltării Regionale şi Administraţiei Publice</w:t>
            </w:r>
          </w:p>
          <w:p w14:paraId="20696D35"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 xml:space="preserve">Autoritatea publică centrală pentru turism </w:t>
            </w:r>
          </w:p>
          <w:p w14:paraId="078F48F9"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Administraţiei şi Internelor</w:t>
            </w:r>
          </w:p>
        </w:tc>
        <w:tc>
          <w:tcPr>
            <w:tcW w:w="4961" w:type="dxa"/>
          </w:tcPr>
          <w:p w14:paraId="1EEF2D35"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Norme metodologice privind organizarea serviciilor publice de salvare şi a posturilor de prim ajutor pe plajă</w:t>
            </w:r>
          </w:p>
          <w:p w14:paraId="58A61F4C"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Norme metodologice privind autorizarea, clasificarea, avizarea şi controlul activităților de turism în zona costieră</w:t>
            </w:r>
          </w:p>
          <w:p w14:paraId="780B86AA"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Normelor privind utilizarea turistică a plajei litoralului Mării Negre</w:t>
            </w:r>
          </w:p>
        </w:tc>
      </w:tr>
      <w:tr w:rsidR="003B5B5D" w:rsidRPr="003B5B5D" w14:paraId="34B1C06D" w14:textId="77777777" w:rsidTr="003B5B5D">
        <w:trPr>
          <w:jc w:val="center"/>
        </w:trPr>
        <w:tc>
          <w:tcPr>
            <w:tcW w:w="562" w:type="dxa"/>
          </w:tcPr>
          <w:p w14:paraId="6A52A32A"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7F4A769E"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OUG nr 195/2005 privind protecția mediului, aprobată cu Legea nr. 265/2006 cu modificările și completările ulterioare</w:t>
            </w:r>
          </w:p>
        </w:tc>
        <w:tc>
          <w:tcPr>
            <w:tcW w:w="4819" w:type="dxa"/>
          </w:tcPr>
          <w:p w14:paraId="66B58EF8"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 xml:space="preserve">Autoritatea publică centrală pentru protecţia mediului </w:t>
            </w:r>
          </w:p>
          <w:p w14:paraId="5E3ABECC"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Agenţia Naţională pentru Protecţia Mediului</w:t>
            </w:r>
          </w:p>
          <w:p w14:paraId="0EB677DF"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Agenţiile judeţene pentru protecţia mediului</w:t>
            </w:r>
          </w:p>
          <w:p w14:paraId="09215EBC"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Administraţia Rezervaţiei Biosferei «Delta Dunării»</w:t>
            </w:r>
          </w:p>
          <w:p w14:paraId="603C1907"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Garda Naţională de Mediu</w:t>
            </w:r>
          </w:p>
          <w:p w14:paraId="7C990D5D"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Alte autorități publice centrale și locale (conf. Secțiune 2)</w:t>
            </w:r>
          </w:p>
        </w:tc>
        <w:tc>
          <w:tcPr>
            <w:tcW w:w="4961" w:type="dxa"/>
          </w:tcPr>
          <w:p w14:paraId="16A2913D"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Procedura de emitere a autorizaţiei integrate de mediu şi normele metodologice de aplicare a acesteia</w:t>
            </w:r>
          </w:p>
          <w:p w14:paraId="75AA8CBA"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sz w:val="22"/>
                <w:szCs w:val="22"/>
              </w:rPr>
              <w:t>P</w:t>
            </w:r>
            <w:r w:rsidRPr="003B5B5D">
              <w:rPr>
                <w:rFonts w:eastAsia="Times New Roman" w:cs="Times New Roman"/>
                <w:color w:val="000000"/>
                <w:sz w:val="22"/>
                <w:szCs w:val="22"/>
              </w:rPr>
              <w:t>rocedura de participare a publicului la luarea deciziei</w:t>
            </w:r>
          </w:p>
          <w:p w14:paraId="2AE5A4EC"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Metodologie cu privire la prevenirea şi reducerea disconfortului olfactiv</w:t>
            </w:r>
          </w:p>
          <w:p w14:paraId="46F4B432"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Norme specifice de protecția mediului</w:t>
            </w:r>
          </w:p>
        </w:tc>
      </w:tr>
      <w:tr w:rsidR="003B5B5D" w:rsidRPr="003B5B5D" w14:paraId="10423D33" w14:textId="77777777" w:rsidTr="003B5B5D">
        <w:trPr>
          <w:jc w:val="center"/>
        </w:trPr>
        <w:tc>
          <w:tcPr>
            <w:tcW w:w="562" w:type="dxa"/>
          </w:tcPr>
          <w:p w14:paraId="222FDC68"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21274E36"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 xml:space="preserve">Hotărârea Guvernului nr. 1015 /2004 privind </w:t>
            </w:r>
            <w:r w:rsidRPr="003B5B5D">
              <w:rPr>
                <w:rFonts w:eastAsia="Times New Roman" w:cs="Times New Roman"/>
                <w:sz w:val="22"/>
                <w:szCs w:val="22"/>
              </w:rPr>
              <w:t>Regulamentul</w:t>
            </w:r>
            <w:r w:rsidRPr="003B5B5D">
              <w:rPr>
                <w:rFonts w:eastAsia="Times New Roman" w:cs="Times New Roman"/>
                <w:color w:val="000000"/>
                <w:sz w:val="22"/>
                <w:szCs w:val="22"/>
              </w:rPr>
              <w:t xml:space="preserve"> de organizare și funcționare a Comitetului Național al Zonei Costiere</w:t>
            </w:r>
            <w:r w:rsidRPr="003B5B5D">
              <w:rPr>
                <w:rFonts w:eastAsia="Times New Roman" w:cs="Times New Roman"/>
                <w:color w:val="000000"/>
                <w:sz w:val="22"/>
                <w:szCs w:val="22"/>
                <w:vertAlign w:val="superscript"/>
              </w:rPr>
              <w:footnoteReference w:id="1"/>
            </w:r>
            <w:r w:rsidRPr="003B5B5D">
              <w:rPr>
                <w:rFonts w:eastAsia="Times New Roman" w:cs="Times New Roman"/>
                <w:color w:val="000000"/>
                <w:sz w:val="22"/>
                <w:szCs w:val="22"/>
              </w:rPr>
              <w:t xml:space="preserve"> (cu modificările și </w:t>
            </w:r>
            <w:r w:rsidRPr="003B5B5D">
              <w:rPr>
                <w:rFonts w:eastAsia="Times New Roman" w:cs="Times New Roman"/>
                <w:sz w:val="22"/>
                <w:szCs w:val="22"/>
              </w:rPr>
              <w:t>completările</w:t>
            </w:r>
            <w:r w:rsidRPr="003B5B5D">
              <w:rPr>
                <w:rFonts w:eastAsia="Times New Roman" w:cs="Times New Roman"/>
                <w:color w:val="000000"/>
                <w:sz w:val="22"/>
                <w:szCs w:val="22"/>
              </w:rPr>
              <w:t xml:space="preserve"> ulterioare)</w:t>
            </w:r>
          </w:p>
        </w:tc>
        <w:tc>
          <w:tcPr>
            <w:tcW w:w="4819" w:type="dxa"/>
          </w:tcPr>
          <w:p w14:paraId="7BF02B94"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Institutul Naţional de Cercetare-Dezvoltare Marină "Grigore Antipa" - I.N.C.D.M. Constanţa (asigură secretariatul tehnic)</w:t>
            </w:r>
          </w:p>
          <w:p w14:paraId="47C4D549"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lastRenderedPageBreak/>
              <w:t>Administraţiei Naţionale "Apele Române" - Administrația Bazinală de Apă Dobrogea-Litoral, Constanţa (asigură spațiul de întâlnire / lucru)</w:t>
            </w:r>
          </w:p>
        </w:tc>
        <w:tc>
          <w:tcPr>
            <w:tcW w:w="4961" w:type="dxa"/>
          </w:tcPr>
          <w:p w14:paraId="6537298F"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Comitetul stabileşte modalităţile de verificare a respectării prevederilor Ordonanţei de urgenţă a Guvernului nr. 202/2002 privind gospodărirea integrată a zonei costiere, aprobată cu modificări şi completări prin Legea nr. 280/2003</w:t>
            </w:r>
          </w:p>
        </w:tc>
      </w:tr>
      <w:tr w:rsidR="003B5B5D" w:rsidRPr="003B5B5D" w14:paraId="5D25F530" w14:textId="77777777" w:rsidTr="003B5B5D">
        <w:trPr>
          <w:jc w:val="center"/>
        </w:trPr>
        <w:tc>
          <w:tcPr>
            <w:tcW w:w="562" w:type="dxa"/>
          </w:tcPr>
          <w:p w14:paraId="583296BB"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27CD6F88"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Hotărârea Guvernului nr. 749 /2004 pentru stabilirea responsabilităților, criteriilor și a metodei de delimitare a fâșiei de teren aflată în apropierea zonei costiere pentru a conserva valorile mediului, patrimoniale și peisagistice în apropiere de țărm</w:t>
            </w:r>
          </w:p>
        </w:tc>
        <w:tc>
          <w:tcPr>
            <w:tcW w:w="4819" w:type="dxa"/>
          </w:tcPr>
          <w:p w14:paraId="0F3C87F4"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Administraţiei Rezervaţiei Biosferei "Delta Dunării"</w:t>
            </w:r>
          </w:p>
          <w:p w14:paraId="2038636D"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Administrațiile publice locale din zona costieră</w:t>
            </w:r>
          </w:p>
          <w:p w14:paraId="2E4B0086"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Autorități ale zonelor portuare, militare și de securitate</w:t>
            </w:r>
          </w:p>
        </w:tc>
        <w:tc>
          <w:tcPr>
            <w:tcW w:w="4961" w:type="dxa"/>
          </w:tcPr>
          <w:p w14:paraId="0E5FE9CD"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Unităţile administrativ-teritoriale au obligaţia să îşi actualizeze documentaţiile de urbanism</w:t>
            </w:r>
            <w:r w:rsidRPr="003B5B5D">
              <w:rPr>
                <w:rFonts w:eastAsia="Times New Roman" w:cs="Times New Roman"/>
                <w:color w:val="000000"/>
                <w:sz w:val="22"/>
                <w:szCs w:val="22"/>
                <w:vertAlign w:val="superscript"/>
              </w:rPr>
              <w:footnoteReference w:id="2"/>
            </w:r>
          </w:p>
          <w:p w14:paraId="10991E24"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Zonele portuare, zonele militare şi de securitate delimitate conform normelor legale în vigoare sunt supuse unor reglementări specifice, conform legii.</w:t>
            </w:r>
          </w:p>
        </w:tc>
      </w:tr>
      <w:tr w:rsidR="003B5B5D" w:rsidRPr="003B5B5D" w14:paraId="4937F586" w14:textId="77777777" w:rsidTr="003B5B5D">
        <w:trPr>
          <w:jc w:val="center"/>
        </w:trPr>
        <w:tc>
          <w:tcPr>
            <w:tcW w:w="562" w:type="dxa"/>
          </w:tcPr>
          <w:p w14:paraId="143C0F6D"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5F288C08"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Hotărârea Guvernului nr. 546 /2004 privind aprobarea metodologiei de delimitare a domeniului public al statului în zona costieră.</w:t>
            </w:r>
          </w:p>
        </w:tc>
        <w:tc>
          <w:tcPr>
            <w:tcW w:w="4819" w:type="dxa"/>
          </w:tcPr>
          <w:p w14:paraId="3190FB07"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Ministrul mediului şi gospodăririi apelor</w:t>
            </w:r>
          </w:p>
          <w:p w14:paraId="21FB1981"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Administraţia Naţională "Apele Române"</w:t>
            </w:r>
          </w:p>
          <w:p w14:paraId="390E3B29"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Ministrul administraţiei şi internelor</w:t>
            </w:r>
          </w:p>
          <w:p w14:paraId="720070CE"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Ministerului Apărării Naţionale (Direcţia hidrografică maritimă)</w:t>
            </w:r>
          </w:p>
          <w:p w14:paraId="15F471AB"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Ministerului Transporturilor, Construcţiilor şi Turismului</w:t>
            </w:r>
          </w:p>
          <w:p w14:paraId="5DB97713"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 xml:space="preserve">Ministerului Administraţiei şi Internelor </w:t>
            </w:r>
          </w:p>
          <w:p w14:paraId="2F19F875"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Oficiul Naţional de Cadastru, Geodezie şi Cartografie</w:t>
            </w:r>
          </w:p>
          <w:p w14:paraId="125D7134"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Comitetul naţional al zonei costiere</w:t>
            </w:r>
            <w:r w:rsidRPr="003B5B5D">
              <w:rPr>
                <w:rFonts w:eastAsia="Times New Roman" w:cs="Times New Roman"/>
                <w:color w:val="000000"/>
                <w:sz w:val="22"/>
                <w:szCs w:val="22"/>
                <w:vertAlign w:val="superscript"/>
              </w:rPr>
              <w:footnoteReference w:id="3"/>
            </w:r>
          </w:p>
        </w:tc>
        <w:tc>
          <w:tcPr>
            <w:tcW w:w="4961" w:type="dxa"/>
          </w:tcPr>
          <w:p w14:paraId="25CCA36C"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Întocmirea planurilor cadastrale digitale şi a bazelor de date aferente, conform Normelor tehnice elaborate în condiţiile legii de Oficiul Naţional de Cadastru, Geodezie şi Cartografie</w:t>
            </w:r>
          </w:p>
          <w:p w14:paraId="36A61D4F"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sz w:val="22"/>
                <w:szCs w:val="22"/>
              </w:rPr>
            </w:pPr>
          </w:p>
          <w:p w14:paraId="1DBF2695"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sz w:val="22"/>
                <w:szCs w:val="22"/>
              </w:rPr>
            </w:pPr>
            <w:r w:rsidRPr="003B5B5D">
              <w:rPr>
                <w:rFonts w:eastAsia="Times New Roman" w:cs="Times New Roman"/>
                <w:i/>
                <w:sz w:val="22"/>
                <w:szCs w:val="22"/>
              </w:rPr>
              <w:t>Notă: actul normativ stabilește pe baza criteriilor de utilizare şi gestionare, o serie de zone funcţionale ale zonei costiere (conf. prevederilor OUG 202 / 2002)</w:t>
            </w:r>
          </w:p>
        </w:tc>
      </w:tr>
      <w:tr w:rsidR="003B5B5D" w:rsidRPr="003B5B5D" w14:paraId="722FE7FE" w14:textId="77777777" w:rsidTr="003B5B5D">
        <w:trPr>
          <w:jc w:val="center"/>
        </w:trPr>
        <w:tc>
          <w:tcPr>
            <w:tcW w:w="14028" w:type="dxa"/>
            <w:gridSpan w:val="4"/>
            <w:shd w:val="clear" w:color="auto" w:fill="F2F2F2"/>
          </w:tcPr>
          <w:p w14:paraId="02D2F5E4"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b/>
                <w:color w:val="000000"/>
                <w:sz w:val="22"/>
                <w:szCs w:val="22"/>
              </w:rPr>
            </w:pPr>
            <w:r w:rsidRPr="003B5B5D">
              <w:rPr>
                <w:rFonts w:eastAsia="Times New Roman" w:cs="Times New Roman"/>
                <w:b/>
                <w:color w:val="000000"/>
                <w:sz w:val="22"/>
                <w:szCs w:val="22"/>
              </w:rPr>
              <w:lastRenderedPageBreak/>
              <w:t>Legislație complementară</w:t>
            </w:r>
          </w:p>
        </w:tc>
      </w:tr>
      <w:tr w:rsidR="003B5B5D" w:rsidRPr="003B5B5D" w14:paraId="0E95BA47" w14:textId="77777777" w:rsidTr="003B5B5D">
        <w:trPr>
          <w:jc w:val="center"/>
        </w:trPr>
        <w:tc>
          <w:tcPr>
            <w:tcW w:w="562" w:type="dxa"/>
          </w:tcPr>
          <w:p w14:paraId="32E3F602"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6E618982"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nr. 74 din 25 aprilie 2019 privind gestionarea siturilor potențial contaminate și a celor contaminate</w:t>
            </w:r>
          </w:p>
        </w:tc>
        <w:tc>
          <w:tcPr>
            <w:tcW w:w="4819" w:type="dxa"/>
          </w:tcPr>
          <w:p w14:paraId="2EE537D0"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publică centrală pentru protecţia mediului, prin unităţile din subordine</w:t>
            </w:r>
          </w:p>
          <w:p w14:paraId="2A9AFC82"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Agenţia Naţională pentru Protecţia Mediului</w:t>
            </w:r>
          </w:p>
          <w:p w14:paraId="16D5C7D1"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Garda Națională de Mediu</w:t>
            </w:r>
          </w:p>
          <w:p w14:paraId="225F666F"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333333"/>
                <w:sz w:val="22"/>
                <w:szCs w:val="22"/>
                <w:highlight w:val="white"/>
              </w:rPr>
              <w:t>Autorităţile administraţiei publice locale</w:t>
            </w:r>
          </w:p>
        </w:tc>
        <w:tc>
          <w:tcPr>
            <w:tcW w:w="4961" w:type="dxa"/>
          </w:tcPr>
          <w:p w14:paraId="40E96B11"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 xml:space="preserve">Metodologia de investigare a siturilor potenţial contaminate şi a celor contaminate </w:t>
            </w:r>
          </w:p>
          <w:p w14:paraId="55BD5499"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Metodologia de remediere a siturilor contaminate</w:t>
            </w:r>
          </w:p>
          <w:p w14:paraId="5B636139"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p>
        </w:tc>
      </w:tr>
      <w:tr w:rsidR="003B5B5D" w:rsidRPr="003B5B5D" w14:paraId="7522B803" w14:textId="77777777" w:rsidTr="003B5B5D">
        <w:trPr>
          <w:jc w:val="center"/>
        </w:trPr>
        <w:tc>
          <w:tcPr>
            <w:tcW w:w="562" w:type="dxa"/>
          </w:tcPr>
          <w:p w14:paraId="2117DEDB"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2BCD3FB7"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292 / 2018 privind evaluarea impactului anumitor proiecte publice și private asupra mediului</w:t>
            </w:r>
          </w:p>
        </w:tc>
        <w:tc>
          <w:tcPr>
            <w:tcW w:w="4819" w:type="dxa"/>
          </w:tcPr>
          <w:p w14:paraId="7C12263E"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publică centrală pentru protecţia mediului</w:t>
            </w:r>
          </w:p>
          <w:p w14:paraId="5F5225C3"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Administraţia Rezervaţiei Biosferei "Delta Dunării"</w:t>
            </w:r>
          </w:p>
          <w:p w14:paraId="6D7F92D0"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Agenţia Naţională pentru Protecţia Mediului,</w:t>
            </w:r>
          </w:p>
          <w:p w14:paraId="523021C2"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Autorităţile publice teritoriale pentru protecţia mediului organizate la nivel judeţean şi la nivelul municipiului Bucureşti</w:t>
            </w:r>
          </w:p>
          <w:p w14:paraId="1B8BF468"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Administraţia Naţională "Apele Române" şi unităţile aflate în subordinea acesteia</w:t>
            </w:r>
          </w:p>
          <w:p w14:paraId="632C06F5"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 xml:space="preserve">Ministerului Afacerilor Externe </w:t>
            </w:r>
          </w:p>
        </w:tc>
        <w:tc>
          <w:tcPr>
            <w:tcW w:w="4961" w:type="dxa"/>
          </w:tcPr>
          <w:p w14:paraId="2B13C24B"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Condiţii de elaborare a raportului de mediu, a raportului privind impactul asupra mediului, a bilanţului de mediu, a raportului privind situaţia de referinţă, a raportului de securitate şi a studiului de evaluare adecvată</w:t>
            </w:r>
          </w:p>
          <w:p w14:paraId="30117031"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Ghidului metodologic privind evaluarea adecvată a efectelor potenţiale ale planurilor sau proiectelor asupra ariilor naturale protejate de interes comunitar</w:t>
            </w:r>
          </w:p>
          <w:p w14:paraId="2809E371"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Procedura de emitere a avizului de gospodărire a apelor care include evaluarea impactului asupra corpurilor de apă</w:t>
            </w:r>
          </w:p>
          <w:p w14:paraId="1E671F26"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Ghiduri pentru diferite domenii şi categorii de proiecte (pentru parcurgerea procedurii şi examinarea raportului privind impactul asupra mediului şi a studiului de evaluare adecvată)</w:t>
            </w:r>
          </w:p>
        </w:tc>
      </w:tr>
      <w:tr w:rsidR="003B5B5D" w:rsidRPr="003B5B5D" w14:paraId="7A01FD94" w14:textId="77777777" w:rsidTr="003B5B5D">
        <w:trPr>
          <w:jc w:val="center"/>
        </w:trPr>
        <w:tc>
          <w:tcPr>
            <w:tcW w:w="562" w:type="dxa"/>
          </w:tcPr>
          <w:p w14:paraId="4FFA48AB"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4FC2B272"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nr. 59 din 11 aprilie 2016 privind controlul asupra pericolelor de accident major în care sunt implicate substanțe periculoase</w:t>
            </w:r>
          </w:p>
        </w:tc>
        <w:tc>
          <w:tcPr>
            <w:tcW w:w="4819" w:type="dxa"/>
          </w:tcPr>
          <w:p w14:paraId="7B448F96"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Mediului, Apelor şi Pădurilor</w:t>
            </w:r>
          </w:p>
          <w:p w14:paraId="104554F9"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Agenţia Naţională pentru Protecţia Mediului</w:t>
            </w:r>
          </w:p>
          <w:p w14:paraId="4ED98216"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Garda Naţională de Mediu</w:t>
            </w:r>
          </w:p>
          <w:p w14:paraId="09607796"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Afacerilor Interne, prin Departamentul pentru Situaţii de Urgenţă (DSU)</w:t>
            </w:r>
          </w:p>
          <w:p w14:paraId="54D8770E"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lastRenderedPageBreak/>
              <w:t>Agenţiile judeţene pentru protecţia mediului</w:t>
            </w:r>
          </w:p>
          <w:p w14:paraId="0F5C2B75"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 xml:space="preserve">Alte structuri județene (comisariate) </w:t>
            </w:r>
          </w:p>
          <w:p w14:paraId="5DFBD309"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Autorități ale administrației publice locale</w:t>
            </w:r>
          </w:p>
        </w:tc>
        <w:tc>
          <w:tcPr>
            <w:tcW w:w="4961" w:type="dxa"/>
          </w:tcPr>
          <w:p w14:paraId="20DBEE91"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Procedurile şi normele metodologice privind:</w:t>
            </w:r>
          </w:p>
          <w:p w14:paraId="305BF28A" w14:textId="77777777" w:rsidR="003B5B5D" w:rsidRPr="003B5B5D" w:rsidRDefault="003B5B5D" w:rsidP="003B5B5D">
            <w:pPr>
              <w:numPr>
                <w:ilvl w:val="0"/>
                <w:numId w:val="20"/>
              </w:num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 xml:space="preserve">evaluarea raportului de securitate privind activităţile care prezintă pericole de producere a accidentelor majore în care sunt implicate substanţe periculoase, </w:t>
            </w:r>
          </w:p>
          <w:p w14:paraId="52746502" w14:textId="77777777" w:rsidR="003B5B5D" w:rsidRPr="003B5B5D" w:rsidRDefault="003B5B5D" w:rsidP="003B5B5D">
            <w:pPr>
              <w:numPr>
                <w:ilvl w:val="0"/>
                <w:numId w:val="20"/>
              </w:num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 xml:space="preserve">elaborarea planurilor de urgenţă în caz de accidente în care sunt implicate substanţe periculoase, </w:t>
            </w:r>
          </w:p>
          <w:p w14:paraId="5653E580" w14:textId="77777777" w:rsidR="003B5B5D" w:rsidRPr="003B5B5D" w:rsidRDefault="003B5B5D" w:rsidP="003B5B5D">
            <w:pPr>
              <w:numPr>
                <w:ilvl w:val="0"/>
                <w:numId w:val="20"/>
              </w:num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procedura de inspecţie pentru amplasamentele care prezintă pericole de producere a accidentelor majore în care sunt implicate substanţe periculoase</w:t>
            </w:r>
          </w:p>
          <w:p w14:paraId="6B984F4A" w14:textId="77777777" w:rsidR="003B5B5D" w:rsidRPr="003B5B5D" w:rsidRDefault="003B5B5D" w:rsidP="003B5B5D">
            <w:pPr>
              <w:numPr>
                <w:ilvl w:val="0"/>
                <w:numId w:val="20"/>
              </w:num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procedurile de notificare a activităţilor care prezintă pericole de producere a accidentelor majore în care sunt implicate substanţe periculoase şi, respectiv, a accidentelor majore produse</w:t>
            </w:r>
          </w:p>
          <w:p w14:paraId="4D26CA62" w14:textId="77777777" w:rsidR="003B5B5D" w:rsidRPr="003B5B5D" w:rsidRDefault="003B5B5D" w:rsidP="003B5B5D">
            <w:pPr>
              <w:numPr>
                <w:ilvl w:val="0"/>
                <w:numId w:val="20"/>
              </w:num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organizarea şi funcţionarea secretariatelor de risc privind controlul activităţilor care prezintă pericole de accidente majore în care sunt implicate substanţe periculoase</w:t>
            </w:r>
          </w:p>
          <w:p w14:paraId="642EFF38" w14:textId="77777777" w:rsidR="003B5B5D" w:rsidRPr="003B5B5D" w:rsidRDefault="003B5B5D" w:rsidP="003B5B5D">
            <w:pPr>
              <w:numPr>
                <w:ilvl w:val="0"/>
                <w:numId w:val="20"/>
              </w:num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privind procedura de investigare a accidentelor majore în care sunt implicate substanţe periculoase</w:t>
            </w:r>
          </w:p>
        </w:tc>
      </w:tr>
      <w:tr w:rsidR="003B5B5D" w:rsidRPr="003B5B5D" w14:paraId="77B06C05" w14:textId="77777777" w:rsidTr="003B5B5D">
        <w:trPr>
          <w:jc w:val="center"/>
        </w:trPr>
        <w:tc>
          <w:tcPr>
            <w:tcW w:w="562" w:type="dxa"/>
          </w:tcPr>
          <w:p w14:paraId="396A08BB"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33DDD26A"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nr. 278 /2013 privind emisiile industriale, cu modificările şi completările ulterioare</w:t>
            </w:r>
          </w:p>
        </w:tc>
        <w:tc>
          <w:tcPr>
            <w:tcW w:w="4819" w:type="dxa"/>
          </w:tcPr>
          <w:p w14:paraId="5FDDF63C"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publică centrală pentru protecţia mediului</w:t>
            </w:r>
          </w:p>
          <w:p w14:paraId="613C51CF"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Agenţia Naţională pentru Protecţia Mediului</w:t>
            </w:r>
          </w:p>
          <w:p w14:paraId="621B4F42"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Garda Naţională de Mediu şi structurile sale teritoriale</w:t>
            </w:r>
          </w:p>
        </w:tc>
        <w:tc>
          <w:tcPr>
            <w:tcW w:w="4961" w:type="dxa"/>
          </w:tcPr>
          <w:p w14:paraId="4CBC87BE"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Procedura de emitere a autorizaţiei integrate de mediu/emitere a autorizaţiei de mediu.</w:t>
            </w:r>
          </w:p>
        </w:tc>
      </w:tr>
      <w:tr w:rsidR="003B5B5D" w:rsidRPr="003B5B5D" w14:paraId="28D0AAB6" w14:textId="77777777" w:rsidTr="003B5B5D">
        <w:trPr>
          <w:jc w:val="center"/>
        </w:trPr>
        <w:tc>
          <w:tcPr>
            <w:tcW w:w="562" w:type="dxa"/>
          </w:tcPr>
          <w:p w14:paraId="462D0084"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477995CE"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nr. 104/2011 privind calitatea aerului înconjurător</w:t>
            </w:r>
          </w:p>
        </w:tc>
        <w:tc>
          <w:tcPr>
            <w:tcW w:w="4819" w:type="dxa"/>
          </w:tcPr>
          <w:p w14:paraId="1E74CF1D"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publică centrală pentru protecţia mediului şi autorităţile publice care funcţionează în subordinea, sub autoritatea şi în coordonarea sa Alte autorități publice centrale</w:t>
            </w:r>
          </w:p>
          <w:p w14:paraId="023A45C2"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lastRenderedPageBreak/>
              <w:t>Autorități publice locale</w:t>
            </w:r>
          </w:p>
          <w:p w14:paraId="1092DC20"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Institutul Naţional de Statistică şi direcţiile teritoriale</w:t>
            </w:r>
          </w:p>
          <w:p w14:paraId="6D137764"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Centrul de Evaluare a Calităţii Aerului (CECA)</w:t>
            </w:r>
          </w:p>
          <w:p w14:paraId="1ED817EA"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Laboratorul Naţional de Referinţă pentru Calitatea Aerului (LNRCA)</w:t>
            </w:r>
          </w:p>
        </w:tc>
        <w:tc>
          <w:tcPr>
            <w:tcW w:w="4961" w:type="dxa"/>
          </w:tcPr>
          <w:p w14:paraId="631A24BA"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Organizarea Sistemul Naţional de Evaluare şi Gestionare Integrată a Calităţii Aerului (SNEGICA)</w:t>
            </w:r>
          </w:p>
          <w:p w14:paraId="7CFFE0AA"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Metodologia de elaborare a planurilor de calitate a aerului, a planurilor de acţiune pe termen scurt şi a planurilor de menţinere a calităţii aerului</w:t>
            </w:r>
          </w:p>
          <w:p w14:paraId="7F5AC593"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 xml:space="preserve">Norme și </w:t>
            </w:r>
            <w:r w:rsidRPr="003B5B5D">
              <w:rPr>
                <w:rFonts w:eastAsia="Times New Roman" w:cs="Times New Roman"/>
                <w:sz w:val="22"/>
                <w:szCs w:val="22"/>
              </w:rPr>
              <w:t>reglementări</w:t>
            </w:r>
            <w:r w:rsidRPr="003B5B5D">
              <w:rPr>
                <w:rFonts w:eastAsia="Times New Roman" w:cs="Times New Roman"/>
                <w:color w:val="000000"/>
                <w:sz w:val="22"/>
                <w:szCs w:val="22"/>
              </w:rPr>
              <w:t xml:space="preserve"> în domeniile sănătății populației, transporturilor, agriculturii, norme referitoare la calitatea combustibililor la manipularea acestora</w:t>
            </w:r>
          </w:p>
          <w:p w14:paraId="585AA74A"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Normativ privind stabilirea indicilor de calitate a aerului înconjurător în vederea facilitării informării publicului</w:t>
            </w:r>
          </w:p>
        </w:tc>
      </w:tr>
      <w:tr w:rsidR="003B5B5D" w:rsidRPr="003B5B5D" w14:paraId="6130078A" w14:textId="77777777" w:rsidTr="003B5B5D">
        <w:trPr>
          <w:jc w:val="center"/>
        </w:trPr>
        <w:tc>
          <w:tcPr>
            <w:tcW w:w="562" w:type="dxa"/>
          </w:tcPr>
          <w:p w14:paraId="6831C003"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57A02042"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nr. 422 /2001 privind protejarea monumentelor istorice</w:t>
            </w:r>
          </w:p>
        </w:tc>
        <w:tc>
          <w:tcPr>
            <w:tcW w:w="4819" w:type="dxa"/>
          </w:tcPr>
          <w:p w14:paraId="350276C5"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Culturii şi Cultelor și serviciile publice deconcentrate ale acestuia</w:t>
            </w:r>
          </w:p>
          <w:p w14:paraId="3A932188"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Comisia Naţională a Monumentelor, Ansamblurilor şi Siturilor Istorice</w:t>
            </w:r>
          </w:p>
          <w:p w14:paraId="397A4090"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Institutul Naţional al Patrimoniului</w:t>
            </w:r>
          </w:p>
          <w:p w14:paraId="220BAC35"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Inspectoratul de Stat în Construcţii</w:t>
            </w:r>
          </w:p>
          <w:p w14:paraId="34DA2334"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Autorităţile administraţiei publice locale</w:t>
            </w:r>
          </w:p>
        </w:tc>
        <w:tc>
          <w:tcPr>
            <w:tcW w:w="4961" w:type="dxa"/>
          </w:tcPr>
          <w:p w14:paraId="2F855357"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Lista cuprinzând monumentele, ansamblurile şi siturile istorice</w:t>
            </w:r>
          </w:p>
          <w:p w14:paraId="28DAF517"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Strategia naţională privind protejarea monumentelor istorice (elaborată de INP)</w:t>
            </w:r>
          </w:p>
          <w:p w14:paraId="72F94DF1"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Reglementări tehnico-economice, de norme şi metodologii privind elaborarea de documentaţii specifice, executării de lucrări, realizării de achiziţii, contractării şi decontării de lucrări privind monumentele istorice (din timbrul MI)</w:t>
            </w:r>
          </w:p>
        </w:tc>
      </w:tr>
      <w:tr w:rsidR="003B5B5D" w:rsidRPr="003B5B5D" w14:paraId="2F1BFB80" w14:textId="77777777" w:rsidTr="003B5B5D">
        <w:trPr>
          <w:jc w:val="center"/>
        </w:trPr>
        <w:tc>
          <w:tcPr>
            <w:tcW w:w="562" w:type="dxa"/>
          </w:tcPr>
          <w:p w14:paraId="0A9E360B"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728BEF9A"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nr. 351/2001 privind aprobarea Planului de amenajare a teritoriului naţional - Secţiunea a IV-a Reţeaua de localităţi</w:t>
            </w:r>
          </w:p>
        </w:tc>
        <w:tc>
          <w:tcPr>
            <w:tcW w:w="4819" w:type="dxa"/>
          </w:tcPr>
          <w:p w14:paraId="7D73DC34"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333333"/>
                <w:sz w:val="22"/>
                <w:szCs w:val="22"/>
              </w:rPr>
            </w:pPr>
            <w:r w:rsidRPr="003B5B5D">
              <w:rPr>
                <w:rFonts w:eastAsia="Times New Roman" w:cs="Times New Roman"/>
                <w:color w:val="333333"/>
                <w:sz w:val="22"/>
                <w:szCs w:val="22"/>
              </w:rPr>
              <w:t xml:space="preserve">Autorităţile administraţiei publice centrale </w:t>
            </w:r>
          </w:p>
          <w:p w14:paraId="60D3C16E"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Autorităţile administraţiei publice locale</w:t>
            </w:r>
          </w:p>
        </w:tc>
        <w:tc>
          <w:tcPr>
            <w:tcW w:w="4961" w:type="dxa"/>
          </w:tcPr>
          <w:p w14:paraId="36B0939F"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i/>
                <w:color w:val="000000"/>
                <w:sz w:val="22"/>
                <w:szCs w:val="22"/>
              </w:rPr>
            </w:pPr>
            <w:r w:rsidRPr="003B5B5D">
              <w:rPr>
                <w:rFonts w:eastAsia="Times New Roman" w:cs="Times New Roman"/>
                <w:i/>
                <w:color w:val="000000"/>
                <w:sz w:val="22"/>
                <w:szCs w:val="22"/>
              </w:rPr>
              <w:t>Art. 10 - În planurile urbanistice elaborate şi aprobate potrivit legii se va prevedea înfiinţarea de centuri sau zone verzi în jurul Capitalei României şi al municipiilor de rangul I şi II.</w:t>
            </w:r>
          </w:p>
        </w:tc>
      </w:tr>
      <w:tr w:rsidR="003B5B5D" w:rsidRPr="003B5B5D" w14:paraId="1F5D80CA" w14:textId="77777777" w:rsidTr="003B5B5D">
        <w:trPr>
          <w:jc w:val="center"/>
        </w:trPr>
        <w:tc>
          <w:tcPr>
            <w:tcW w:w="562" w:type="dxa"/>
          </w:tcPr>
          <w:p w14:paraId="5F8C34F1"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20D7DA6B"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nr. 350 /2001 privind amenajarea teritoriului și urbanismul, cu modificările și completările ulterioare</w:t>
            </w:r>
          </w:p>
        </w:tc>
        <w:tc>
          <w:tcPr>
            <w:tcW w:w="4819" w:type="dxa"/>
          </w:tcPr>
          <w:p w14:paraId="13E2FEAF"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Dezvoltării, Lucrărilor Publice și Administrației</w:t>
            </w:r>
          </w:p>
          <w:p w14:paraId="065141D1"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Autorităţile administraţiei publice locale</w:t>
            </w:r>
          </w:p>
          <w:p w14:paraId="765691EA"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Comisia Naţională de Dezvoltare Teritorială</w:t>
            </w:r>
          </w:p>
          <w:p w14:paraId="7228B78A"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lastRenderedPageBreak/>
              <w:t>Registrul Urbaniştilor din România</w:t>
            </w:r>
          </w:p>
        </w:tc>
        <w:tc>
          <w:tcPr>
            <w:tcW w:w="4961" w:type="dxa"/>
          </w:tcPr>
          <w:p w14:paraId="1F161AF4"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 xml:space="preserve">Secțiuni ale Planului de Amenajare a Teritoriului Național (PATN) </w:t>
            </w:r>
          </w:p>
          <w:p w14:paraId="2E14B2D2"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Documentații de amenajarea teritoriului</w:t>
            </w:r>
          </w:p>
          <w:p w14:paraId="6B1CF442"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Documentații de urbanism (inclusiv regulamente locale de urbanism)</w:t>
            </w:r>
          </w:p>
          <w:p w14:paraId="50D37D3D"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Normă metodologică privind exigenţele minime de conţinut ale documentaţiilor de amenajare a teritoriului şi de urbanism pentru zonele de riscuri naturale (2003)</w:t>
            </w:r>
          </w:p>
          <w:p w14:paraId="5C787156"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Metodologiei de informare şi consultare a publicului cu privire la elaborarea sau revizuirea planurilor de amenajare a teritoriului şi de urbanism (OMDRT nr. 2701 din 30/12/2010)</w:t>
            </w:r>
          </w:p>
          <w:p w14:paraId="13A0EAD4"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Normele metodologice de aplicare a Legii nr. 350/2001 privind amenajarea teritoriului şi urbanismul şi de elaborare şi actualizare a documentaţiilor de urbanism (2016)</w:t>
            </w:r>
          </w:p>
        </w:tc>
      </w:tr>
      <w:tr w:rsidR="003B5B5D" w:rsidRPr="003B5B5D" w14:paraId="2131E3D3" w14:textId="77777777" w:rsidTr="003B5B5D">
        <w:trPr>
          <w:jc w:val="center"/>
        </w:trPr>
        <w:tc>
          <w:tcPr>
            <w:tcW w:w="562" w:type="dxa"/>
          </w:tcPr>
          <w:p w14:paraId="61227A95"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02C57EA0"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nr. 22/2001 pentru ratificarea Convenţiei privind evaluarea impactului asupra mediului în context transfrontieră, adoptată la Espoo la 25 februarie 1991</w:t>
            </w:r>
          </w:p>
        </w:tc>
        <w:tc>
          <w:tcPr>
            <w:tcW w:w="4819" w:type="dxa"/>
          </w:tcPr>
          <w:p w14:paraId="6D976117"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p>
        </w:tc>
        <w:tc>
          <w:tcPr>
            <w:tcW w:w="4961" w:type="dxa"/>
          </w:tcPr>
          <w:p w14:paraId="6374AC90"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Proceduri de evaluare a impactului asupra mediului, care să permită participarea publicului în ceea ce priveşte activităţile propuse, menţionate în anexa nr. I, care pot cauza un impact transfrontieră negativ semnificativ asupra mediului</w:t>
            </w:r>
          </w:p>
          <w:p w14:paraId="0E0CEECD"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sz w:val="22"/>
                <w:szCs w:val="22"/>
              </w:rPr>
              <w:t>Proceduri</w:t>
            </w:r>
            <w:r w:rsidRPr="003B5B5D">
              <w:rPr>
                <w:rFonts w:eastAsia="Times New Roman" w:cs="Times New Roman"/>
                <w:color w:val="000000"/>
                <w:sz w:val="22"/>
                <w:szCs w:val="22"/>
              </w:rPr>
              <w:t xml:space="preserve"> pentru pregătirea documentaţiei de evaluare a impactului asupra mediului</w:t>
            </w:r>
          </w:p>
        </w:tc>
      </w:tr>
      <w:tr w:rsidR="003B5B5D" w:rsidRPr="003B5B5D" w14:paraId="680BFCCE" w14:textId="77777777" w:rsidTr="003B5B5D">
        <w:trPr>
          <w:jc w:val="center"/>
        </w:trPr>
        <w:tc>
          <w:tcPr>
            <w:tcW w:w="562" w:type="dxa"/>
          </w:tcPr>
          <w:p w14:paraId="11FDD5B8"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51FCB2EF"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nr. 13/1998 pentru aderarea României la Convenţia privind conservarea speciilor migratoare de animale sălbatice, adoptată la Bonn la 23 iunie 1979</w:t>
            </w:r>
          </w:p>
        </w:tc>
        <w:tc>
          <w:tcPr>
            <w:tcW w:w="4819" w:type="dxa"/>
          </w:tcPr>
          <w:p w14:paraId="6669526A"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Agenţii sau organisme guvernamentale naţionale</w:t>
            </w:r>
          </w:p>
          <w:p w14:paraId="718B934F"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Agenţii sau organisme naţionale neguvernamentale</w:t>
            </w:r>
          </w:p>
        </w:tc>
        <w:tc>
          <w:tcPr>
            <w:tcW w:w="4961" w:type="dxa"/>
          </w:tcPr>
          <w:p w14:paraId="129F1FA2"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Planuri de conservare şi gestionare</w:t>
            </w:r>
          </w:p>
          <w:p w14:paraId="7D8D4CE9"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 xml:space="preserve">Prevenirea, reducerea </w:t>
            </w:r>
            <w:sdt>
              <w:sdtPr>
                <w:rPr>
                  <w:rFonts w:cs="Times New Roman"/>
                  <w:sz w:val="22"/>
                  <w:szCs w:val="22"/>
                </w:rPr>
                <w:tag w:val="goog_rdk_64"/>
                <w:id w:val="403801717"/>
              </w:sdtPr>
              <w:sdtContent>
                <w:r w:rsidRPr="003B5B5D">
                  <w:rPr>
                    <w:rFonts w:eastAsia="Times New Roman" w:cs="Times New Roman"/>
                    <w:color w:val="000000"/>
                    <w:sz w:val="22"/>
                    <w:szCs w:val="22"/>
                  </w:rPr>
                  <w:t>sau</w:t>
                </w:r>
              </w:sdtContent>
            </w:sdt>
            <w:r w:rsidRPr="003B5B5D">
              <w:rPr>
                <w:rFonts w:eastAsia="Times New Roman" w:cs="Times New Roman"/>
                <w:color w:val="000000"/>
                <w:sz w:val="22"/>
                <w:szCs w:val="22"/>
              </w:rPr>
              <w:t xml:space="preserve"> controlul evacuării în habitatul speciei migratoare a unor substanţe nocive pentru aceasta</w:t>
            </w:r>
          </w:p>
          <w:p w14:paraId="30CC764A"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Măsuri bazate pe principii ecologice pentru controlul şi gestionarea capturării speciilor migratoare</w:t>
            </w:r>
          </w:p>
          <w:p w14:paraId="2EE2C13C"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Proceduri pentru coordonarea acţiunii de anihilare a capturărilor ilegale</w:t>
            </w:r>
          </w:p>
          <w:p w14:paraId="4C1BF828"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Proceduri de urgenţă prin care acţiunea de conservare ar putea fi întărită considerabil şi rapid, atunci când starea de conservare a speciei migratoare este serios afectată</w:t>
            </w:r>
          </w:p>
        </w:tc>
      </w:tr>
      <w:tr w:rsidR="003B5B5D" w:rsidRPr="003B5B5D" w14:paraId="01EDBC02" w14:textId="77777777" w:rsidTr="003B5B5D">
        <w:trPr>
          <w:jc w:val="center"/>
        </w:trPr>
        <w:tc>
          <w:tcPr>
            <w:tcW w:w="562" w:type="dxa"/>
          </w:tcPr>
          <w:p w14:paraId="2EEE68B8"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0B341451"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Apelor nr. 107 /1996 cu modificările și completările ulterioare</w:t>
            </w:r>
          </w:p>
        </w:tc>
        <w:tc>
          <w:tcPr>
            <w:tcW w:w="4819" w:type="dxa"/>
          </w:tcPr>
          <w:p w14:paraId="67FC271D"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Mediului, Apelor și Pădurilor</w:t>
            </w:r>
          </w:p>
          <w:p w14:paraId="4F756C82"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Administraţia Naţională «Apele Române» și administraţii bazinale de apă</w:t>
            </w:r>
          </w:p>
          <w:p w14:paraId="66D0A36C"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Consiliului interministerial al apelor</w:t>
            </w:r>
          </w:p>
        </w:tc>
        <w:tc>
          <w:tcPr>
            <w:tcW w:w="4961" w:type="dxa"/>
          </w:tcPr>
          <w:p w14:paraId="6D1A4B29"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Planuri de management ale bazinelor/spațiilor hidrografice</w:t>
            </w:r>
          </w:p>
          <w:p w14:paraId="24C25770"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Planuri de management al riscului la inundaţii</w:t>
            </w:r>
          </w:p>
          <w:p w14:paraId="4EA11AC2"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Procedura şi competenţele de emitere a avizului de gospodărire a apelor</w:t>
            </w:r>
          </w:p>
          <w:p w14:paraId="158C71BA"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Procedura de instituire a regimului de supraveghere specială</w:t>
            </w:r>
          </w:p>
          <w:p w14:paraId="47F3999A"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Competenţele de avizare şi aprobare a regulamentelor de exploatare şi a programelor de exploatare a lacurilor de acumulare</w:t>
            </w:r>
          </w:p>
          <w:p w14:paraId="67588927"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Norme metodologice pentru elaborarea regulamentelor de exploatare bazinală;</w:t>
            </w:r>
          </w:p>
          <w:p w14:paraId="4A927FB3"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Regulamentul-cadru pentru exploatarea barajelor, lacurilor de acumulare şi prizelor de alimentare cu apă</w:t>
            </w:r>
          </w:p>
          <w:p w14:paraId="7139CA65"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Metodologia-cadru de elaborare a planurilor de prevenire şi combatere a poluărilor accidentale la folosinţele de apă potenţial poluatoare;</w:t>
            </w:r>
          </w:p>
          <w:p w14:paraId="511672C3"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Procedura privind participarea utilizatorilor de apă, a riveranilor şi a publicului în activitatea de consultare;</w:t>
            </w:r>
          </w:p>
          <w:p w14:paraId="653D763C"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 xml:space="preserve">Proceduri şi norme metodologice pentru delimitarea albiilor minore ale cursurilor de apă cadastrale </w:t>
            </w:r>
            <w:r w:rsidRPr="003B5B5D">
              <w:rPr>
                <w:rFonts w:eastAsia="Times New Roman" w:cs="Times New Roman"/>
                <w:color w:val="000000"/>
                <w:sz w:val="22"/>
                <w:szCs w:val="22"/>
              </w:rPr>
              <w:lastRenderedPageBreak/>
              <w:t>interioare ale României, a fluviului Dunărea cu braţele, insulele şi ostroavele sale, a zonei aferente Administraţiei Rezervaţiei Biosferei «Delta Dunării» cu insulele şi ostroavele aferente, precum şi a lacurilor care aparţin domeniului public al statului, respectiv a zonelor de protecţie aferente acestora</w:t>
            </w:r>
          </w:p>
        </w:tc>
      </w:tr>
      <w:tr w:rsidR="003B5B5D" w:rsidRPr="003B5B5D" w14:paraId="29141186" w14:textId="77777777" w:rsidTr="003B5B5D">
        <w:trPr>
          <w:jc w:val="center"/>
        </w:trPr>
        <w:tc>
          <w:tcPr>
            <w:tcW w:w="562" w:type="dxa"/>
          </w:tcPr>
          <w:p w14:paraId="185254E6"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298FA991"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nr. 69/1994 pentru aderarea României la Convenţia privind comerţul internaţional cu specii sălbatice de faună şi floră pe cale de dispariţie, adoptată la Washington la 3 martie 1973</w:t>
            </w:r>
          </w:p>
        </w:tc>
        <w:tc>
          <w:tcPr>
            <w:tcW w:w="4819" w:type="dxa"/>
          </w:tcPr>
          <w:p w14:paraId="0768D807"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Apelor, Pădurilor şi Protecţiei Mediului</w:t>
            </w:r>
          </w:p>
          <w:p w14:paraId="5C34286F"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 xml:space="preserve">Academia Română </w:t>
            </w:r>
          </w:p>
          <w:p w14:paraId="58000463"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Institutul de Cercetări şi Amenajări Silvice</w:t>
            </w:r>
          </w:p>
        </w:tc>
        <w:tc>
          <w:tcPr>
            <w:tcW w:w="4961" w:type="dxa"/>
          </w:tcPr>
          <w:p w14:paraId="13B5308B"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Reglementarea comerţului cu indivizi ai speciilor</w:t>
            </w:r>
            <w:r w:rsidRPr="003B5B5D">
              <w:rPr>
                <w:rFonts w:cs="Times New Roman"/>
                <w:sz w:val="22"/>
                <w:szCs w:val="22"/>
              </w:rPr>
              <w:t xml:space="preserve"> </w:t>
            </w:r>
            <w:r w:rsidRPr="003B5B5D">
              <w:rPr>
                <w:rFonts w:eastAsia="Times New Roman" w:cs="Times New Roman"/>
                <w:color w:val="000000"/>
                <w:sz w:val="22"/>
                <w:szCs w:val="22"/>
              </w:rPr>
              <w:t xml:space="preserve">ameninţate de dispariţie sau care </w:t>
            </w:r>
            <w:r w:rsidRPr="003B5B5D">
              <w:rPr>
                <w:rFonts w:eastAsia="Times New Roman" w:cs="Times New Roman"/>
                <w:color w:val="333333"/>
                <w:sz w:val="22"/>
                <w:szCs w:val="22"/>
                <w:highlight w:val="white"/>
              </w:rPr>
              <w:t>ar putea deveni în cazul în care comerţul cu indivizi ai acestor specii nu ar fi supus unei reglementări stricte sau pe care o parte le declară supuse, în limitele competenţei sale, unei reglementări având ca scop împiedicarea sau restrângerea lor şi necesitând cooperarea celorlalte părţi pentru controlul comerţului.</w:t>
            </w:r>
          </w:p>
        </w:tc>
      </w:tr>
      <w:tr w:rsidR="003B5B5D" w:rsidRPr="003B5B5D" w14:paraId="2FFEE0DC" w14:textId="77777777" w:rsidTr="003B5B5D">
        <w:trPr>
          <w:jc w:val="center"/>
        </w:trPr>
        <w:tc>
          <w:tcPr>
            <w:tcW w:w="562" w:type="dxa"/>
          </w:tcPr>
          <w:p w14:paraId="01F11108"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18272119"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nr. 58 din 13 iulie 1994 pentru ratificarea Convenţiei privind diversitatea biologică, semnată la Rio de Janeiro la 5 iunie 1992</w:t>
            </w:r>
          </w:p>
        </w:tc>
        <w:tc>
          <w:tcPr>
            <w:tcW w:w="4819" w:type="dxa"/>
          </w:tcPr>
          <w:p w14:paraId="302D709C"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Autorităţi guvernamentale</w:t>
            </w:r>
          </w:p>
        </w:tc>
        <w:tc>
          <w:tcPr>
            <w:tcW w:w="4961" w:type="dxa"/>
          </w:tcPr>
          <w:p w14:paraId="5A45E7D0"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Strategii, planuri şi programe naţionale pentru a asigura conservarea şi utilizarea durabilă a diversităţii biologice</w:t>
            </w:r>
          </w:p>
          <w:p w14:paraId="46DAF9EB"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Stabilire sistem de zone protejate unde sunt necesare măsuri speciale pentru conservarea diversităţii biologice</w:t>
            </w:r>
          </w:p>
          <w:p w14:paraId="59B280AA"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Reglementare, administrare sau control al riscurilor legate de utilizarea şi eliberarea de organisme vii şi modificate, rezultate din biotehnologie</w:t>
            </w:r>
          </w:p>
        </w:tc>
      </w:tr>
      <w:tr w:rsidR="003B5B5D" w:rsidRPr="003B5B5D" w14:paraId="1179DE89" w14:textId="77777777" w:rsidTr="003B5B5D">
        <w:trPr>
          <w:jc w:val="center"/>
        </w:trPr>
        <w:tc>
          <w:tcPr>
            <w:tcW w:w="562" w:type="dxa"/>
          </w:tcPr>
          <w:p w14:paraId="60052F5D"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41F6DBA6"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 xml:space="preserve">Legea nr. 82/1993 privind constituirea Rezervației Biosferei “Delta Dunării” </w:t>
            </w:r>
            <w:r w:rsidRPr="003B5B5D">
              <w:rPr>
                <w:rFonts w:eastAsia="Times New Roman" w:cs="Times New Roman"/>
                <w:color w:val="000000"/>
                <w:sz w:val="22"/>
                <w:szCs w:val="22"/>
              </w:rPr>
              <w:lastRenderedPageBreak/>
              <w:t>cu modificările și completările ulterioare</w:t>
            </w:r>
            <w:r w:rsidRPr="003B5B5D">
              <w:rPr>
                <w:rFonts w:eastAsia="Times New Roman" w:cs="Times New Roman"/>
                <w:color w:val="000000"/>
                <w:sz w:val="22"/>
                <w:szCs w:val="22"/>
                <w:vertAlign w:val="superscript"/>
              </w:rPr>
              <w:footnoteReference w:id="4"/>
            </w:r>
            <w:r w:rsidRPr="003B5B5D">
              <w:rPr>
                <w:rFonts w:eastAsia="Times New Roman" w:cs="Times New Roman"/>
                <w:color w:val="000000"/>
                <w:sz w:val="22"/>
                <w:szCs w:val="22"/>
                <w:vertAlign w:val="superscript"/>
              </w:rPr>
              <w:t xml:space="preserve">; </w:t>
            </w:r>
            <w:r w:rsidRPr="003B5B5D">
              <w:rPr>
                <w:rFonts w:eastAsia="Times New Roman" w:cs="Times New Roman"/>
                <w:color w:val="000000"/>
                <w:sz w:val="22"/>
                <w:szCs w:val="22"/>
                <w:vertAlign w:val="superscript"/>
              </w:rPr>
              <w:footnoteReference w:id="5"/>
            </w:r>
          </w:p>
        </w:tc>
        <w:tc>
          <w:tcPr>
            <w:tcW w:w="4819" w:type="dxa"/>
          </w:tcPr>
          <w:p w14:paraId="3655597B"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lastRenderedPageBreak/>
              <w:t>Ministerului Mediului,</w:t>
            </w:r>
          </w:p>
          <w:p w14:paraId="035685ED"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Guvernatorul și Administraţia Rezervaţiei</w:t>
            </w:r>
          </w:p>
          <w:p w14:paraId="295C7817"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Consiliul consultativ de administrare</w:t>
            </w:r>
          </w:p>
          <w:p w14:paraId="5B77DD86"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lastRenderedPageBreak/>
              <w:t>Consiliul ştiinţific al rezervaţiei</w:t>
            </w:r>
          </w:p>
        </w:tc>
        <w:tc>
          <w:tcPr>
            <w:tcW w:w="4961" w:type="dxa"/>
          </w:tcPr>
          <w:p w14:paraId="207A4F59"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Planul de management al rezervaţiei</w:t>
            </w:r>
            <w:r w:rsidRPr="003B5B5D">
              <w:rPr>
                <w:rFonts w:eastAsia="Times New Roman" w:cs="Times New Roman"/>
                <w:color w:val="000000"/>
                <w:sz w:val="22"/>
                <w:szCs w:val="22"/>
                <w:vertAlign w:val="superscript"/>
              </w:rPr>
              <w:footnoteReference w:id="6"/>
            </w:r>
          </w:p>
          <w:p w14:paraId="0F42D1DE"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Delimitarea zonelor funcţionale cu regim diferenţiat de protecţie ecologică</w:t>
            </w:r>
            <w:r w:rsidRPr="003B5B5D">
              <w:rPr>
                <w:rFonts w:eastAsia="Times New Roman" w:cs="Times New Roman"/>
                <w:color w:val="000000"/>
                <w:sz w:val="22"/>
                <w:szCs w:val="22"/>
                <w:vertAlign w:val="superscript"/>
              </w:rPr>
              <w:footnoteReference w:id="7"/>
            </w:r>
            <w:r w:rsidRPr="003B5B5D">
              <w:rPr>
                <w:rFonts w:eastAsia="Times New Roman" w:cs="Times New Roman"/>
                <w:color w:val="000000"/>
                <w:sz w:val="22"/>
                <w:szCs w:val="22"/>
                <w:vertAlign w:val="superscript"/>
              </w:rPr>
              <w:t>;</w:t>
            </w:r>
            <w:r w:rsidRPr="003B5B5D">
              <w:rPr>
                <w:rFonts w:eastAsia="Times New Roman" w:cs="Times New Roman"/>
                <w:color w:val="000000"/>
                <w:sz w:val="22"/>
                <w:szCs w:val="22"/>
                <w:vertAlign w:val="superscript"/>
              </w:rPr>
              <w:footnoteReference w:id="8"/>
            </w:r>
          </w:p>
        </w:tc>
      </w:tr>
      <w:tr w:rsidR="003B5B5D" w:rsidRPr="003B5B5D" w14:paraId="494167CC" w14:textId="77777777" w:rsidTr="003B5B5D">
        <w:trPr>
          <w:jc w:val="center"/>
        </w:trPr>
        <w:tc>
          <w:tcPr>
            <w:tcW w:w="562" w:type="dxa"/>
          </w:tcPr>
          <w:p w14:paraId="0B5AD9AE"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375DAC9F"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13 /1993 pentru aderarea României la Convenția privind conservarea vieții sălbatice și a habitatelor naturale din Europa, adoptată la Berna la 19 septembrie 1979</w:t>
            </w:r>
          </w:p>
        </w:tc>
        <w:tc>
          <w:tcPr>
            <w:tcW w:w="4819" w:type="dxa"/>
          </w:tcPr>
          <w:p w14:paraId="1FB42362"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 xml:space="preserve">Comitetul permanent al statelor membre ale Consiliului Europei </w:t>
            </w:r>
          </w:p>
          <w:p w14:paraId="5CBE355A"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Guvern</w:t>
            </w:r>
          </w:p>
        </w:tc>
        <w:tc>
          <w:tcPr>
            <w:tcW w:w="4961" w:type="dxa"/>
          </w:tcPr>
          <w:p w14:paraId="081193DE"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Măsuri legislative şi administrative adecvate şi necesare pentru asigurarea conservării speciilor de floră sălbatică</w:t>
            </w:r>
          </w:p>
          <w:p w14:paraId="25625AC8"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Măsuri legislative şi administrative adecvate şi necesare pentru a asigura conservarea speciilor de faună sălbatică</w:t>
            </w:r>
          </w:p>
        </w:tc>
      </w:tr>
      <w:tr w:rsidR="003B5B5D" w:rsidRPr="003B5B5D" w14:paraId="6B813603" w14:textId="77777777" w:rsidTr="003B5B5D">
        <w:trPr>
          <w:jc w:val="center"/>
        </w:trPr>
        <w:tc>
          <w:tcPr>
            <w:tcW w:w="562" w:type="dxa"/>
          </w:tcPr>
          <w:p w14:paraId="6D37DF57"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137FEB78"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nr. 6/1993 pentru aderarea României la Convenţia internaţională din 1973 pentru prevenirea poluării de către nave, modificată prin Protocolul încheiat la Londra la data de 17 februarie 1978 (cu modificările și completările ulterioare)</w:t>
            </w:r>
          </w:p>
        </w:tc>
        <w:tc>
          <w:tcPr>
            <w:tcW w:w="4819" w:type="dxa"/>
          </w:tcPr>
          <w:p w14:paraId="2D790C93"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Organizaţia Maritimă Consultativă Interguvernamentală</w:t>
            </w:r>
          </w:p>
          <w:p w14:paraId="17E41CCD"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Guvern</w:t>
            </w:r>
          </w:p>
          <w:p w14:paraId="25319D32"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Transporturilor</w:t>
            </w:r>
          </w:p>
        </w:tc>
        <w:tc>
          <w:tcPr>
            <w:tcW w:w="4961" w:type="dxa"/>
          </w:tcPr>
          <w:p w14:paraId="7B684DE5"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Reguli de folosinţă generală pentru protejarea mărilor şi a mediului costier împotriva poluării</w:t>
            </w:r>
          </w:p>
        </w:tc>
      </w:tr>
      <w:tr w:rsidR="003B5B5D" w:rsidRPr="003B5B5D" w14:paraId="758D0A24" w14:textId="77777777" w:rsidTr="003B5B5D">
        <w:trPr>
          <w:jc w:val="center"/>
        </w:trPr>
        <w:tc>
          <w:tcPr>
            <w:tcW w:w="562" w:type="dxa"/>
          </w:tcPr>
          <w:p w14:paraId="5701F99D"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01D1E4DD"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nr. 50 /1991 privind autorizarea executării lucrărilor de construcții</w:t>
            </w:r>
          </w:p>
        </w:tc>
        <w:tc>
          <w:tcPr>
            <w:tcW w:w="4819" w:type="dxa"/>
          </w:tcPr>
          <w:p w14:paraId="6C45AA2E"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Dezvoltării Regionale şi Administraţiei Publice</w:t>
            </w:r>
          </w:p>
          <w:p w14:paraId="479E93E2"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Ministerului Transporturilor și Infrastructurii</w:t>
            </w:r>
          </w:p>
          <w:p w14:paraId="299C2888"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lastRenderedPageBreak/>
              <w:t>Ministerului Culturii şi Cultelor</w:t>
            </w:r>
          </w:p>
          <w:p w14:paraId="66CBC4AB"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Sănătății</w:t>
            </w:r>
          </w:p>
          <w:p w14:paraId="3244B71A"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Inspectoratul de Stat în Construcţii</w:t>
            </w:r>
          </w:p>
          <w:p w14:paraId="11313844"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Autorităţile administraţiei publice locale</w:t>
            </w:r>
          </w:p>
        </w:tc>
        <w:tc>
          <w:tcPr>
            <w:tcW w:w="4961" w:type="dxa"/>
          </w:tcPr>
          <w:p w14:paraId="284837AF"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Norme metodologice de aplicare a Legii nr. 50/1991</w:t>
            </w:r>
          </w:p>
        </w:tc>
      </w:tr>
      <w:tr w:rsidR="003B5B5D" w:rsidRPr="003B5B5D" w14:paraId="35243E48" w14:textId="77777777" w:rsidTr="003B5B5D">
        <w:trPr>
          <w:jc w:val="center"/>
        </w:trPr>
        <w:tc>
          <w:tcPr>
            <w:tcW w:w="562" w:type="dxa"/>
          </w:tcPr>
          <w:p w14:paraId="3ECAF18D"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0AA18C69"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Legea nr. 5/1991 pentru aderarea României la Convenţia asupra zonelor umede, de importanţă internaţională, în special ca habitat al păsărilor acvatice</w:t>
            </w:r>
          </w:p>
        </w:tc>
        <w:tc>
          <w:tcPr>
            <w:tcW w:w="4819" w:type="dxa"/>
          </w:tcPr>
          <w:p w14:paraId="729457FB"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p>
        </w:tc>
        <w:tc>
          <w:tcPr>
            <w:tcW w:w="4961" w:type="dxa"/>
          </w:tcPr>
          <w:p w14:paraId="40002F18"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 xml:space="preserve">Desemnarea de zone umede </w:t>
            </w:r>
            <w:r w:rsidRPr="003B5B5D">
              <w:rPr>
                <w:rFonts w:eastAsia="Times New Roman" w:cs="Times New Roman"/>
                <w:sz w:val="22"/>
                <w:szCs w:val="22"/>
              </w:rPr>
              <w:t>aparținând</w:t>
            </w:r>
            <w:r w:rsidRPr="003B5B5D">
              <w:rPr>
                <w:rFonts w:eastAsia="Times New Roman" w:cs="Times New Roman"/>
                <w:color w:val="000000"/>
                <w:sz w:val="22"/>
                <w:szCs w:val="22"/>
              </w:rPr>
              <w:t xml:space="preserve"> teritoriului său care să fie incluse în lista zonelor umede de importanţă internaţională</w:t>
            </w:r>
          </w:p>
          <w:p w14:paraId="621B8FBF"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 xml:space="preserve">Crearea de </w:t>
            </w:r>
            <w:r w:rsidRPr="003B5B5D">
              <w:rPr>
                <w:rFonts w:eastAsia="Times New Roman" w:cs="Times New Roman"/>
                <w:sz w:val="22"/>
                <w:szCs w:val="22"/>
              </w:rPr>
              <w:t>rezervatii</w:t>
            </w:r>
            <w:r w:rsidRPr="003B5B5D">
              <w:rPr>
                <w:rFonts w:eastAsia="Times New Roman" w:cs="Times New Roman"/>
                <w:color w:val="000000"/>
                <w:sz w:val="22"/>
                <w:szCs w:val="22"/>
              </w:rPr>
              <w:t xml:space="preserve"> naturale în zonele umede</w:t>
            </w:r>
          </w:p>
          <w:p w14:paraId="56667F08"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Măsuri administrative, care să asigure creşterea efectivelor la populaţiile de păsări acvatice în zonele umede care le aparţin</w:t>
            </w:r>
          </w:p>
        </w:tc>
      </w:tr>
      <w:tr w:rsidR="003B5B5D" w:rsidRPr="003B5B5D" w14:paraId="162F6888" w14:textId="77777777" w:rsidTr="003B5B5D">
        <w:trPr>
          <w:jc w:val="center"/>
        </w:trPr>
        <w:tc>
          <w:tcPr>
            <w:tcW w:w="562" w:type="dxa"/>
          </w:tcPr>
          <w:p w14:paraId="4A762AF8"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325B4BA1"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-Decret nr. 187 din 30.03.1990 al CPUN pentru acceptarea Convenţiei privind protecţia patrimoniului mondial, cultural şi natural, adoptată de Conferinţa generală a Organizaţiei Naţiunilor Unite pentru Educaţie, Ştiinţă şi Cultură (UNESCO) la 16 noiembrie 1972</w:t>
            </w:r>
          </w:p>
        </w:tc>
        <w:tc>
          <w:tcPr>
            <w:tcW w:w="4819" w:type="dxa"/>
          </w:tcPr>
          <w:p w14:paraId="737129AA"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Comitetul patrimoniului mondial</w:t>
            </w:r>
          </w:p>
          <w:p w14:paraId="57585837"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Centrului internaţional de studii pentru conservarea şi restaurarea bunurilor culturale (centrul din Roma)</w:t>
            </w:r>
          </w:p>
          <w:p w14:paraId="733D20C0"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Consiliului internaţional al monumentelor şi siturilor (ICOMOS)</w:t>
            </w:r>
          </w:p>
          <w:p w14:paraId="0B1E5FBD"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Uniunea internaţională pentru conservarea naturii şi resurselor sale (UICN),</w:t>
            </w:r>
          </w:p>
        </w:tc>
        <w:tc>
          <w:tcPr>
            <w:tcW w:w="4961" w:type="dxa"/>
          </w:tcPr>
          <w:p w14:paraId="274B7E0C"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p>
        </w:tc>
      </w:tr>
      <w:tr w:rsidR="003B5B5D" w:rsidRPr="003B5B5D" w14:paraId="521341E6" w14:textId="77777777" w:rsidTr="003B5B5D">
        <w:trPr>
          <w:jc w:val="center"/>
        </w:trPr>
        <w:tc>
          <w:tcPr>
            <w:tcW w:w="562" w:type="dxa"/>
          </w:tcPr>
          <w:p w14:paraId="33C9D88A"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6184E346"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OUG nr. 92 din 19 august 2021 privind regimul deşeurilor aprobată cu modificări prin Legea nr.17/2023</w:t>
            </w:r>
          </w:p>
        </w:tc>
        <w:tc>
          <w:tcPr>
            <w:tcW w:w="4819" w:type="dxa"/>
          </w:tcPr>
          <w:p w14:paraId="420FD6A9"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publică centrală pentru protecţia mediului</w:t>
            </w:r>
          </w:p>
          <w:p w14:paraId="74AAF040"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Autorităţile publice centrale cu atribuţii în domeniul economiei, finanţelor, cercetării</w:t>
            </w:r>
          </w:p>
          <w:p w14:paraId="5CCFC5CD"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Operatorii economici autorizaţi să efectueze operaţiuni de colectare de deşeuri</w:t>
            </w:r>
          </w:p>
          <w:p w14:paraId="29E441BC"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lastRenderedPageBreak/>
              <w:t>Garda Naţională de Mediu şi structurile sale teritoriale</w:t>
            </w:r>
          </w:p>
          <w:p w14:paraId="34BA913B"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Autorităţile administraţiei publice locale</w:t>
            </w:r>
          </w:p>
          <w:p w14:paraId="7462464B"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Autorități publice centrale din domeniile sănătății, educației, dezvoltării, economiei, transporturilor, agriculturii și dezvoltării rurale, finanțelor</w:t>
            </w:r>
          </w:p>
        </w:tc>
        <w:tc>
          <w:tcPr>
            <w:tcW w:w="4961" w:type="dxa"/>
          </w:tcPr>
          <w:p w14:paraId="792F9E7C"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Acțiuni legislative</w:t>
            </w:r>
          </w:p>
          <w:p w14:paraId="32DFE2F9"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Programe de educare şi informare</w:t>
            </w:r>
          </w:p>
        </w:tc>
      </w:tr>
      <w:tr w:rsidR="003B5B5D" w:rsidRPr="003B5B5D" w14:paraId="00194E9A" w14:textId="77777777" w:rsidTr="003B5B5D">
        <w:trPr>
          <w:jc w:val="center"/>
        </w:trPr>
        <w:tc>
          <w:tcPr>
            <w:tcW w:w="562" w:type="dxa"/>
          </w:tcPr>
          <w:p w14:paraId="47D3ED6B"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28480C0C"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OUG nr. 49 din 31.08.2016 pentru modificarea Legii nr. 5/2000 privind aprobarea Planului de amenajare a teritoriului naţional - Secţiunea a III-a - zone protejate.</w:t>
            </w:r>
          </w:p>
        </w:tc>
        <w:tc>
          <w:tcPr>
            <w:tcW w:w="4819" w:type="dxa"/>
          </w:tcPr>
          <w:p w14:paraId="6F02EA98"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publică centrală pentru protecţia mediului</w:t>
            </w:r>
          </w:p>
        </w:tc>
        <w:tc>
          <w:tcPr>
            <w:tcW w:w="4961" w:type="dxa"/>
          </w:tcPr>
          <w:p w14:paraId="5DEEB8EF"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Lista consolidată a ariilor naturale protejate din România</w:t>
            </w:r>
          </w:p>
          <w:p w14:paraId="2A39A26F"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Se reglementează regimul ariilor naturale protejate prin lege specială</w:t>
            </w:r>
          </w:p>
        </w:tc>
      </w:tr>
      <w:tr w:rsidR="003B5B5D" w:rsidRPr="003B5B5D" w14:paraId="205A7471" w14:textId="77777777" w:rsidTr="003B5B5D">
        <w:trPr>
          <w:jc w:val="center"/>
        </w:trPr>
        <w:tc>
          <w:tcPr>
            <w:tcW w:w="562" w:type="dxa"/>
          </w:tcPr>
          <w:p w14:paraId="65E907FD"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37E46EE5"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OUG nr. 142 /2008 privind Planul de amenajare a teritoriului național – Secțiunea a VIII-a zone cu resurse turistice</w:t>
            </w:r>
          </w:p>
        </w:tc>
        <w:tc>
          <w:tcPr>
            <w:tcW w:w="4819" w:type="dxa"/>
          </w:tcPr>
          <w:p w14:paraId="517F2394"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Consiliile locale ale unităţilor administrativ-teritoriale care sunt staţiuni turistice</w:t>
            </w:r>
          </w:p>
        </w:tc>
        <w:tc>
          <w:tcPr>
            <w:tcW w:w="4961" w:type="dxa"/>
          </w:tcPr>
          <w:p w14:paraId="1584BD2F"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Metodologia pentru analiza potenţialului turistic al teritoriului</w:t>
            </w:r>
          </w:p>
        </w:tc>
      </w:tr>
      <w:tr w:rsidR="003B5B5D" w:rsidRPr="003B5B5D" w14:paraId="31575DBF" w14:textId="77777777" w:rsidTr="003B5B5D">
        <w:trPr>
          <w:jc w:val="center"/>
        </w:trPr>
        <w:tc>
          <w:tcPr>
            <w:tcW w:w="562" w:type="dxa"/>
          </w:tcPr>
          <w:p w14:paraId="4931C7A6"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15C518C7"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OUG nr. 23 din 5 martie 2008 privind pescuitul şi acvacultura</w:t>
            </w:r>
          </w:p>
        </w:tc>
        <w:tc>
          <w:tcPr>
            <w:tcW w:w="4819" w:type="dxa"/>
          </w:tcPr>
          <w:p w14:paraId="45544C3B"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Ministerului Agriculturii, Pădurilor şi Dezvoltării Rurale prin Agenţia Naţională pentru Pescuit şi Acvacultură</w:t>
            </w:r>
          </w:p>
          <w:p w14:paraId="4DFD4747"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Organizaţiile de producători din sectorul pescăresc</w:t>
            </w:r>
          </w:p>
          <w:p w14:paraId="08A45274"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Navală Română</w:t>
            </w:r>
          </w:p>
        </w:tc>
        <w:tc>
          <w:tcPr>
            <w:tcW w:w="4961" w:type="dxa"/>
          </w:tcPr>
          <w:p w14:paraId="22FBCF95"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Reglementări privind funcţionarea pieţei produselor de pescuit şi acvacultură</w:t>
            </w:r>
          </w:p>
        </w:tc>
      </w:tr>
      <w:tr w:rsidR="003B5B5D" w:rsidRPr="003B5B5D" w14:paraId="57195A3A" w14:textId="77777777" w:rsidTr="003B5B5D">
        <w:trPr>
          <w:jc w:val="center"/>
        </w:trPr>
        <w:tc>
          <w:tcPr>
            <w:tcW w:w="562" w:type="dxa"/>
          </w:tcPr>
          <w:p w14:paraId="7FB44153"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413AFE4B"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OUG nr. 68 din 28 iunie 2007 privind răspunderea de mediu cu referire la prevenirea şi repararea prejudiciului asupra mediului</w:t>
            </w:r>
          </w:p>
        </w:tc>
        <w:tc>
          <w:tcPr>
            <w:tcW w:w="4819" w:type="dxa"/>
          </w:tcPr>
          <w:p w14:paraId="0F3A67E1"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Agenţia Naţională pentru Protecţia Mediului</w:t>
            </w:r>
          </w:p>
          <w:p w14:paraId="4EAFD40A"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Afacerilor Externe</w:t>
            </w:r>
          </w:p>
        </w:tc>
        <w:tc>
          <w:tcPr>
            <w:tcW w:w="4961" w:type="dxa"/>
          </w:tcPr>
          <w:p w14:paraId="4A667167"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Acte normative subsecvente prin care sunt definite formele de garanţie financiară şi măsurile pentru dezvoltarea ofertei de instrumente financiare privind răspunderea în domeniul mediului</w:t>
            </w:r>
          </w:p>
        </w:tc>
      </w:tr>
      <w:tr w:rsidR="003B5B5D" w:rsidRPr="003B5B5D" w14:paraId="2D1A8690" w14:textId="77777777" w:rsidTr="003B5B5D">
        <w:trPr>
          <w:jc w:val="center"/>
        </w:trPr>
        <w:tc>
          <w:tcPr>
            <w:tcW w:w="562" w:type="dxa"/>
          </w:tcPr>
          <w:p w14:paraId="02A74CCC"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6739ECE6"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 xml:space="preserve">OUG nr. 57 /2007 privind regimul ariilor naturale protejate, conservarea habitatelor naturale, a florei și faunei </w:t>
            </w:r>
            <w:r w:rsidRPr="003B5B5D">
              <w:rPr>
                <w:rFonts w:eastAsia="Times New Roman" w:cs="Times New Roman"/>
                <w:color w:val="000000"/>
                <w:sz w:val="22"/>
                <w:szCs w:val="22"/>
              </w:rPr>
              <w:lastRenderedPageBreak/>
              <w:t>sălbatice, aprobată cu modificări și completări prin Legea 49 / 2011, cu modificările și completările ulterioare</w:t>
            </w:r>
          </w:p>
        </w:tc>
        <w:tc>
          <w:tcPr>
            <w:tcW w:w="4819" w:type="dxa"/>
          </w:tcPr>
          <w:p w14:paraId="344215A4"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lastRenderedPageBreak/>
              <w:t>Autoritatea publică centrală pentru protecţia mediului şi pădurilor</w:t>
            </w:r>
          </w:p>
          <w:p w14:paraId="6644F623"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lastRenderedPageBreak/>
              <w:t>Agenţia Naţională pentru Arii Naturale Protejate</w:t>
            </w:r>
          </w:p>
          <w:p w14:paraId="7EA39A71"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Structuri de administrare special constituite</w:t>
            </w:r>
          </w:p>
          <w:p w14:paraId="6568D94F"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333333"/>
                <w:sz w:val="22"/>
                <w:szCs w:val="22"/>
                <w:highlight w:val="white"/>
              </w:rPr>
            </w:pPr>
            <w:r w:rsidRPr="003B5B5D">
              <w:rPr>
                <w:rFonts w:eastAsia="Times New Roman" w:cs="Times New Roman"/>
                <w:color w:val="333333"/>
                <w:sz w:val="22"/>
                <w:szCs w:val="22"/>
                <w:highlight w:val="white"/>
              </w:rPr>
              <w:t>Academia Română</w:t>
            </w:r>
          </w:p>
          <w:p w14:paraId="02659A13"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333333"/>
                <w:sz w:val="22"/>
                <w:szCs w:val="22"/>
                <w:highlight w:val="white"/>
              </w:rPr>
            </w:pPr>
            <w:r w:rsidRPr="003B5B5D">
              <w:rPr>
                <w:rFonts w:eastAsia="Times New Roman" w:cs="Times New Roman"/>
                <w:color w:val="333333"/>
                <w:sz w:val="22"/>
                <w:szCs w:val="22"/>
                <w:highlight w:val="white"/>
              </w:rPr>
              <w:t>Institutul de Cercetări şi Amenajări Silvice;</w:t>
            </w:r>
          </w:p>
          <w:p w14:paraId="0ED46D5F"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333333"/>
                <w:sz w:val="22"/>
                <w:szCs w:val="22"/>
                <w:highlight w:val="white"/>
              </w:rPr>
            </w:pPr>
            <w:r w:rsidRPr="003B5B5D">
              <w:rPr>
                <w:rFonts w:eastAsia="Times New Roman" w:cs="Times New Roman"/>
                <w:color w:val="333333"/>
                <w:sz w:val="22"/>
                <w:szCs w:val="22"/>
                <w:highlight w:val="white"/>
              </w:rPr>
              <w:t>Institutul Naţional de Cercetare-Dezvoltare "Delta Dunării"</w:t>
            </w:r>
          </w:p>
          <w:p w14:paraId="06749E46"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sz w:val="22"/>
                <w:szCs w:val="22"/>
              </w:rPr>
            </w:pPr>
            <w:r w:rsidRPr="003B5B5D">
              <w:rPr>
                <w:rFonts w:eastAsia="Times New Roman" w:cs="Times New Roman"/>
                <w:sz w:val="22"/>
                <w:szCs w:val="22"/>
              </w:rPr>
              <w:t>Autorităţi ale administraţiei publice locale</w:t>
            </w:r>
          </w:p>
        </w:tc>
        <w:tc>
          <w:tcPr>
            <w:tcW w:w="4961" w:type="dxa"/>
          </w:tcPr>
          <w:p w14:paraId="42E895DB"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Planuri de management şi regulamente ale ariilor naturale protejate</w:t>
            </w:r>
          </w:p>
          <w:p w14:paraId="6FC9D5C3"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Liste de specii și habitate, criterii de selecție și identificare, alte reglementări specifice.</w:t>
            </w:r>
          </w:p>
        </w:tc>
      </w:tr>
      <w:tr w:rsidR="003B5B5D" w:rsidRPr="003B5B5D" w14:paraId="4A37BE79" w14:textId="77777777" w:rsidTr="003B5B5D">
        <w:trPr>
          <w:jc w:val="center"/>
        </w:trPr>
        <w:tc>
          <w:tcPr>
            <w:tcW w:w="562" w:type="dxa"/>
          </w:tcPr>
          <w:p w14:paraId="6DA90B5D"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0925F2D0"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OG nr. 18/2016 privind amenajarea spaţiului maritim</w:t>
            </w:r>
          </w:p>
        </w:tc>
        <w:tc>
          <w:tcPr>
            <w:tcW w:w="4819" w:type="dxa"/>
          </w:tcPr>
          <w:p w14:paraId="0FE0CB24"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Comitetul de amenajare a spaţiului maritim (organism interministerial care funcţionează în coordonarea prim-ministrului)</w:t>
            </w:r>
          </w:p>
        </w:tc>
        <w:tc>
          <w:tcPr>
            <w:tcW w:w="4961" w:type="dxa"/>
          </w:tcPr>
          <w:p w14:paraId="3DDDD2AF"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Metodologia de elaborare a planurilor de amenajare a spaţiului maritim</w:t>
            </w:r>
          </w:p>
          <w:p w14:paraId="01E85CAB"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Regulamentul de organizare şi funcţionare, precum şi componenţa nominală a Comitetului de amenajare a spaţiului maritim</w:t>
            </w:r>
          </w:p>
        </w:tc>
      </w:tr>
      <w:tr w:rsidR="003B5B5D" w:rsidRPr="003B5B5D" w14:paraId="636D1486" w14:textId="77777777" w:rsidTr="003B5B5D">
        <w:trPr>
          <w:jc w:val="center"/>
        </w:trPr>
        <w:tc>
          <w:tcPr>
            <w:tcW w:w="562" w:type="dxa"/>
          </w:tcPr>
          <w:p w14:paraId="57930432"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3E14D3A5"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OG nr. 43 /2000, privind protecţia patrimoniului arheologic şi declararea unor situri arheologice ca zone de interes naţional cu modificările și completările ulterioare</w:t>
            </w:r>
          </w:p>
        </w:tc>
        <w:tc>
          <w:tcPr>
            <w:tcW w:w="4819" w:type="dxa"/>
          </w:tcPr>
          <w:p w14:paraId="400846D8"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Culturii şi Cultelor</w:t>
            </w:r>
          </w:p>
          <w:p w14:paraId="1892A782"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Comisia Naţională de Arheologie</w:t>
            </w:r>
          </w:p>
          <w:p w14:paraId="4D30F44D"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Academia Română, prin institutele sale de specialitate</w:t>
            </w:r>
          </w:p>
          <w:p w14:paraId="6A191226"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Facultăţi şi institute de cercetare de specialitate</w:t>
            </w:r>
          </w:p>
          <w:p w14:paraId="5EDA3663"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Muzee şi asociaţii profesionale în domeniu</w:t>
            </w:r>
          </w:p>
        </w:tc>
        <w:tc>
          <w:tcPr>
            <w:tcW w:w="4961" w:type="dxa"/>
          </w:tcPr>
          <w:p w14:paraId="74655418"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sz w:val="22"/>
                <w:szCs w:val="22"/>
              </w:rPr>
              <w:t>Normelor</w:t>
            </w:r>
            <w:r w:rsidRPr="003B5B5D">
              <w:rPr>
                <w:rFonts w:eastAsia="Times New Roman" w:cs="Times New Roman"/>
                <w:color w:val="000000"/>
                <w:sz w:val="22"/>
                <w:szCs w:val="22"/>
              </w:rPr>
              <w:t xml:space="preserve"> şi metodologiilor din domeniul cercetării arheologice</w:t>
            </w:r>
          </w:p>
          <w:p w14:paraId="6E581EA4"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Metodologia de atestare a instituţiilor care au dreptul de a efectua cercetări arheologice</w:t>
            </w:r>
          </w:p>
          <w:p w14:paraId="459C7895"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Regulamentul săpăturilor arheologice</w:t>
            </w:r>
          </w:p>
          <w:p w14:paraId="1ECAC179"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Metodologia de clasare a siturilor arheologice</w:t>
            </w:r>
          </w:p>
        </w:tc>
      </w:tr>
      <w:tr w:rsidR="003B5B5D" w:rsidRPr="003B5B5D" w14:paraId="1AF00930" w14:textId="77777777" w:rsidTr="003B5B5D">
        <w:trPr>
          <w:jc w:val="center"/>
        </w:trPr>
        <w:tc>
          <w:tcPr>
            <w:tcW w:w="562" w:type="dxa"/>
          </w:tcPr>
          <w:p w14:paraId="6AB94327"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60520D47"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 xml:space="preserve">OG nr. 27/1996 privind acordarea de facilităţi persoanelor care domiciliază sau lucrează în unele localităţi din </w:t>
            </w:r>
            <w:r w:rsidRPr="003B5B5D">
              <w:rPr>
                <w:rFonts w:eastAsia="Times New Roman" w:cs="Times New Roman"/>
                <w:color w:val="000000"/>
                <w:sz w:val="22"/>
                <w:szCs w:val="22"/>
              </w:rPr>
              <w:lastRenderedPageBreak/>
              <w:t>Munţii Apuseni şi în Rezervaţia Biosferei Delta Dunării</w:t>
            </w:r>
          </w:p>
        </w:tc>
        <w:tc>
          <w:tcPr>
            <w:tcW w:w="4819" w:type="dxa"/>
          </w:tcPr>
          <w:p w14:paraId="46D43C07"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lastRenderedPageBreak/>
              <w:t>Ministerul Lucrărilor Publice şi Amenajării Teritoriului</w:t>
            </w:r>
          </w:p>
          <w:p w14:paraId="570FAD36"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Muncii şi Protecţiei Sociale</w:t>
            </w:r>
          </w:p>
          <w:p w14:paraId="0F74D433"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lastRenderedPageBreak/>
              <w:t xml:space="preserve">Ministerul Finanţelor </w:t>
            </w:r>
          </w:p>
          <w:p w14:paraId="0FFD6B5E"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Apelor, Pădurilor şi Protecţiei Mediului</w:t>
            </w:r>
          </w:p>
          <w:p w14:paraId="080CA987"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Consiliile judeţene interesate</w:t>
            </w:r>
          </w:p>
        </w:tc>
        <w:tc>
          <w:tcPr>
            <w:tcW w:w="4961" w:type="dxa"/>
          </w:tcPr>
          <w:p w14:paraId="68D0523E"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Norme metodologice cu privire la acordarea, utilizarea şi controlul cheltuielilor rezultate din aplicarea prevederilor ordonanţei</w:t>
            </w:r>
            <w:r w:rsidRPr="003B5B5D">
              <w:rPr>
                <w:rFonts w:eastAsia="Times New Roman" w:cs="Times New Roman"/>
                <w:color w:val="000000"/>
                <w:sz w:val="22"/>
                <w:szCs w:val="22"/>
                <w:vertAlign w:val="superscript"/>
              </w:rPr>
              <w:footnoteReference w:id="9"/>
            </w:r>
          </w:p>
        </w:tc>
      </w:tr>
      <w:tr w:rsidR="003B5B5D" w:rsidRPr="003B5B5D" w14:paraId="53F5FE44" w14:textId="77777777" w:rsidTr="003B5B5D">
        <w:trPr>
          <w:jc w:val="center"/>
        </w:trPr>
        <w:tc>
          <w:tcPr>
            <w:tcW w:w="562" w:type="dxa"/>
          </w:tcPr>
          <w:p w14:paraId="059D492A"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7E0C71BF"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H.G. nr. 1575 /2022 privind aprobarea Strategiei naționale de dezvoltare urbană integrată pentru orașe reziliente, verzi, incluzive și competitive 2022-2023 (Politică urbană a României).</w:t>
            </w:r>
          </w:p>
        </w:tc>
        <w:tc>
          <w:tcPr>
            <w:tcW w:w="4819" w:type="dxa"/>
          </w:tcPr>
          <w:p w14:paraId="3E74B402"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Dezvoltării, Lucrărilor Publice și Administrației</w:t>
            </w:r>
          </w:p>
          <w:p w14:paraId="1E2A81E0"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Autorități ale administrației publice centrale</w:t>
            </w:r>
          </w:p>
          <w:p w14:paraId="5FC53D59"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sz w:val="22"/>
                <w:szCs w:val="22"/>
              </w:rPr>
            </w:pPr>
            <w:r w:rsidRPr="003B5B5D">
              <w:rPr>
                <w:rFonts w:eastAsia="Times New Roman" w:cs="Times New Roman"/>
                <w:sz w:val="22"/>
                <w:szCs w:val="22"/>
              </w:rPr>
              <w:t>Autorităţile administraţiei publice locale</w:t>
            </w:r>
          </w:p>
          <w:p w14:paraId="2CCF6A68"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Institutul Național de Statistică</w:t>
            </w:r>
          </w:p>
          <w:p w14:paraId="2C31E0EA"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Secretariatul General al Guvernului - Departamentul de Dezvoltare Durabilă</w:t>
            </w:r>
          </w:p>
          <w:p w14:paraId="108E2F47"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Agenţiile de Dezvoltare Regională</w:t>
            </w:r>
          </w:p>
          <w:p w14:paraId="39B86819"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Universităţi, autorităţi profesionale, organizaţii de cercetare etc.</w:t>
            </w:r>
          </w:p>
        </w:tc>
        <w:tc>
          <w:tcPr>
            <w:tcW w:w="4961" w:type="dxa"/>
          </w:tcPr>
          <w:p w14:paraId="727E4E7C"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Ghid de implementare a prevederilor Politicii Urbane 2022-2035;</w:t>
            </w:r>
          </w:p>
          <w:p w14:paraId="7295EF38"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Metodologie privind dezvoltarea și gestionarea serviciilor publice la nivel metropolitan / de zonă urbană funcțională;</w:t>
            </w:r>
          </w:p>
          <w:p w14:paraId="7D072110"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Metodologie de identificare și delimitare a zonelor urbane funcționale și a zonelor metropolitane;</w:t>
            </w:r>
          </w:p>
          <w:p w14:paraId="158C6E68"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Metodologie privind planificarea strategică, prioritizarea, implementarea și monitorizarea proiectelor de investiții publice în zonele urbane;</w:t>
            </w:r>
          </w:p>
          <w:p w14:paraId="47744E8B"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Ghid de implementare la nivel național a acțiunilor Agendei Urbane pentru UE.</w:t>
            </w:r>
          </w:p>
        </w:tc>
      </w:tr>
      <w:tr w:rsidR="003B5B5D" w:rsidRPr="003B5B5D" w14:paraId="67A189FD" w14:textId="77777777" w:rsidTr="003B5B5D">
        <w:trPr>
          <w:jc w:val="center"/>
        </w:trPr>
        <w:tc>
          <w:tcPr>
            <w:tcW w:w="562" w:type="dxa"/>
          </w:tcPr>
          <w:p w14:paraId="1F285364"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6913F140"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HG nr. 685 /2022 privind instituirea regimului de arie naturală protejată și declararea ariilor speciale de conservare ca parte integrantă a rețelei ecologice europene Natura 2000 în România</w:t>
            </w:r>
          </w:p>
        </w:tc>
        <w:tc>
          <w:tcPr>
            <w:tcW w:w="4819" w:type="dxa"/>
          </w:tcPr>
          <w:p w14:paraId="3D1B20DB"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sz w:val="22"/>
                <w:szCs w:val="22"/>
              </w:rPr>
            </w:pPr>
            <w:r w:rsidRPr="003B5B5D">
              <w:rPr>
                <w:rFonts w:eastAsia="Times New Roman" w:cs="Times New Roman"/>
                <w:sz w:val="22"/>
                <w:szCs w:val="22"/>
              </w:rPr>
              <w:t>Ministrul mediului, apelor şi pădurilor</w:t>
            </w:r>
          </w:p>
          <w:p w14:paraId="54C84E05"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sz w:val="22"/>
                <w:szCs w:val="22"/>
              </w:rPr>
            </w:pPr>
            <w:r w:rsidRPr="003B5B5D">
              <w:rPr>
                <w:rFonts w:eastAsia="Times New Roman" w:cs="Times New Roman"/>
                <w:sz w:val="22"/>
                <w:szCs w:val="22"/>
              </w:rPr>
              <w:t>Ministrul dezvoltării, lucrărilor publice şi administraţiei</w:t>
            </w:r>
          </w:p>
          <w:p w14:paraId="2365F534"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sz w:val="22"/>
                <w:szCs w:val="22"/>
              </w:rPr>
            </w:pPr>
            <w:r w:rsidRPr="003B5B5D">
              <w:rPr>
                <w:rFonts w:eastAsia="Times New Roman" w:cs="Times New Roman"/>
                <w:sz w:val="22"/>
                <w:szCs w:val="22"/>
              </w:rPr>
              <w:t>Ministrul agriculturii şi dezvoltării rurale,</w:t>
            </w:r>
          </w:p>
          <w:p w14:paraId="197C8823"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sz w:val="22"/>
                <w:szCs w:val="22"/>
              </w:rPr>
            </w:pPr>
            <w:r w:rsidRPr="003B5B5D">
              <w:rPr>
                <w:rFonts w:eastAsia="Times New Roman" w:cs="Times New Roman"/>
                <w:sz w:val="22"/>
                <w:szCs w:val="22"/>
              </w:rPr>
              <w:t>Ministrul economiei</w:t>
            </w:r>
          </w:p>
          <w:p w14:paraId="597F5BB0"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sz w:val="22"/>
                <w:szCs w:val="22"/>
              </w:rPr>
            </w:pPr>
            <w:r w:rsidRPr="003B5B5D">
              <w:rPr>
                <w:rFonts w:eastAsia="Times New Roman" w:cs="Times New Roman"/>
                <w:sz w:val="22"/>
                <w:szCs w:val="22"/>
              </w:rPr>
              <w:t>Ministrul antreprenoriatului şi turismului</w:t>
            </w:r>
          </w:p>
          <w:p w14:paraId="05ED58E4"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sz w:val="22"/>
                <w:szCs w:val="22"/>
              </w:rPr>
            </w:pPr>
            <w:r w:rsidRPr="003B5B5D">
              <w:rPr>
                <w:rFonts w:eastAsia="Times New Roman" w:cs="Times New Roman"/>
                <w:sz w:val="22"/>
                <w:szCs w:val="22"/>
              </w:rPr>
              <w:t>Ministrul culturii,</w:t>
            </w:r>
          </w:p>
        </w:tc>
        <w:tc>
          <w:tcPr>
            <w:tcW w:w="4961" w:type="dxa"/>
          </w:tcPr>
          <w:p w14:paraId="7D77D028"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Lista ariilor speciale de conservare</w:t>
            </w:r>
          </w:p>
          <w:p w14:paraId="78798A9C"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Situri de importanță comunitară (SCI) care devin arii speciale de conservare (SAC)</w:t>
            </w:r>
          </w:p>
          <w:p w14:paraId="69C77B14"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Formulare standard Natura 2000 ale ariilor speciale de conservare</w:t>
            </w:r>
          </w:p>
          <w:p w14:paraId="24C9AA93"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Planuri de management</w:t>
            </w:r>
          </w:p>
        </w:tc>
      </w:tr>
      <w:tr w:rsidR="003B5B5D" w:rsidRPr="003B5B5D" w14:paraId="7020ADEF" w14:textId="77777777" w:rsidTr="003B5B5D">
        <w:trPr>
          <w:jc w:val="center"/>
        </w:trPr>
        <w:tc>
          <w:tcPr>
            <w:tcW w:w="562" w:type="dxa"/>
          </w:tcPr>
          <w:p w14:paraId="3B379EC7"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5FD31966"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 xml:space="preserve">HG nr. 538 din 8 iulie 2015 pentru aprobarea Regulilor privind accesul şi circulaţia navelor şi ambarcaţiunilor pe </w:t>
            </w:r>
            <w:r w:rsidRPr="003B5B5D">
              <w:rPr>
                <w:rFonts w:eastAsia="Times New Roman" w:cs="Times New Roman"/>
                <w:color w:val="000000"/>
                <w:sz w:val="22"/>
                <w:szCs w:val="22"/>
              </w:rPr>
              <w:lastRenderedPageBreak/>
              <w:t>canalele şi lacurile interioare din perimetrul Rezervaţiei Biosferei „Delta Dunării”.</w:t>
            </w:r>
          </w:p>
        </w:tc>
        <w:tc>
          <w:tcPr>
            <w:tcW w:w="4819" w:type="dxa"/>
          </w:tcPr>
          <w:p w14:paraId="4082477B"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lastRenderedPageBreak/>
              <w:t>Administraţia Rezervaţiei Biosferei „Delta Dunării"</w:t>
            </w:r>
          </w:p>
          <w:p w14:paraId="60FD02F6"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lastRenderedPageBreak/>
              <w:t xml:space="preserve">Instituţii din domeniul apărării naţionale, ordinii publice şi siguranţei naţionale </w:t>
            </w:r>
          </w:p>
          <w:p w14:paraId="656789EE"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Garda Națională de Mediu</w:t>
            </w:r>
          </w:p>
          <w:p w14:paraId="5023653F"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Dezvoltării Regionale şi Administraţiei Publice</w:t>
            </w:r>
          </w:p>
          <w:p w14:paraId="2CB23C8D"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Navală Română</w:t>
            </w:r>
          </w:p>
        </w:tc>
        <w:tc>
          <w:tcPr>
            <w:tcW w:w="4961" w:type="dxa"/>
          </w:tcPr>
          <w:p w14:paraId="4CC9ADE3"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Stabilirea sistemelor de monitorizare pentru orice navă/ambarcaţiune motorizată, pentru a i se permite accesul şi navigaţia în perimetrul RBDD</w:t>
            </w:r>
          </w:p>
        </w:tc>
      </w:tr>
      <w:tr w:rsidR="003B5B5D" w:rsidRPr="003B5B5D" w14:paraId="74AAD3BA" w14:textId="77777777" w:rsidTr="003B5B5D">
        <w:trPr>
          <w:jc w:val="center"/>
        </w:trPr>
        <w:tc>
          <w:tcPr>
            <w:tcW w:w="562" w:type="dxa"/>
          </w:tcPr>
          <w:p w14:paraId="30BDAD2D"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77A95ADB"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H.G. nr. 1516 din 19 noiembrie 2008 privind aprobarea Regulamentului-cadru de urbanism pentru Rezervația Biosferei Delta Dunării</w:t>
            </w:r>
          </w:p>
        </w:tc>
        <w:tc>
          <w:tcPr>
            <w:tcW w:w="4819" w:type="dxa"/>
          </w:tcPr>
          <w:p w14:paraId="370F76A6"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Unităţile administrativ-teritoriale din perimetrul RBDD</w:t>
            </w:r>
          </w:p>
          <w:p w14:paraId="67479824"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Consiliul județean Tulcea</w:t>
            </w:r>
          </w:p>
          <w:p w14:paraId="40A4951D"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Inspectoratul de Stat în Construcții</w:t>
            </w:r>
          </w:p>
        </w:tc>
        <w:tc>
          <w:tcPr>
            <w:tcW w:w="4961" w:type="dxa"/>
          </w:tcPr>
          <w:p w14:paraId="04F952EE"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Regulamente locale de urbanism pentru localitățile rurale din perimetrul Rezervației Biosferei Delta Dunării</w:t>
            </w:r>
          </w:p>
          <w:p w14:paraId="6BEF1C52"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Planul de amenajare a teritoriului zonal Delta Dunării</w:t>
            </w:r>
          </w:p>
          <w:p w14:paraId="4F1E67E7"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Planuri urbanistice generale (PUG)</w:t>
            </w:r>
          </w:p>
          <w:p w14:paraId="5C84FB55"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Planuri urbanistice zonale (PUZ)</w:t>
            </w:r>
          </w:p>
        </w:tc>
      </w:tr>
      <w:tr w:rsidR="003B5B5D" w:rsidRPr="003B5B5D" w14:paraId="486C2958" w14:textId="77777777" w:rsidTr="003B5B5D">
        <w:trPr>
          <w:jc w:val="center"/>
        </w:trPr>
        <w:tc>
          <w:tcPr>
            <w:tcW w:w="562" w:type="dxa"/>
          </w:tcPr>
          <w:p w14:paraId="58897D55"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2D99FBF9"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H.G. nr. 738 /2008 privind stabilirea măsurilor necesare în vederea finanțării, elaborării și actualizării documentațiilor de amenajare a teritoriului și urbanism pentru zonele cu monumente istorice care fac parte din Lista patrimoniului mondial</w:t>
            </w:r>
          </w:p>
        </w:tc>
        <w:tc>
          <w:tcPr>
            <w:tcW w:w="4819" w:type="dxa"/>
          </w:tcPr>
          <w:p w14:paraId="07644DFC"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Dezvoltării, Lucrărilor Publice şi Locuinţelor</w:t>
            </w:r>
          </w:p>
          <w:p w14:paraId="2E107DD0"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Culturii şi Cultelor</w:t>
            </w:r>
          </w:p>
          <w:p w14:paraId="49B7500E"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Comisia Naţională a Monumentelor Istorice sau Comisia Naţională de Arheologie</w:t>
            </w:r>
          </w:p>
          <w:p w14:paraId="18870B78"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Comisia pentru Amenajarea Teritoriului, Urbanism şi Arhitectură</w:t>
            </w:r>
          </w:p>
        </w:tc>
        <w:tc>
          <w:tcPr>
            <w:tcW w:w="4961" w:type="dxa"/>
          </w:tcPr>
          <w:p w14:paraId="0FCFC108"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Programul de elaborare şi actualizare a documentaţiilor de amenajare a teritoriului şi urbanism pentru zonele cu monumente istorice care fac parte din Lista patrimoniului mondial (LPM)</w:t>
            </w:r>
          </w:p>
          <w:p w14:paraId="302CF97E"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Documentaţii de amenajare a teritoriului şi urbanism</w:t>
            </w:r>
          </w:p>
        </w:tc>
      </w:tr>
      <w:tr w:rsidR="003B5B5D" w:rsidRPr="003B5B5D" w14:paraId="78145D2D" w14:textId="77777777" w:rsidTr="003B5B5D">
        <w:trPr>
          <w:jc w:val="center"/>
        </w:trPr>
        <w:tc>
          <w:tcPr>
            <w:tcW w:w="562" w:type="dxa"/>
          </w:tcPr>
          <w:p w14:paraId="787AF540"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201F81C0"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H.G. nr. 1284 /2007 privind declararea ariilor de protecţie specială avifaunistică ca parte integrantă a reţelei ecologice europene Natura 2000 în România</w:t>
            </w:r>
          </w:p>
        </w:tc>
        <w:tc>
          <w:tcPr>
            <w:tcW w:w="4819" w:type="dxa"/>
          </w:tcPr>
          <w:p w14:paraId="73C172FF"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publică centrală pentru protecția mediului</w:t>
            </w:r>
          </w:p>
        </w:tc>
        <w:tc>
          <w:tcPr>
            <w:tcW w:w="4961" w:type="dxa"/>
          </w:tcPr>
          <w:p w14:paraId="5F658F14"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Lista ariilor de protecție specială avifaunistică</w:t>
            </w:r>
          </w:p>
          <w:p w14:paraId="562EE894"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Hărți ariilor de protecție specială avifaunistică</w:t>
            </w:r>
          </w:p>
          <w:p w14:paraId="609D4856"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Formularele standard Natura 2000 completate pentru ariile de protecție specială avifaunistică</w:t>
            </w:r>
          </w:p>
          <w:p w14:paraId="0CECEB87"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Lista speciilor de păsări de interes comunitar</w:t>
            </w:r>
          </w:p>
        </w:tc>
      </w:tr>
      <w:tr w:rsidR="003B5B5D" w:rsidRPr="003B5B5D" w14:paraId="4895D049" w14:textId="77777777" w:rsidTr="003B5B5D">
        <w:trPr>
          <w:jc w:val="center"/>
        </w:trPr>
        <w:tc>
          <w:tcPr>
            <w:tcW w:w="562" w:type="dxa"/>
          </w:tcPr>
          <w:p w14:paraId="40477DF6"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11B80E87"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H.G. nr. 1076 din 8 iulie 2004 privind stabilirea procedurii de realizare a evaluării de mediu pentru planuri și programe</w:t>
            </w:r>
          </w:p>
        </w:tc>
        <w:tc>
          <w:tcPr>
            <w:tcW w:w="4819" w:type="dxa"/>
          </w:tcPr>
          <w:p w14:paraId="5D120172"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publică centrală pentru protecţia mediului</w:t>
            </w:r>
          </w:p>
          <w:p w14:paraId="16CE594B"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Agenţia Naţională pentru Protecţia Mediului</w:t>
            </w:r>
          </w:p>
          <w:p w14:paraId="054454C9"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Agenţii judeţene pentru protecţia mediului</w:t>
            </w:r>
          </w:p>
          <w:p w14:paraId="297561E3"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Administraţia Rezervaţiei Biosferei "Delta Dunării"</w:t>
            </w:r>
          </w:p>
          <w:p w14:paraId="17390427"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Afacerilor Externe</w:t>
            </w:r>
          </w:p>
        </w:tc>
        <w:tc>
          <w:tcPr>
            <w:tcW w:w="4961" w:type="dxa"/>
          </w:tcPr>
          <w:p w14:paraId="016118F9"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Procedura de realizare a evaluării de mediu</w:t>
            </w:r>
          </w:p>
          <w:p w14:paraId="0507C2E8"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highlight w:val="white"/>
              </w:rPr>
            </w:pPr>
            <w:r w:rsidRPr="003B5B5D">
              <w:rPr>
                <w:rFonts w:eastAsia="Times New Roman" w:cs="Times New Roman"/>
                <w:color w:val="000000"/>
                <w:sz w:val="22"/>
                <w:szCs w:val="22"/>
                <w:highlight w:val="white"/>
              </w:rPr>
              <w:t>procedura de adoptare a planurilor şi programelor</w:t>
            </w:r>
          </w:p>
          <w:p w14:paraId="15CCE579"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Emiterea avizului de mediu</w:t>
            </w:r>
          </w:p>
          <w:p w14:paraId="708C11DA"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Conținutul-cadru al Raportul de mediu (Anexa nr. 2)</w:t>
            </w:r>
          </w:p>
        </w:tc>
      </w:tr>
      <w:tr w:rsidR="003B5B5D" w:rsidRPr="003B5B5D" w14:paraId="4F482E82" w14:textId="77777777" w:rsidTr="003B5B5D">
        <w:trPr>
          <w:jc w:val="center"/>
        </w:trPr>
        <w:tc>
          <w:tcPr>
            <w:tcW w:w="562" w:type="dxa"/>
          </w:tcPr>
          <w:p w14:paraId="366468BF"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45133443"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H.G. nr. 898 /2004 privind aprobarea unor orientări pentru exploatarea apelor subterane și a zonelor de interfață dintre apele dulci și apele marine</w:t>
            </w:r>
          </w:p>
        </w:tc>
        <w:tc>
          <w:tcPr>
            <w:tcW w:w="4819" w:type="dxa"/>
          </w:tcPr>
          <w:p w14:paraId="0CC8D61E"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mediului şi gospodăririi apelor</w:t>
            </w:r>
          </w:p>
          <w:p w14:paraId="0FCB0655"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de stat, ministrul administraţiei şi internelor</w:t>
            </w:r>
          </w:p>
          <w:p w14:paraId="7ABE9EA7"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delegat pentru administraţia publică Ministrul transporturilor, construcţiilor şi turismului</w:t>
            </w:r>
          </w:p>
          <w:p w14:paraId="7DD95A36"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Administraţia Naţională "Apele Române" - Administrația Bazinală de Apă Dobrogea-Litoral</w:t>
            </w:r>
          </w:p>
          <w:p w14:paraId="1666B90A"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FF0000"/>
                <w:sz w:val="22"/>
                <w:szCs w:val="22"/>
              </w:rPr>
            </w:pPr>
            <w:r w:rsidRPr="003B5B5D">
              <w:rPr>
                <w:rFonts w:eastAsia="Times New Roman" w:cs="Times New Roman"/>
                <w:color w:val="000000"/>
                <w:sz w:val="22"/>
                <w:szCs w:val="22"/>
              </w:rPr>
              <w:t>Institutul Naţional de Hidrologie şi Gospodărire a Apelor Laboratorul de Hidrogeologie şi Izotopi de Mediu</w:t>
            </w:r>
          </w:p>
        </w:tc>
        <w:tc>
          <w:tcPr>
            <w:tcW w:w="4961" w:type="dxa"/>
          </w:tcPr>
          <w:p w14:paraId="7DD56C00"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Instrucţiuni privind exploatarea apelor subterane şi a zonelor de interfaţă dintre apele dulci şi cele sărate</w:t>
            </w:r>
          </w:p>
          <w:p w14:paraId="7F9D451D"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Studii hidrogeologice necesare fundamentării, proiectării şi execuţiei forajelor de captare din zonele costiere</w:t>
            </w:r>
          </w:p>
          <w:p w14:paraId="4F717952"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FF0000"/>
                <w:sz w:val="22"/>
                <w:szCs w:val="22"/>
              </w:rPr>
            </w:pPr>
            <w:r w:rsidRPr="003B5B5D">
              <w:rPr>
                <w:rFonts w:eastAsia="Times New Roman" w:cs="Times New Roman"/>
                <w:color w:val="000000"/>
                <w:sz w:val="22"/>
                <w:szCs w:val="22"/>
              </w:rPr>
              <w:t>Avizul de gospodărire a apelor</w:t>
            </w:r>
          </w:p>
        </w:tc>
      </w:tr>
      <w:tr w:rsidR="003B5B5D" w:rsidRPr="003B5B5D" w14:paraId="4AF3DB6D" w14:textId="77777777" w:rsidTr="003B5B5D">
        <w:trPr>
          <w:jc w:val="center"/>
        </w:trPr>
        <w:tc>
          <w:tcPr>
            <w:tcW w:w="562" w:type="dxa"/>
          </w:tcPr>
          <w:p w14:paraId="1F2D0466"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1D0E885C"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HG nr. 230 din 4 martie 2003 privind delimitarea rezervaţiilor biosferei, parcurilor naţionale şi parcurilor naturale şi constituirea administraţiilor acestora</w:t>
            </w:r>
          </w:p>
        </w:tc>
        <w:tc>
          <w:tcPr>
            <w:tcW w:w="4819" w:type="dxa"/>
          </w:tcPr>
          <w:p w14:paraId="5191F9F4"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publică centrală pentru protecţia mediului</w:t>
            </w:r>
          </w:p>
          <w:p w14:paraId="682ED8E2"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publică centrală pentru silvicultură</w:t>
            </w:r>
          </w:p>
          <w:p w14:paraId="68434EBC"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publică centrală pentru agricultură</w:t>
            </w:r>
          </w:p>
          <w:p w14:paraId="79306D11"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publică centrală pentru turism</w:t>
            </w:r>
          </w:p>
          <w:p w14:paraId="51D51F29"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Academia Română</w:t>
            </w:r>
          </w:p>
          <w:p w14:paraId="781936A4"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Autorităţile administraţiei publice locale</w:t>
            </w:r>
          </w:p>
        </w:tc>
        <w:tc>
          <w:tcPr>
            <w:tcW w:w="4961" w:type="dxa"/>
          </w:tcPr>
          <w:p w14:paraId="7A522E1B"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Realizarea cadastrului de specialitate al ariilor naturale protejate, secţiunea rezervaţii ale biosferei, parcuri naţionale şi parcuri naturale</w:t>
            </w:r>
          </w:p>
          <w:p w14:paraId="3DBFBDD1"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Zonarea interioară a parcurilor naţionale şi a parcurilor naturale din punct de vedere al necesităţii de conservare a diversităţii biologice</w:t>
            </w:r>
          </w:p>
          <w:p w14:paraId="7FE1C613"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Norme de amenajare a pădurilor, a fondului cinegetic şi salmonicol, în conformitate cu categoriile de management şi cu obiectivele de conservare a biodiversităţii</w:t>
            </w:r>
          </w:p>
          <w:p w14:paraId="1378CE3A"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Norme de gospodărire a pajiştilor, în conformitate cu categoriile de management şi cu obiectivele de conservare a biodiversităţii</w:t>
            </w:r>
          </w:p>
          <w:p w14:paraId="1C8C3C59"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Crearea structurilor de administrare pentru toate rezervaţiile biosferei, parcurile naţionale şi parcurile naturale</w:t>
            </w:r>
          </w:p>
        </w:tc>
      </w:tr>
      <w:tr w:rsidR="003B5B5D" w:rsidRPr="003B5B5D" w14:paraId="0911BA11" w14:textId="77777777" w:rsidTr="003B5B5D">
        <w:trPr>
          <w:jc w:val="center"/>
        </w:trPr>
        <w:tc>
          <w:tcPr>
            <w:tcW w:w="562" w:type="dxa"/>
          </w:tcPr>
          <w:p w14:paraId="0835CE2D"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13334534"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Ordinul Ministrului Mediului nr. 140/2019 privind aprobarea Metodologiei pentru elaborarea, monitorizarea, evaluarea şi revizuirea planurilor judeţene de gestionare a deşeurilor şi a planului de gestionare a deşeurilor pentru municipiul Bucureşti</w:t>
            </w:r>
          </w:p>
        </w:tc>
        <w:tc>
          <w:tcPr>
            <w:tcW w:w="4819" w:type="dxa"/>
          </w:tcPr>
          <w:p w14:paraId="30F29FDA"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Agenția Națională pentru Protecția Mediului</w:t>
            </w:r>
          </w:p>
          <w:p w14:paraId="66EB3E5E"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Agenția pentru Protecția Mediului</w:t>
            </w:r>
          </w:p>
          <w:p w14:paraId="69C4839F"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Institutul Național de Statistică</w:t>
            </w:r>
          </w:p>
          <w:p w14:paraId="32FA650C"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Garda Națională de Mediu</w:t>
            </w:r>
          </w:p>
          <w:p w14:paraId="4B03419E"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sz w:val="22"/>
                <w:szCs w:val="22"/>
              </w:rPr>
            </w:pPr>
            <w:r w:rsidRPr="003B5B5D">
              <w:rPr>
                <w:rFonts w:eastAsia="Times New Roman" w:cs="Times New Roman"/>
                <w:sz w:val="22"/>
                <w:szCs w:val="22"/>
              </w:rPr>
              <w:t>Autoritățile administrației publice locale</w:t>
            </w:r>
          </w:p>
        </w:tc>
        <w:tc>
          <w:tcPr>
            <w:tcW w:w="4961" w:type="dxa"/>
          </w:tcPr>
          <w:p w14:paraId="56F93672"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Metodologie pentru elaborarea, monitorizarea, evaluarea și revizuirea planurilor județene de gestionare a deșeurilor și a planului de gestionare a deșeurilor pentru municipiul București</w:t>
            </w:r>
          </w:p>
          <w:p w14:paraId="31AA8A68"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Planuri județene de gestionare a deșeurilor</w:t>
            </w:r>
          </w:p>
          <w:p w14:paraId="768C8D32"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Planul de gestionare a deșeurilor pentru municipiul București</w:t>
            </w:r>
          </w:p>
        </w:tc>
      </w:tr>
      <w:tr w:rsidR="003B5B5D" w:rsidRPr="003B5B5D" w14:paraId="36B198E5" w14:textId="77777777" w:rsidTr="003B5B5D">
        <w:trPr>
          <w:jc w:val="center"/>
        </w:trPr>
        <w:tc>
          <w:tcPr>
            <w:tcW w:w="562" w:type="dxa"/>
          </w:tcPr>
          <w:p w14:paraId="081BDE3E"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3029AF9D"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Ordinul MADR, nr. 1369/2018 privind caracteristicile tehnice, condiţiile de folosire a uneltelor admise la pescuitul comercial şi metodele de pescuit comercial în apele marine şi continentale, modificat de Ordinul 59 / 2021 și completat de Ordinul 38 / 2022</w:t>
            </w:r>
          </w:p>
        </w:tc>
        <w:tc>
          <w:tcPr>
            <w:tcW w:w="4819" w:type="dxa"/>
          </w:tcPr>
          <w:p w14:paraId="4A42F1A0"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agriculturii și dezvoltării rurale</w:t>
            </w:r>
          </w:p>
          <w:p w14:paraId="053C6DEE"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FF0000"/>
                <w:sz w:val="22"/>
                <w:szCs w:val="22"/>
              </w:rPr>
            </w:pPr>
            <w:r w:rsidRPr="003B5B5D">
              <w:rPr>
                <w:rFonts w:eastAsia="Times New Roman" w:cs="Times New Roman"/>
                <w:color w:val="000000"/>
                <w:sz w:val="22"/>
                <w:szCs w:val="22"/>
              </w:rPr>
              <w:t>Agenția Națională pentru Pescuit și Acvacultură</w:t>
            </w:r>
          </w:p>
        </w:tc>
        <w:tc>
          <w:tcPr>
            <w:tcW w:w="4961" w:type="dxa"/>
          </w:tcPr>
          <w:p w14:paraId="7A51FF07"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sz w:val="22"/>
                <w:szCs w:val="22"/>
              </w:rPr>
            </w:pPr>
            <w:r w:rsidRPr="003B5B5D">
              <w:rPr>
                <w:rFonts w:eastAsia="Times New Roman" w:cs="Times New Roman"/>
                <w:sz w:val="22"/>
                <w:szCs w:val="22"/>
              </w:rPr>
              <w:t>Caracteristici tehnice, condiții de folosire a uneltelor admise la pescuitul comercial și metode de pescuit comercial în apele marine și continentale</w:t>
            </w:r>
          </w:p>
        </w:tc>
      </w:tr>
      <w:tr w:rsidR="003B5B5D" w:rsidRPr="003B5B5D" w14:paraId="1EB5D0F1" w14:textId="77777777" w:rsidTr="003B5B5D">
        <w:trPr>
          <w:jc w:val="center"/>
        </w:trPr>
        <w:tc>
          <w:tcPr>
            <w:tcW w:w="562" w:type="dxa"/>
          </w:tcPr>
          <w:p w14:paraId="56434BA7"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6EBA23ED"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Ordinul MADR nr. 126/807/2017 pentru aprobarea normelor privind accesul la resursele acvatice vii din domeniul public al statului în vederea practicării pescuitului comercial în habitatele piscicole naturale din ariile naturale protejate.</w:t>
            </w:r>
          </w:p>
        </w:tc>
        <w:tc>
          <w:tcPr>
            <w:tcW w:w="4819" w:type="dxa"/>
          </w:tcPr>
          <w:p w14:paraId="76012844"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Agriculturii şi Dezvoltării Rurale (MADR)</w:t>
            </w:r>
          </w:p>
          <w:p w14:paraId="2572AB92"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Ministerul Mediului</w:t>
            </w:r>
          </w:p>
          <w:p w14:paraId="3B2CC50C"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Agenţia Naţională pentru Pescuit şi Acvacultură (ANPA)</w:t>
            </w:r>
          </w:p>
          <w:p w14:paraId="3F90425D"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Filialele regionale ANPA /Direcţia pentru politici şi inspecţii maritime</w:t>
            </w:r>
          </w:p>
          <w:p w14:paraId="1C4EBDEF"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lastRenderedPageBreak/>
              <w:t>Administraţia Rezervaţiei Biosferei Delta Dunării</w:t>
            </w:r>
          </w:p>
          <w:p w14:paraId="13D92CA1"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Administratorul resursei acvatice vii</w:t>
            </w:r>
          </w:p>
          <w:p w14:paraId="0D91D5D0"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Comisia de specialitate a Academiei Române</w:t>
            </w:r>
          </w:p>
        </w:tc>
        <w:tc>
          <w:tcPr>
            <w:tcW w:w="4961" w:type="dxa"/>
          </w:tcPr>
          <w:p w14:paraId="2EC43E51"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Ordin anual privind stabilirea perioadelor şi zonelor de prohibiţie a pescuitului, precum şi a zonelor de protecţie a resurselor acvatice vii</w:t>
            </w:r>
          </w:p>
          <w:p w14:paraId="39977448"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Planuri de management şi/sau regulamentele ariilor naturale protejate</w:t>
            </w:r>
          </w:p>
          <w:p w14:paraId="0254B33F"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Licenţe, permise şi a autorizaţii de pescuit</w:t>
            </w:r>
          </w:p>
          <w:p w14:paraId="066D1723"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Permis de pescuit comercial</w:t>
            </w:r>
          </w:p>
          <w:p w14:paraId="221D4361"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Autorizaţie pentru recoltare/capturare şi/sau achiziţie şi/sau comercializare de specii de floră şi faună sălbatice;</w:t>
            </w:r>
          </w:p>
          <w:p w14:paraId="57AEAA68"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Autorizaţie de pescuit comercial </w:t>
            </w:r>
          </w:p>
          <w:p w14:paraId="62CC41FE"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Licenţă de pescuit a navei /ambarcaţiunii, permisului de pescuit comercial, autorizaţiei pentru recoltare, capturare şi/sau achiziţie şi/sau comercializare de specii de floră şi faună sălbatice şi a autorizaţiei de funcţionare eliberate</w:t>
            </w:r>
          </w:p>
          <w:p w14:paraId="510C8623"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Fişierul navelor/ambarcaţiunilor de pescuit</w:t>
            </w:r>
          </w:p>
          <w:p w14:paraId="6882D6E3"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Lista ambarcaţiunilor active posesoare de licenţă de pescuit</w:t>
            </w:r>
          </w:p>
          <w:p w14:paraId="7E7AAB10"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Studiile de evaluare a resurselor acvatice vii</w:t>
            </w:r>
          </w:p>
          <w:p w14:paraId="43017488"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Centralizatorul declaraţiilor de descărcare a speciilor de la Marea Neagră</w:t>
            </w:r>
          </w:p>
          <w:p w14:paraId="29E058A7"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Programul de colectare şi gestionare a datelor la nivel naţional şi comunitar</w:t>
            </w:r>
          </w:p>
        </w:tc>
      </w:tr>
      <w:tr w:rsidR="003B5B5D" w:rsidRPr="003B5B5D" w14:paraId="03F3AA4D" w14:textId="77777777" w:rsidTr="003B5B5D">
        <w:trPr>
          <w:jc w:val="center"/>
        </w:trPr>
        <w:tc>
          <w:tcPr>
            <w:tcW w:w="562" w:type="dxa"/>
          </w:tcPr>
          <w:p w14:paraId="401D71F6"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44A9BDFD"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 xml:space="preserve">Ordinul Ministrului Mediului, Apelor şi </w:t>
            </w:r>
            <w:r w:rsidRPr="003B5B5D">
              <w:rPr>
                <w:rFonts w:eastAsia="Times New Roman" w:cs="Times New Roman"/>
                <w:sz w:val="22"/>
                <w:szCs w:val="22"/>
              </w:rPr>
              <w:t>Pădurilor Nr</w:t>
            </w:r>
            <w:r w:rsidRPr="003B5B5D">
              <w:rPr>
                <w:rFonts w:eastAsia="Times New Roman" w:cs="Times New Roman"/>
                <w:color w:val="000000"/>
                <w:sz w:val="22"/>
                <w:szCs w:val="22"/>
              </w:rPr>
              <w:t>, nr. 46 din 12 ianuarie 2016 privind instituirea regimului de arie naturală protejată şi declararea siturilor de importanţă comunitară ca parte integrantă a reţelei ecologice europene Natura 2000 în România</w:t>
            </w:r>
          </w:p>
        </w:tc>
        <w:tc>
          <w:tcPr>
            <w:tcW w:w="4819" w:type="dxa"/>
          </w:tcPr>
          <w:p w14:paraId="3EEA61A9"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publică centrală pentru protecţia mediului</w:t>
            </w:r>
          </w:p>
        </w:tc>
        <w:tc>
          <w:tcPr>
            <w:tcW w:w="4961" w:type="dxa"/>
          </w:tcPr>
          <w:p w14:paraId="40B16690"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Lista consolidată a siturilor de importanţă comunitară</w:t>
            </w:r>
          </w:p>
          <w:p w14:paraId="70B877CE"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Setul de date „ariile naturale protejate din România"</w:t>
            </w:r>
          </w:p>
          <w:p w14:paraId="6FD8FD57"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Geoportalul INSPIRE al Comisiei Europene (http://inspire-geoportal.ec.europa.eu/discovery/)</w:t>
            </w:r>
          </w:p>
          <w:p w14:paraId="727BD4D5"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Ghid cu informaţii referitoare la modul de descoperire al setului de date şi modul de utilizare al serviciilor de vizualizare şi de descărcare, prin intermediul site-ului www.biodiversity.ro, în secţiunea „Date GIS"</w:t>
            </w:r>
          </w:p>
          <w:p w14:paraId="13A0F4AE"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lastRenderedPageBreak/>
              <w:t>Instrument web-GIS pentru vizualizarea setului de date „ariile naturale protejate din România" în raport cu alte straturi de fundal (http://ariiprotejate.biodiversity.ro/)</w:t>
            </w:r>
          </w:p>
          <w:p w14:paraId="20D77015"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Formulare standard Natura 2000 completate pentru siturile de importanţă comunitară</w:t>
            </w:r>
          </w:p>
        </w:tc>
      </w:tr>
      <w:tr w:rsidR="003B5B5D" w:rsidRPr="003B5B5D" w14:paraId="18D9FE8F" w14:textId="77777777" w:rsidTr="003B5B5D">
        <w:trPr>
          <w:jc w:val="center"/>
        </w:trPr>
        <w:tc>
          <w:tcPr>
            <w:tcW w:w="562" w:type="dxa"/>
          </w:tcPr>
          <w:p w14:paraId="35D90931"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62425FA3"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Ordinul Ministrului Transporturilor şi Infrastructurii nr. 536/2012 privind aprobarea Listei cuprinzând punctele şi locurile de operare şi limitele acestora, a căror infrastructură portuară aparţine domeniului public al unităţilor administrativ-teritoriale, precum şi limitele radelor portuare şi ale zonelor de ancoraj</w:t>
            </w:r>
          </w:p>
        </w:tc>
        <w:tc>
          <w:tcPr>
            <w:tcW w:w="4819" w:type="dxa"/>
          </w:tcPr>
          <w:p w14:paraId="275BCAF4"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sz w:val="22"/>
                <w:szCs w:val="22"/>
              </w:rPr>
            </w:pPr>
            <w:r w:rsidRPr="003B5B5D">
              <w:rPr>
                <w:rFonts w:eastAsia="Times New Roman" w:cs="Times New Roman"/>
                <w:sz w:val="22"/>
                <w:szCs w:val="22"/>
              </w:rPr>
              <w:t>Ministerului Transporturilor şi Infrastructurii</w:t>
            </w:r>
          </w:p>
          <w:p w14:paraId="0785CB36"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sz w:val="22"/>
                <w:szCs w:val="22"/>
              </w:rPr>
            </w:pPr>
            <w:r w:rsidRPr="003B5B5D">
              <w:rPr>
                <w:rFonts w:eastAsia="Times New Roman" w:cs="Times New Roman"/>
                <w:sz w:val="22"/>
                <w:szCs w:val="22"/>
              </w:rPr>
              <w:t>Operatori portuari (menționați în Anexă)</w:t>
            </w:r>
          </w:p>
        </w:tc>
        <w:tc>
          <w:tcPr>
            <w:tcW w:w="4961" w:type="dxa"/>
          </w:tcPr>
          <w:p w14:paraId="32D17E8E"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Lista cuprinzând punctele şi locurile de operare şi limitele acestora</w:t>
            </w:r>
          </w:p>
          <w:p w14:paraId="29F0E04F"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Limitele radelor portuare şi ale zonelor de ancoraj</w:t>
            </w:r>
          </w:p>
        </w:tc>
      </w:tr>
      <w:tr w:rsidR="003B5B5D" w:rsidRPr="003B5B5D" w14:paraId="7B0D4602" w14:textId="77777777" w:rsidTr="003B5B5D">
        <w:trPr>
          <w:jc w:val="center"/>
        </w:trPr>
        <w:tc>
          <w:tcPr>
            <w:tcW w:w="562" w:type="dxa"/>
          </w:tcPr>
          <w:p w14:paraId="7E076ED7"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7E342576"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Ordinul Ministrului Mediului nr. 979/2009 privind introducerea de specii alohtone, intervențiile asupra speciilor invazive, precum și reintroducerea speciilor indigene prevăzute în anexele nr. 4A și 4B la OUG nr. 57/2007, privind regimul ariilor naturale protejate, conservarea habitatelor naturale, a florei și faunei sălbatice, pe teritoriul național</w:t>
            </w:r>
          </w:p>
        </w:tc>
        <w:tc>
          <w:tcPr>
            <w:tcW w:w="4819" w:type="dxa"/>
          </w:tcPr>
          <w:p w14:paraId="318E2DB5"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competentă pentru protecția mediului Academia Română</w:t>
            </w:r>
          </w:p>
        </w:tc>
        <w:tc>
          <w:tcPr>
            <w:tcW w:w="4961" w:type="dxa"/>
          </w:tcPr>
          <w:p w14:paraId="367C4CC0"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Certificat de proveniență genetică a speciei</w:t>
            </w:r>
          </w:p>
          <w:p w14:paraId="59992CFA"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Autorizație de mediu</w:t>
            </w:r>
          </w:p>
          <w:p w14:paraId="645F5ABE"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Lista de specii invazive de la nivelul Comunității Europene</w:t>
            </w:r>
          </w:p>
          <w:p w14:paraId="392928C1"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Lista de specii invazive la nivel național</w:t>
            </w:r>
          </w:p>
        </w:tc>
      </w:tr>
      <w:tr w:rsidR="003B5B5D" w:rsidRPr="003B5B5D" w14:paraId="74DEAE76" w14:textId="77777777" w:rsidTr="003B5B5D">
        <w:trPr>
          <w:jc w:val="center"/>
        </w:trPr>
        <w:tc>
          <w:tcPr>
            <w:tcW w:w="562" w:type="dxa"/>
          </w:tcPr>
          <w:p w14:paraId="4743A905"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09B80D0C"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 xml:space="preserve">Ordinul Ministrul mediului şi dezvoltării durabile nr. 410/2008 pentru aprobarea Procedurii de autorizare a activităţilor de recoltare, capturare </w:t>
            </w:r>
            <w:r w:rsidRPr="003B5B5D">
              <w:rPr>
                <w:rFonts w:eastAsia="Times New Roman" w:cs="Times New Roman"/>
                <w:color w:val="000000"/>
                <w:sz w:val="22"/>
                <w:szCs w:val="22"/>
              </w:rPr>
              <w:lastRenderedPageBreak/>
              <w:t>şi/sau achiziţie şi/sau comercializare, pe teritoriul naţional sau la export, a florilor de mină, a fosilelor de plante şi fosilelor de animale vertebrate şi nevertebrate, precum şi a plantelor şi animalelor din flora şi, respectiv, fauna sălbatice şi a importului acestora</w:t>
            </w:r>
          </w:p>
        </w:tc>
        <w:tc>
          <w:tcPr>
            <w:tcW w:w="4819" w:type="dxa"/>
          </w:tcPr>
          <w:p w14:paraId="74D92BDF"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lastRenderedPageBreak/>
              <w:t>Ministerului Mediului şi Dezvoltării Durabile</w:t>
            </w:r>
          </w:p>
          <w:p w14:paraId="4A74F1C9"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Agenţiile teritoriale pentru protecţia mediului</w:t>
            </w:r>
          </w:p>
          <w:p w14:paraId="036C9BE4"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Administraţia Rezervaţiei Biosferei "Delta Dunării"</w:t>
            </w:r>
          </w:p>
        </w:tc>
        <w:tc>
          <w:tcPr>
            <w:tcW w:w="4961" w:type="dxa"/>
          </w:tcPr>
          <w:p w14:paraId="78A53492"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Tarife care se încasează de către autoritatea publică centrală pentru protecţia mediului</w:t>
            </w:r>
          </w:p>
        </w:tc>
      </w:tr>
      <w:tr w:rsidR="003B5B5D" w:rsidRPr="003B5B5D" w14:paraId="732AFE30" w14:textId="77777777" w:rsidTr="003B5B5D">
        <w:trPr>
          <w:jc w:val="center"/>
        </w:trPr>
        <w:tc>
          <w:tcPr>
            <w:tcW w:w="562" w:type="dxa"/>
          </w:tcPr>
          <w:p w14:paraId="1DD7D496"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7C0351BC"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Ordinul Ministrului Mediului și Dezvoltării Durabile nr. 1.964 din 13 decembrie 2007 privind instituirea regimului de arie naturală protejată a siturilor de importanţă comunitară, ca parte integrantă a reţelei ecologice europene Natura 2000 în România, cu modificările și completările ulterioare</w:t>
            </w:r>
          </w:p>
        </w:tc>
        <w:tc>
          <w:tcPr>
            <w:tcW w:w="4819" w:type="dxa"/>
          </w:tcPr>
          <w:p w14:paraId="266391EF"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Ministrul mediului şi dezvoltării durabile</w:t>
            </w:r>
          </w:p>
          <w:p w14:paraId="54E24262"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publică centrală pentru agricultură şi silvicultură</w:t>
            </w:r>
          </w:p>
          <w:p w14:paraId="07198B29"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Agențiile teritoriale pentru protecția mediului</w:t>
            </w:r>
          </w:p>
          <w:p w14:paraId="79FC6A66"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Academia Română</w:t>
            </w:r>
          </w:p>
        </w:tc>
        <w:tc>
          <w:tcPr>
            <w:tcW w:w="4961" w:type="dxa"/>
          </w:tcPr>
          <w:p w14:paraId="638AC855"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Procedura de realizare a evaluării de mediu pentru planuri şi programe</w:t>
            </w:r>
          </w:p>
          <w:p w14:paraId="5E3459B1"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Procedura-cadru de evaluare a impactului asupra mediului</w:t>
            </w:r>
          </w:p>
          <w:p w14:paraId="1961BBF6"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Manualului de interpretare a habitatelor, versiunea EUR-27</w:t>
            </w:r>
          </w:p>
          <w:p w14:paraId="55748BFB"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Formularele standard Natura 2000</w:t>
            </w:r>
          </w:p>
        </w:tc>
      </w:tr>
      <w:tr w:rsidR="003B5B5D" w:rsidRPr="003B5B5D" w14:paraId="7C23F917" w14:textId="77777777" w:rsidTr="003B5B5D">
        <w:trPr>
          <w:jc w:val="center"/>
        </w:trPr>
        <w:tc>
          <w:tcPr>
            <w:tcW w:w="562" w:type="dxa"/>
          </w:tcPr>
          <w:p w14:paraId="536667C1"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1AA73BBF"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Ordinul Ministrului Mediului și Dezvoltării Durabile nr. 1798 din 19 noiembrie 2007 pentru aprobarea Procedurii de emitere a autorizaţiei de mediu</w:t>
            </w:r>
          </w:p>
        </w:tc>
        <w:tc>
          <w:tcPr>
            <w:tcW w:w="4819" w:type="dxa"/>
          </w:tcPr>
          <w:p w14:paraId="1CABBFB1"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publică centrală pentru protecția mediului</w:t>
            </w:r>
          </w:p>
          <w:p w14:paraId="03E5B0B6"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Agenția Națională pentru Protecția Mediului (ANPM)</w:t>
            </w:r>
          </w:p>
          <w:p w14:paraId="1DB8ED91"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Autoritatea publică teritorială pentru protecția mediului (ATPM)</w:t>
            </w:r>
          </w:p>
          <w:p w14:paraId="5A7E9709"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Administrația Rezervației Biosferei «Delta Dunării»</w:t>
            </w:r>
          </w:p>
          <w:p w14:paraId="4575196C"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000000"/>
                <w:sz w:val="22"/>
                <w:szCs w:val="22"/>
              </w:rPr>
            </w:pPr>
            <w:r w:rsidRPr="003B5B5D">
              <w:rPr>
                <w:rFonts w:eastAsia="Times New Roman" w:cs="Times New Roman"/>
                <w:color w:val="000000"/>
                <w:sz w:val="22"/>
                <w:szCs w:val="22"/>
              </w:rPr>
              <w:t>Comisia Națională pentru Controlul Activităților Nucleare.</w:t>
            </w:r>
          </w:p>
        </w:tc>
        <w:tc>
          <w:tcPr>
            <w:tcW w:w="4961" w:type="dxa"/>
          </w:tcPr>
          <w:p w14:paraId="385D2651"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Procedura de emitere a autorizației de mediu</w:t>
            </w:r>
          </w:p>
          <w:p w14:paraId="6893C259"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Procedura de autorizare privind activitățile nucleare</w:t>
            </w:r>
          </w:p>
          <w:p w14:paraId="0793B0C5"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Procedura de dezbatere publică</w:t>
            </w:r>
          </w:p>
          <w:p w14:paraId="47F12046"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color w:val="000000"/>
                <w:sz w:val="22"/>
                <w:szCs w:val="22"/>
              </w:rPr>
            </w:pPr>
            <w:r w:rsidRPr="003B5B5D">
              <w:rPr>
                <w:rFonts w:eastAsia="Times New Roman" w:cs="Times New Roman"/>
                <w:color w:val="000000"/>
                <w:sz w:val="22"/>
                <w:szCs w:val="22"/>
              </w:rPr>
              <w:t>Conținutul-cadru ale autorizației de mediu</w:t>
            </w:r>
          </w:p>
          <w:p w14:paraId="08700BCE"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sz w:val="22"/>
                <w:szCs w:val="22"/>
              </w:rPr>
            </w:pPr>
            <w:r w:rsidRPr="003B5B5D">
              <w:rPr>
                <w:rFonts w:eastAsia="Times New Roman" w:cs="Times New Roman"/>
                <w:sz w:val="22"/>
                <w:szCs w:val="22"/>
              </w:rPr>
              <w:t>Procedura de autorizare privind activităţile nucleare</w:t>
            </w:r>
          </w:p>
          <w:p w14:paraId="4D81804D"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sz w:val="22"/>
                <w:szCs w:val="22"/>
              </w:rPr>
            </w:pPr>
            <w:r w:rsidRPr="003B5B5D">
              <w:rPr>
                <w:rFonts w:eastAsia="Times New Roman" w:cs="Times New Roman"/>
                <w:sz w:val="22"/>
                <w:szCs w:val="22"/>
              </w:rPr>
              <w:t>Procedura specifică de autorizare a grădinilor zoologice, a acvariilor publice şi a centrelor de reabilitare şi/sau îngrijire</w:t>
            </w:r>
          </w:p>
        </w:tc>
      </w:tr>
      <w:tr w:rsidR="003B5B5D" w:rsidRPr="003B5B5D" w14:paraId="301BC1A1" w14:textId="77777777" w:rsidTr="003B5B5D">
        <w:trPr>
          <w:jc w:val="center"/>
        </w:trPr>
        <w:tc>
          <w:tcPr>
            <w:tcW w:w="562" w:type="dxa"/>
          </w:tcPr>
          <w:p w14:paraId="0B17CF82"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2B807449"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 xml:space="preserve">Ordinul nr. 38/1044/671/2004 al Ministrului Mediului și Apelor, Ministrului Transporturilor, Construcțiilor și Turismului și </w:t>
            </w:r>
            <w:r w:rsidRPr="003B5B5D">
              <w:rPr>
                <w:rFonts w:eastAsia="Times New Roman" w:cs="Times New Roman"/>
                <w:color w:val="000000"/>
                <w:sz w:val="22"/>
                <w:szCs w:val="22"/>
              </w:rPr>
              <w:lastRenderedPageBreak/>
              <w:t>Ministrului Sănătății prin care se aprobă Codul de Conduită pentru activități recreative în zona costieră</w:t>
            </w:r>
          </w:p>
        </w:tc>
        <w:tc>
          <w:tcPr>
            <w:tcW w:w="4819" w:type="dxa"/>
          </w:tcPr>
          <w:p w14:paraId="79F9E7FD"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sz w:val="22"/>
                <w:szCs w:val="22"/>
              </w:rPr>
            </w:pPr>
            <w:r w:rsidRPr="003B5B5D">
              <w:rPr>
                <w:rFonts w:eastAsia="Times New Roman" w:cs="Times New Roman"/>
                <w:sz w:val="22"/>
                <w:szCs w:val="22"/>
              </w:rPr>
              <w:lastRenderedPageBreak/>
              <w:t xml:space="preserve">Ministerul Mediului și Gospodăririi Apelor </w:t>
            </w:r>
          </w:p>
          <w:p w14:paraId="0345BC17"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sz w:val="22"/>
                <w:szCs w:val="22"/>
              </w:rPr>
            </w:pPr>
            <w:r w:rsidRPr="003B5B5D">
              <w:rPr>
                <w:rFonts w:eastAsia="Times New Roman" w:cs="Times New Roman"/>
                <w:sz w:val="22"/>
                <w:szCs w:val="22"/>
              </w:rPr>
              <w:t>Ministerul Transporturilor, Construcțiilor și Turismului</w:t>
            </w:r>
          </w:p>
          <w:p w14:paraId="254D767B"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sz w:val="22"/>
                <w:szCs w:val="22"/>
              </w:rPr>
            </w:pPr>
            <w:r w:rsidRPr="003B5B5D">
              <w:rPr>
                <w:rFonts w:eastAsia="Times New Roman" w:cs="Times New Roman"/>
                <w:sz w:val="22"/>
                <w:szCs w:val="22"/>
              </w:rPr>
              <w:lastRenderedPageBreak/>
              <w:t>Ministerul Sănătății</w:t>
            </w:r>
          </w:p>
          <w:p w14:paraId="27C70209"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color w:val="FF0000"/>
                <w:sz w:val="22"/>
                <w:szCs w:val="22"/>
              </w:rPr>
            </w:pPr>
            <w:r w:rsidRPr="003B5B5D">
              <w:rPr>
                <w:rFonts w:eastAsia="Times New Roman" w:cs="Times New Roman"/>
                <w:sz w:val="22"/>
                <w:szCs w:val="22"/>
              </w:rPr>
              <w:t>Agenţii economici din turism</w:t>
            </w:r>
          </w:p>
        </w:tc>
        <w:tc>
          <w:tcPr>
            <w:tcW w:w="4961" w:type="dxa"/>
          </w:tcPr>
          <w:p w14:paraId="18A5EA57"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i/>
                <w:color w:val="FF0000"/>
                <w:sz w:val="22"/>
                <w:szCs w:val="22"/>
              </w:rPr>
            </w:pPr>
            <w:r w:rsidRPr="003B5B5D">
              <w:rPr>
                <w:rFonts w:eastAsia="Times New Roman" w:cs="Times New Roman"/>
                <w:i/>
                <w:sz w:val="22"/>
                <w:szCs w:val="22"/>
              </w:rPr>
              <w:lastRenderedPageBreak/>
              <w:t xml:space="preserve">Art. 14. - La elaborarea planului general de urbanism, a planurilor urbanistice zonale şi a planurilor urbanistice de detaliu din zona costieră trebuie să se stabilească faptul ca noile construcţii, </w:t>
            </w:r>
            <w:r w:rsidRPr="003B5B5D">
              <w:rPr>
                <w:rFonts w:eastAsia="Times New Roman" w:cs="Times New Roman"/>
                <w:i/>
                <w:sz w:val="22"/>
                <w:szCs w:val="22"/>
              </w:rPr>
              <w:lastRenderedPageBreak/>
              <w:t>inclusiv cele cu destinaţie turistică, să se realizeze în concordanţă cu arhitectura şi tradiţiile locale.</w:t>
            </w:r>
          </w:p>
        </w:tc>
      </w:tr>
      <w:tr w:rsidR="003B5B5D" w:rsidRPr="003B5B5D" w14:paraId="4474468C" w14:textId="77777777" w:rsidTr="003B5B5D">
        <w:trPr>
          <w:jc w:val="center"/>
        </w:trPr>
        <w:tc>
          <w:tcPr>
            <w:tcW w:w="562" w:type="dxa"/>
          </w:tcPr>
          <w:p w14:paraId="33E015E8" w14:textId="77777777" w:rsidR="003B5B5D" w:rsidRPr="003B5B5D" w:rsidRDefault="003B5B5D"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36B525A5" w14:textId="77777777" w:rsidR="003B5B5D" w:rsidRPr="003B5B5D" w:rsidRDefault="003B5B5D"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rPr>
            </w:pPr>
            <w:r w:rsidRPr="003B5B5D">
              <w:rPr>
                <w:rFonts w:eastAsia="Times New Roman" w:cs="Times New Roman"/>
                <w:color w:val="000000"/>
                <w:sz w:val="22"/>
                <w:szCs w:val="22"/>
              </w:rPr>
              <w:t>Ordinul Ministrului Apelor și Protecției Mediului nr. 864 din 26 septembrie 2002 pentru aprobarea Procedurii de evaluare a impactului asupra mediului în context transfrontier şi de participare a publicului la luarea deciziei în cazul proiectelor cu impact transfrontieră</w:t>
            </w:r>
          </w:p>
        </w:tc>
        <w:tc>
          <w:tcPr>
            <w:tcW w:w="4819" w:type="dxa"/>
          </w:tcPr>
          <w:p w14:paraId="5E7205E7"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sz w:val="22"/>
                <w:szCs w:val="22"/>
                <w:highlight w:val="white"/>
              </w:rPr>
            </w:pPr>
            <w:r w:rsidRPr="003B5B5D">
              <w:rPr>
                <w:rFonts w:eastAsia="Times New Roman" w:cs="Times New Roman"/>
                <w:sz w:val="22"/>
                <w:szCs w:val="22"/>
                <w:highlight w:val="white"/>
              </w:rPr>
              <w:t>Ministerul Apelor şi Protecției Mediului, prin direcțiile de autorizare şi atestare şi strategii, politici, reglementări</w:t>
            </w:r>
          </w:p>
          <w:p w14:paraId="57595C63" w14:textId="77777777" w:rsidR="003B5B5D" w:rsidRPr="003B5B5D" w:rsidRDefault="003B5B5D" w:rsidP="003B5B5D">
            <w:pPr>
              <w:pBdr>
                <w:top w:val="nil"/>
                <w:left w:val="nil"/>
                <w:bottom w:val="nil"/>
                <w:right w:val="nil"/>
                <w:between w:val="nil"/>
              </w:pBdr>
              <w:spacing w:before="0" w:line="240" w:lineRule="auto"/>
              <w:ind w:firstLine="33"/>
              <w:rPr>
                <w:rFonts w:eastAsia="Times New Roman" w:cs="Times New Roman"/>
                <w:sz w:val="22"/>
                <w:szCs w:val="22"/>
              </w:rPr>
            </w:pPr>
            <w:r w:rsidRPr="003B5B5D">
              <w:rPr>
                <w:rFonts w:eastAsia="Times New Roman" w:cs="Times New Roman"/>
                <w:sz w:val="22"/>
                <w:szCs w:val="22"/>
              </w:rPr>
              <w:t>Autorităţile publice locale pentru protecţia mediului</w:t>
            </w:r>
          </w:p>
        </w:tc>
        <w:tc>
          <w:tcPr>
            <w:tcW w:w="4961" w:type="dxa"/>
          </w:tcPr>
          <w:p w14:paraId="1A3A2A45" w14:textId="77777777" w:rsidR="003B5B5D" w:rsidRPr="003B5B5D" w:rsidRDefault="003B5B5D" w:rsidP="003B5B5D">
            <w:pPr>
              <w:pBdr>
                <w:top w:val="nil"/>
                <w:left w:val="nil"/>
                <w:bottom w:val="nil"/>
                <w:right w:val="nil"/>
                <w:between w:val="nil"/>
              </w:pBdr>
              <w:spacing w:before="0" w:line="240" w:lineRule="auto"/>
              <w:ind w:firstLine="34"/>
              <w:rPr>
                <w:rFonts w:eastAsia="Times New Roman" w:cs="Times New Roman"/>
                <w:sz w:val="22"/>
                <w:szCs w:val="22"/>
              </w:rPr>
            </w:pPr>
            <w:r w:rsidRPr="003B5B5D">
              <w:rPr>
                <w:rFonts w:eastAsia="Times New Roman" w:cs="Times New Roman"/>
                <w:sz w:val="22"/>
                <w:szCs w:val="22"/>
              </w:rPr>
              <w:t>Procedura de evaluare a impactului asupra mediului în context transfrontier</w:t>
            </w:r>
          </w:p>
        </w:tc>
      </w:tr>
      <w:tr w:rsidR="00140485" w:rsidRPr="003B5B5D" w14:paraId="6693EC2E" w14:textId="77777777" w:rsidTr="003B5B5D">
        <w:trPr>
          <w:jc w:val="center"/>
        </w:trPr>
        <w:tc>
          <w:tcPr>
            <w:tcW w:w="562" w:type="dxa"/>
          </w:tcPr>
          <w:p w14:paraId="29B0B872" w14:textId="77777777" w:rsidR="00140485" w:rsidRPr="003B5B5D" w:rsidRDefault="00140485" w:rsidP="003B5B5D">
            <w:pPr>
              <w:numPr>
                <w:ilvl w:val="0"/>
                <w:numId w:val="21"/>
              </w:numPr>
              <w:pBdr>
                <w:top w:val="nil"/>
                <w:left w:val="nil"/>
                <w:bottom w:val="nil"/>
                <w:right w:val="nil"/>
                <w:between w:val="nil"/>
              </w:pBdr>
              <w:tabs>
                <w:tab w:val="left" w:pos="29"/>
                <w:tab w:val="left" w:pos="1447"/>
              </w:tabs>
              <w:spacing w:before="0" w:after="40" w:line="252" w:lineRule="auto"/>
              <w:jc w:val="left"/>
              <w:rPr>
                <w:rFonts w:eastAsia="Times New Roman" w:cs="Times New Roman"/>
                <w:b/>
                <w:color w:val="000000"/>
                <w:sz w:val="22"/>
                <w:szCs w:val="22"/>
              </w:rPr>
            </w:pPr>
          </w:p>
        </w:tc>
        <w:tc>
          <w:tcPr>
            <w:tcW w:w="3686" w:type="dxa"/>
          </w:tcPr>
          <w:p w14:paraId="7BA0C2FB" w14:textId="0BFCCF4D" w:rsidR="00140485" w:rsidRPr="00140485" w:rsidRDefault="00140485" w:rsidP="003B5B5D">
            <w:pPr>
              <w:pBdr>
                <w:top w:val="nil"/>
                <w:left w:val="nil"/>
                <w:bottom w:val="nil"/>
                <w:right w:val="nil"/>
                <w:between w:val="nil"/>
              </w:pBdr>
              <w:tabs>
                <w:tab w:val="left" w:pos="29"/>
                <w:tab w:val="left" w:pos="1447"/>
              </w:tabs>
              <w:spacing w:after="40" w:line="240" w:lineRule="auto"/>
              <w:ind w:firstLine="34"/>
              <w:rPr>
                <w:rFonts w:eastAsia="Times New Roman" w:cs="Times New Roman"/>
                <w:color w:val="000000"/>
                <w:sz w:val="22"/>
                <w:szCs w:val="22"/>
                <w:lang w:val="ro-RO"/>
              </w:rPr>
            </w:pPr>
            <w:r>
              <w:rPr>
                <w:rFonts w:eastAsia="Times New Roman" w:cs="Times New Roman"/>
                <w:color w:val="000000"/>
                <w:sz w:val="22"/>
                <w:szCs w:val="22"/>
              </w:rPr>
              <w:t>Ordonanța de Urgență a Guvernului nr. 97/2023 pentru aprobarea Planului de Amenajare a Spațiului Maritim</w:t>
            </w:r>
          </w:p>
        </w:tc>
        <w:tc>
          <w:tcPr>
            <w:tcW w:w="4819" w:type="dxa"/>
          </w:tcPr>
          <w:p w14:paraId="616501A8" w14:textId="3F891A82" w:rsidR="00140485" w:rsidRPr="003B5B5D" w:rsidRDefault="004B27B1" w:rsidP="003B5B5D">
            <w:pPr>
              <w:pBdr>
                <w:top w:val="nil"/>
                <w:left w:val="nil"/>
                <w:bottom w:val="nil"/>
                <w:right w:val="nil"/>
                <w:between w:val="nil"/>
              </w:pBdr>
              <w:spacing w:before="0" w:line="240" w:lineRule="auto"/>
              <w:ind w:firstLine="33"/>
              <w:rPr>
                <w:rFonts w:eastAsia="Times New Roman" w:cs="Times New Roman"/>
                <w:sz w:val="22"/>
                <w:szCs w:val="22"/>
                <w:highlight w:val="white"/>
              </w:rPr>
            </w:pPr>
            <w:r w:rsidRPr="004B27B1">
              <w:rPr>
                <w:rFonts w:eastAsia="Times New Roman" w:cs="Times New Roman"/>
                <w:sz w:val="22"/>
                <w:szCs w:val="22"/>
              </w:rPr>
              <w:t>Comitetul de amenajare a spaţiului maritim (organism interministerial care funcţionează în coordonarea prim-ministrului)</w:t>
            </w:r>
          </w:p>
        </w:tc>
        <w:tc>
          <w:tcPr>
            <w:tcW w:w="4961" w:type="dxa"/>
          </w:tcPr>
          <w:p w14:paraId="7AFD6836" w14:textId="68B0DB01" w:rsidR="00140485" w:rsidRPr="003B5B5D" w:rsidRDefault="004B27B1" w:rsidP="003B5B5D">
            <w:pPr>
              <w:pBdr>
                <w:top w:val="nil"/>
                <w:left w:val="nil"/>
                <w:bottom w:val="nil"/>
                <w:right w:val="nil"/>
                <w:between w:val="nil"/>
              </w:pBdr>
              <w:spacing w:before="0" w:line="240" w:lineRule="auto"/>
              <w:ind w:firstLine="34"/>
              <w:rPr>
                <w:rFonts w:eastAsia="Times New Roman" w:cs="Times New Roman"/>
                <w:sz w:val="22"/>
                <w:szCs w:val="22"/>
              </w:rPr>
            </w:pPr>
            <w:r>
              <w:rPr>
                <w:rFonts w:eastAsia="Times New Roman" w:cs="Times New Roman"/>
                <w:sz w:val="22"/>
                <w:szCs w:val="22"/>
              </w:rPr>
              <w:t xml:space="preserve">Aprobarea </w:t>
            </w:r>
            <w:r w:rsidRPr="004B27B1">
              <w:rPr>
                <w:rFonts w:eastAsia="Times New Roman" w:cs="Times New Roman"/>
                <w:sz w:val="22"/>
                <w:szCs w:val="22"/>
              </w:rPr>
              <w:t>Planul de amenajare a spaţiului maritim</w:t>
            </w:r>
          </w:p>
        </w:tc>
      </w:tr>
    </w:tbl>
    <w:p w14:paraId="284EF530" w14:textId="77777777" w:rsidR="00935E16" w:rsidRDefault="00935E16" w:rsidP="003B5B5D">
      <w:pPr>
        <w:pBdr>
          <w:top w:val="nil"/>
          <w:left w:val="nil"/>
          <w:bottom w:val="nil"/>
          <w:right w:val="nil"/>
          <w:between w:val="nil"/>
        </w:pBdr>
        <w:spacing w:after="200"/>
        <w:ind w:firstLine="0"/>
        <w:rPr>
          <w:rFonts w:eastAsia="Times New Roman" w:cs="Times New Roman"/>
          <w:b/>
          <w:sz w:val="28"/>
          <w:szCs w:val="28"/>
        </w:rPr>
        <w:sectPr w:rsidR="00935E16">
          <w:headerReference w:type="default" r:id="rId77"/>
          <w:pgSz w:w="16838" w:h="11906" w:orient="landscape"/>
          <w:pgMar w:top="1440" w:right="1440" w:bottom="1440" w:left="1440" w:header="0" w:footer="0" w:gutter="0"/>
          <w:cols w:space="708"/>
        </w:sectPr>
      </w:pPr>
    </w:p>
    <w:p w14:paraId="06E4DD94" w14:textId="341061A9" w:rsidR="00935E16" w:rsidRDefault="00935E16" w:rsidP="00935E16">
      <w:pPr>
        <w:pStyle w:val="Heading2"/>
      </w:pPr>
      <w:bookmarkStart w:id="171" w:name="_Toc169625163"/>
      <w:r>
        <w:rPr>
          <w:noProof/>
        </w:rPr>
        <w:lastRenderedPageBreak/>
        <w:drawing>
          <wp:anchor distT="0" distB="0" distL="0" distR="0" simplePos="0" relativeHeight="251665408" behindDoc="1" locked="0" layoutInCell="1" hidden="0" allowOverlap="1" wp14:anchorId="69E78C57" wp14:editId="3195704D">
            <wp:simplePos x="0" y="0"/>
            <wp:positionH relativeFrom="column">
              <wp:posOffset>0</wp:posOffset>
            </wp:positionH>
            <wp:positionV relativeFrom="paragraph">
              <wp:posOffset>396240</wp:posOffset>
            </wp:positionV>
            <wp:extent cx="5707380" cy="8321040"/>
            <wp:effectExtent l="0" t="0" r="7620" b="3810"/>
            <wp:wrapNone/>
            <wp:docPr id="2141401931"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78"/>
                    <a:srcRect l="7909" t="780" r="1411" b="1292"/>
                    <a:stretch>
                      <a:fillRect/>
                    </a:stretch>
                  </pic:blipFill>
                  <pic:spPr>
                    <a:xfrm>
                      <a:off x="0" y="0"/>
                      <a:ext cx="5712667" cy="8328748"/>
                    </a:xfrm>
                    <a:prstGeom prst="rect">
                      <a:avLst/>
                    </a:prstGeom>
                    <a:ln/>
                  </pic:spPr>
                </pic:pic>
              </a:graphicData>
            </a:graphic>
            <wp14:sizeRelH relativeFrom="margin">
              <wp14:pctWidth>0</wp14:pctWidth>
            </wp14:sizeRelH>
            <wp14:sizeRelV relativeFrom="margin">
              <wp14:pctHeight>0</wp14:pctHeight>
            </wp14:sizeRelV>
          </wp:anchor>
        </w:drawing>
      </w:r>
      <w:r>
        <w:t>Anexa 5</w:t>
      </w:r>
      <w:bookmarkEnd w:id="171"/>
    </w:p>
    <w:p w14:paraId="486715DB" w14:textId="331B2969" w:rsidR="00935E16" w:rsidRPr="00935E16" w:rsidRDefault="00935E16" w:rsidP="00935E16">
      <w:pPr>
        <w:rPr>
          <w:lang w:val="ro-RO" w:eastAsia="en-GB"/>
        </w:rPr>
      </w:pPr>
    </w:p>
    <w:p w14:paraId="604C3950" w14:textId="4960E001" w:rsidR="00935E16" w:rsidRPr="00935E16" w:rsidRDefault="00935E16" w:rsidP="00935E16">
      <w:pPr>
        <w:rPr>
          <w:lang w:val="ro-RO" w:eastAsia="en-GB"/>
        </w:rPr>
      </w:pPr>
    </w:p>
    <w:p w14:paraId="0CB0258A" w14:textId="77777777" w:rsidR="00935E16" w:rsidRPr="00935E16" w:rsidRDefault="00935E16" w:rsidP="00935E16">
      <w:pPr>
        <w:rPr>
          <w:lang w:val="ro-RO" w:eastAsia="en-GB"/>
        </w:rPr>
      </w:pPr>
    </w:p>
    <w:p w14:paraId="09FA5D4F" w14:textId="77777777" w:rsidR="00935E16" w:rsidRPr="00935E16" w:rsidRDefault="00935E16" w:rsidP="00935E16">
      <w:pPr>
        <w:rPr>
          <w:lang w:val="ro-RO" w:eastAsia="en-GB"/>
        </w:rPr>
      </w:pPr>
    </w:p>
    <w:p w14:paraId="27E66950" w14:textId="77777777" w:rsidR="00935E16" w:rsidRPr="00935E16" w:rsidRDefault="00935E16" w:rsidP="00935E16">
      <w:pPr>
        <w:rPr>
          <w:lang w:val="ro-RO" w:eastAsia="en-GB"/>
        </w:rPr>
      </w:pPr>
    </w:p>
    <w:p w14:paraId="671C38F8" w14:textId="77777777" w:rsidR="00935E16" w:rsidRPr="00935E16" w:rsidRDefault="00935E16" w:rsidP="00935E16">
      <w:pPr>
        <w:rPr>
          <w:lang w:val="ro-RO" w:eastAsia="en-GB"/>
        </w:rPr>
      </w:pPr>
    </w:p>
    <w:p w14:paraId="007DB5C0" w14:textId="77777777" w:rsidR="00935E16" w:rsidRPr="00935E16" w:rsidRDefault="00935E16" w:rsidP="00935E16">
      <w:pPr>
        <w:rPr>
          <w:lang w:val="ro-RO" w:eastAsia="en-GB"/>
        </w:rPr>
      </w:pPr>
    </w:p>
    <w:p w14:paraId="5F817CF2" w14:textId="77777777" w:rsidR="00935E16" w:rsidRPr="00935E16" w:rsidRDefault="00935E16" w:rsidP="00935E16">
      <w:pPr>
        <w:rPr>
          <w:lang w:val="ro-RO" w:eastAsia="en-GB"/>
        </w:rPr>
      </w:pPr>
    </w:p>
    <w:p w14:paraId="62880020" w14:textId="77777777" w:rsidR="00935E16" w:rsidRPr="00935E16" w:rsidRDefault="00935E16" w:rsidP="00935E16">
      <w:pPr>
        <w:rPr>
          <w:lang w:val="ro-RO" w:eastAsia="en-GB"/>
        </w:rPr>
      </w:pPr>
    </w:p>
    <w:p w14:paraId="54F2CAB6" w14:textId="77777777" w:rsidR="00935E16" w:rsidRPr="00935E16" w:rsidRDefault="00935E16" w:rsidP="00935E16">
      <w:pPr>
        <w:rPr>
          <w:lang w:val="ro-RO" w:eastAsia="en-GB"/>
        </w:rPr>
      </w:pPr>
    </w:p>
    <w:p w14:paraId="154F639C" w14:textId="77777777" w:rsidR="00935E16" w:rsidRPr="00935E16" w:rsidRDefault="00935E16" w:rsidP="00935E16">
      <w:pPr>
        <w:rPr>
          <w:lang w:val="ro-RO" w:eastAsia="en-GB"/>
        </w:rPr>
      </w:pPr>
    </w:p>
    <w:p w14:paraId="081E3C23" w14:textId="77777777" w:rsidR="00935E16" w:rsidRPr="00935E16" w:rsidRDefault="00935E16" w:rsidP="00935E16">
      <w:pPr>
        <w:rPr>
          <w:lang w:val="ro-RO" w:eastAsia="en-GB"/>
        </w:rPr>
      </w:pPr>
    </w:p>
    <w:p w14:paraId="0DF1DD8B" w14:textId="77777777" w:rsidR="00935E16" w:rsidRPr="00935E16" w:rsidRDefault="00935E16" w:rsidP="00935E16">
      <w:pPr>
        <w:rPr>
          <w:lang w:val="ro-RO" w:eastAsia="en-GB"/>
        </w:rPr>
      </w:pPr>
    </w:p>
    <w:p w14:paraId="5924636A" w14:textId="77777777" w:rsidR="00935E16" w:rsidRPr="00935E16" w:rsidRDefault="00935E16" w:rsidP="00935E16">
      <w:pPr>
        <w:rPr>
          <w:lang w:val="ro-RO" w:eastAsia="en-GB"/>
        </w:rPr>
      </w:pPr>
    </w:p>
    <w:p w14:paraId="6FF740A8" w14:textId="77777777" w:rsidR="00935E16" w:rsidRPr="00935E16" w:rsidRDefault="00935E16" w:rsidP="00935E16">
      <w:pPr>
        <w:rPr>
          <w:lang w:val="ro-RO" w:eastAsia="en-GB"/>
        </w:rPr>
      </w:pPr>
    </w:p>
    <w:p w14:paraId="52B08ED3" w14:textId="77777777" w:rsidR="00935E16" w:rsidRPr="00935E16" w:rsidRDefault="00935E16" w:rsidP="00935E16">
      <w:pPr>
        <w:rPr>
          <w:lang w:val="ro-RO" w:eastAsia="en-GB"/>
        </w:rPr>
      </w:pPr>
    </w:p>
    <w:p w14:paraId="4B5ECB84" w14:textId="77777777" w:rsidR="00935E16" w:rsidRPr="00935E16" w:rsidRDefault="00935E16" w:rsidP="00935E16">
      <w:pPr>
        <w:rPr>
          <w:lang w:val="ro-RO" w:eastAsia="en-GB"/>
        </w:rPr>
      </w:pPr>
    </w:p>
    <w:p w14:paraId="6A88F0D1" w14:textId="77777777" w:rsidR="00935E16" w:rsidRPr="00935E16" w:rsidRDefault="00935E16" w:rsidP="00935E16">
      <w:pPr>
        <w:rPr>
          <w:lang w:val="ro-RO" w:eastAsia="en-GB"/>
        </w:rPr>
      </w:pPr>
    </w:p>
    <w:p w14:paraId="57E1B926" w14:textId="77777777" w:rsidR="00935E16" w:rsidRPr="00935E16" w:rsidRDefault="00935E16" w:rsidP="00935E16">
      <w:pPr>
        <w:rPr>
          <w:lang w:val="ro-RO" w:eastAsia="en-GB"/>
        </w:rPr>
      </w:pPr>
    </w:p>
    <w:p w14:paraId="60A370F8" w14:textId="77777777" w:rsidR="00935E16" w:rsidRPr="00935E16" w:rsidRDefault="00935E16" w:rsidP="00935E16">
      <w:pPr>
        <w:rPr>
          <w:lang w:val="ro-RO" w:eastAsia="en-GB"/>
        </w:rPr>
      </w:pPr>
    </w:p>
    <w:p w14:paraId="07C17099" w14:textId="77777777" w:rsidR="00935E16" w:rsidRPr="00935E16" w:rsidRDefault="00935E16" w:rsidP="00935E16">
      <w:pPr>
        <w:rPr>
          <w:lang w:val="ro-RO" w:eastAsia="en-GB"/>
        </w:rPr>
      </w:pPr>
    </w:p>
    <w:p w14:paraId="35E5103A" w14:textId="77777777" w:rsidR="00935E16" w:rsidRPr="00935E16" w:rsidRDefault="00935E16" w:rsidP="00935E16">
      <w:pPr>
        <w:rPr>
          <w:lang w:val="ro-RO" w:eastAsia="en-GB"/>
        </w:rPr>
      </w:pPr>
    </w:p>
    <w:p w14:paraId="0250AC83" w14:textId="77777777" w:rsidR="00935E16" w:rsidRPr="00935E16" w:rsidRDefault="00935E16" w:rsidP="00935E16">
      <w:pPr>
        <w:rPr>
          <w:lang w:val="ro-RO" w:eastAsia="en-GB"/>
        </w:rPr>
      </w:pPr>
    </w:p>
    <w:p w14:paraId="73C86CFD" w14:textId="77777777" w:rsidR="00935E16" w:rsidRPr="00935E16" w:rsidRDefault="00935E16" w:rsidP="00935E16">
      <w:pPr>
        <w:rPr>
          <w:lang w:val="ro-RO" w:eastAsia="en-GB"/>
        </w:rPr>
      </w:pPr>
    </w:p>
    <w:p w14:paraId="7F1A3BA4" w14:textId="77777777" w:rsidR="00935E16" w:rsidRPr="00935E16" w:rsidRDefault="00935E16" w:rsidP="00935E16">
      <w:pPr>
        <w:rPr>
          <w:lang w:val="ro-RO" w:eastAsia="en-GB"/>
        </w:rPr>
      </w:pPr>
    </w:p>
    <w:p w14:paraId="3996C6BB" w14:textId="77777777" w:rsidR="00935E16" w:rsidRPr="00935E16" w:rsidRDefault="00935E16" w:rsidP="00935E16">
      <w:pPr>
        <w:rPr>
          <w:lang w:val="ro-RO" w:eastAsia="en-GB"/>
        </w:rPr>
      </w:pPr>
    </w:p>
    <w:p w14:paraId="4C454FBF" w14:textId="77777777" w:rsidR="00935E16" w:rsidRPr="00935E16" w:rsidRDefault="00935E16" w:rsidP="00935E16">
      <w:pPr>
        <w:rPr>
          <w:lang w:val="ro-RO" w:eastAsia="en-GB"/>
        </w:rPr>
      </w:pPr>
    </w:p>
    <w:p w14:paraId="218C8B37" w14:textId="77777777" w:rsidR="00935E16" w:rsidRPr="00935E16" w:rsidRDefault="00935E16" w:rsidP="00935E16">
      <w:pPr>
        <w:rPr>
          <w:lang w:val="ro-RO" w:eastAsia="en-GB"/>
        </w:rPr>
      </w:pPr>
    </w:p>
    <w:p w14:paraId="08242E87" w14:textId="1979F593" w:rsidR="00935E16" w:rsidRDefault="00935E16" w:rsidP="00935E16">
      <w:pPr>
        <w:tabs>
          <w:tab w:val="left" w:pos="2904"/>
        </w:tabs>
        <w:rPr>
          <w:lang w:val="ro-RO" w:eastAsia="en-GB"/>
        </w:rPr>
      </w:pPr>
      <w:r>
        <w:rPr>
          <w:lang w:val="ro-RO" w:eastAsia="en-GB"/>
        </w:rPr>
        <w:tab/>
      </w:r>
    </w:p>
    <w:p w14:paraId="76CED13B" w14:textId="77777777" w:rsidR="00935E16" w:rsidRDefault="00935E16" w:rsidP="00935E16">
      <w:pPr>
        <w:tabs>
          <w:tab w:val="left" w:pos="2904"/>
        </w:tabs>
        <w:rPr>
          <w:lang w:val="ro-RO" w:eastAsia="en-GB"/>
        </w:rPr>
      </w:pPr>
    </w:p>
    <w:p w14:paraId="773DB38D" w14:textId="62C7AF5B" w:rsidR="00935E16" w:rsidRDefault="00935E16" w:rsidP="00935E16">
      <w:pPr>
        <w:pStyle w:val="Heading2"/>
      </w:pPr>
      <w:bookmarkStart w:id="172" w:name="_Toc169625164"/>
      <w:r>
        <w:lastRenderedPageBreak/>
        <w:t>Anexa 6</w:t>
      </w:r>
      <w:bookmarkEnd w:id="172"/>
    </w:p>
    <w:p w14:paraId="133A4A39" w14:textId="028A84BF" w:rsidR="00935E16" w:rsidRDefault="00935E16" w:rsidP="00935E16">
      <w:pPr>
        <w:rPr>
          <w:lang w:val="ro-RO" w:eastAsia="en-GB"/>
        </w:rPr>
      </w:pPr>
      <w:r>
        <w:rPr>
          <w:noProof/>
        </w:rPr>
        <w:drawing>
          <wp:anchor distT="0" distB="0" distL="114300" distR="114300" simplePos="0" relativeHeight="251667456" behindDoc="0" locked="0" layoutInCell="1" hidden="0" allowOverlap="1" wp14:anchorId="17135208" wp14:editId="5B3EAAB0">
            <wp:simplePos x="0" y="0"/>
            <wp:positionH relativeFrom="column">
              <wp:posOffset>0</wp:posOffset>
            </wp:positionH>
            <wp:positionV relativeFrom="paragraph">
              <wp:posOffset>0</wp:posOffset>
            </wp:positionV>
            <wp:extent cx="5893105" cy="8990922"/>
            <wp:effectExtent l="0" t="0" r="0" b="1270"/>
            <wp:wrapNone/>
            <wp:docPr id="2141401945"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png"/>
                    <pic:cNvPicPr/>
                  </pic:nvPicPr>
                  <pic:blipFill>
                    <a:blip r:embed="rId79"/>
                    <a:srcRect/>
                    <a:stretch>
                      <a:fillRect/>
                    </a:stretch>
                  </pic:blipFill>
                  <pic:spPr>
                    <a:xfrm>
                      <a:off x="0" y="0"/>
                      <a:ext cx="5894530" cy="8993096"/>
                    </a:xfrm>
                    <a:prstGeom prst="rect">
                      <a:avLst/>
                    </a:prstGeom>
                    <a:ln/>
                  </pic:spPr>
                </pic:pic>
              </a:graphicData>
            </a:graphic>
            <wp14:sizeRelH relativeFrom="margin">
              <wp14:pctWidth>0</wp14:pctWidth>
            </wp14:sizeRelH>
            <wp14:sizeRelV relativeFrom="margin">
              <wp14:pctHeight>0</wp14:pctHeight>
            </wp14:sizeRelV>
          </wp:anchor>
        </w:drawing>
      </w:r>
    </w:p>
    <w:p w14:paraId="3E3E2FD8" w14:textId="77777777" w:rsidR="00935E16" w:rsidRDefault="00935E16" w:rsidP="00935E16">
      <w:pPr>
        <w:rPr>
          <w:lang w:val="ro-RO" w:eastAsia="en-GB"/>
        </w:rPr>
      </w:pPr>
    </w:p>
    <w:p w14:paraId="72BE41B7" w14:textId="77777777" w:rsidR="00935E16" w:rsidRDefault="00935E16" w:rsidP="00935E16">
      <w:pPr>
        <w:rPr>
          <w:lang w:val="ro-RO" w:eastAsia="en-GB"/>
        </w:rPr>
      </w:pPr>
    </w:p>
    <w:p w14:paraId="07EBF7EE" w14:textId="77777777" w:rsidR="00935E16" w:rsidRDefault="00935E16" w:rsidP="00935E16">
      <w:pPr>
        <w:rPr>
          <w:lang w:val="ro-RO" w:eastAsia="en-GB"/>
        </w:rPr>
      </w:pPr>
    </w:p>
    <w:p w14:paraId="02930F0D" w14:textId="77777777" w:rsidR="00935E16" w:rsidRDefault="00935E16" w:rsidP="00935E16">
      <w:pPr>
        <w:rPr>
          <w:lang w:val="ro-RO" w:eastAsia="en-GB"/>
        </w:rPr>
      </w:pPr>
    </w:p>
    <w:p w14:paraId="5EB511EE" w14:textId="77777777" w:rsidR="00935E16" w:rsidRDefault="00935E16" w:rsidP="00935E16">
      <w:pPr>
        <w:rPr>
          <w:lang w:val="ro-RO" w:eastAsia="en-GB"/>
        </w:rPr>
      </w:pPr>
    </w:p>
    <w:p w14:paraId="637DB7BF" w14:textId="77777777" w:rsidR="00935E16" w:rsidRDefault="00935E16" w:rsidP="00935E16">
      <w:pPr>
        <w:rPr>
          <w:lang w:val="ro-RO" w:eastAsia="en-GB"/>
        </w:rPr>
      </w:pPr>
    </w:p>
    <w:p w14:paraId="68FEF486" w14:textId="77777777" w:rsidR="00935E16" w:rsidRDefault="00935E16" w:rsidP="00935E16">
      <w:pPr>
        <w:rPr>
          <w:lang w:val="ro-RO" w:eastAsia="en-GB"/>
        </w:rPr>
      </w:pPr>
    </w:p>
    <w:p w14:paraId="17F7A63A" w14:textId="77777777" w:rsidR="00935E16" w:rsidRDefault="00935E16" w:rsidP="00935E16">
      <w:pPr>
        <w:rPr>
          <w:lang w:val="ro-RO" w:eastAsia="en-GB"/>
        </w:rPr>
      </w:pPr>
    </w:p>
    <w:p w14:paraId="12B0C7FB" w14:textId="77777777" w:rsidR="00935E16" w:rsidRDefault="00935E16" w:rsidP="00935E16">
      <w:pPr>
        <w:rPr>
          <w:lang w:val="ro-RO" w:eastAsia="en-GB"/>
        </w:rPr>
      </w:pPr>
    </w:p>
    <w:p w14:paraId="22F4918C" w14:textId="77777777" w:rsidR="00935E16" w:rsidRDefault="00935E16" w:rsidP="00935E16">
      <w:pPr>
        <w:rPr>
          <w:lang w:val="ro-RO" w:eastAsia="en-GB"/>
        </w:rPr>
      </w:pPr>
    </w:p>
    <w:p w14:paraId="1B806587" w14:textId="77777777" w:rsidR="00935E16" w:rsidRDefault="00935E16" w:rsidP="00935E16">
      <w:pPr>
        <w:rPr>
          <w:lang w:val="ro-RO" w:eastAsia="en-GB"/>
        </w:rPr>
      </w:pPr>
    </w:p>
    <w:p w14:paraId="27C3B254" w14:textId="77777777" w:rsidR="00935E16" w:rsidRDefault="00935E16" w:rsidP="00935E16">
      <w:pPr>
        <w:rPr>
          <w:lang w:val="ro-RO" w:eastAsia="en-GB"/>
        </w:rPr>
      </w:pPr>
    </w:p>
    <w:p w14:paraId="199D0288" w14:textId="77777777" w:rsidR="00935E16" w:rsidRDefault="00935E16" w:rsidP="00935E16">
      <w:pPr>
        <w:rPr>
          <w:lang w:val="ro-RO" w:eastAsia="en-GB"/>
        </w:rPr>
      </w:pPr>
    </w:p>
    <w:p w14:paraId="3776CFDB" w14:textId="77777777" w:rsidR="00935E16" w:rsidRDefault="00935E16" w:rsidP="00935E16">
      <w:pPr>
        <w:rPr>
          <w:lang w:val="ro-RO" w:eastAsia="en-GB"/>
        </w:rPr>
      </w:pPr>
    </w:p>
    <w:p w14:paraId="6410E417" w14:textId="77777777" w:rsidR="00935E16" w:rsidRDefault="00935E16" w:rsidP="00935E16">
      <w:pPr>
        <w:rPr>
          <w:lang w:val="ro-RO" w:eastAsia="en-GB"/>
        </w:rPr>
      </w:pPr>
    </w:p>
    <w:p w14:paraId="770B36E5" w14:textId="77777777" w:rsidR="00935E16" w:rsidRDefault="00935E16" w:rsidP="00935E16">
      <w:pPr>
        <w:rPr>
          <w:lang w:val="ro-RO" w:eastAsia="en-GB"/>
        </w:rPr>
      </w:pPr>
    </w:p>
    <w:p w14:paraId="0445E8A7" w14:textId="77777777" w:rsidR="00935E16" w:rsidRDefault="00935E16" w:rsidP="00935E16">
      <w:pPr>
        <w:rPr>
          <w:lang w:val="ro-RO" w:eastAsia="en-GB"/>
        </w:rPr>
      </w:pPr>
    </w:p>
    <w:p w14:paraId="08FB1315" w14:textId="77777777" w:rsidR="00935E16" w:rsidRDefault="00935E16" w:rsidP="00935E16">
      <w:pPr>
        <w:rPr>
          <w:lang w:val="ro-RO" w:eastAsia="en-GB"/>
        </w:rPr>
      </w:pPr>
    </w:p>
    <w:p w14:paraId="2317B9E3" w14:textId="77777777" w:rsidR="00935E16" w:rsidRDefault="00935E16" w:rsidP="00935E16">
      <w:pPr>
        <w:rPr>
          <w:lang w:val="ro-RO" w:eastAsia="en-GB"/>
        </w:rPr>
      </w:pPr>
    </w:p>
    <w:p w14:paraId="60430836" w14:textId="77777777" w:rsidR="00935E16" w:rsidRDefault="00935E16" w:rsidP="00935E16">
      <w:pPr>
        <w:rPr>
          <w:lang w:val="ro-RO" w:eastAsia="en-GB"/>
        </w:rPr>
      </w:pPr>
    </w:p>
    <w:p w14:paraId="069EFC27" w14:textId="77777777" w:rsidR="00935E16" w:rsidRDefault="00935E16" w:rsidP="00935E16">
      <w:pPr>
        <w:rPr>
          <w:lang w:val="ro-RO" w:eastAsia="en-GB"/>
        </w:rPr>
      </w:pPr>
    </w:p>
    <w:p w14:paraId="1C3C134D" w14:textId="77777777" w:rsidR="00935E16" w:rsidRDefault="00935E16" w:rsidP="00935E16">
      <w:pPr>
        <w:rPr>
          <w:lang w:val="ro-RO" w:eastAsia="en-GB"/>
        </w:rPr>
      </w:pPr>
    </w:p>
    <w:p w14:paraId="47BD2E1D" w14:textId="77777777" w:rsidR="00935E16" w:rsidRDefault="00935E16" w:rsidP="00935E16">
      <w:pPr>
        <w:rPr>
          <w:lang w:val="ro-RO" w:eastAsia="en-GB"/>
        </w:rPr>
      </w:pPr>
    </w:p>
    <w:p w14:paraId="3F9EF0C4" w14:textId="77777777" w:rsidR="00935E16" w:rsidRDefault="00935E16" w:rsidP="00935E16">
      <w:pPr>
        <w:rPr>
          <w:lang w:val="ro-RO" w:eastAsia="en-GB"/>
        </w:rPr>
      </w:pPr>
    </w:p>
    <w:p w14:paraId="4F876E10" w14:textId="77777777" w:rsidR="00935E16" w:rsidRDefault="00935E16" w:rsidP="00935E16">
      <w:pPr>
        <w:rPr>
          <w:lang w:val="ro-RO" w:eastAsia="en-GB"/>
        </w:rPr>
      </w:pPr>
    </w:p>
    <w:p w14:paraId="19963401" w14:textId="77777777" w:rsidR="00935E16" w:rsidRDefault="00935E16" w:rsidP="00935E16">
      <w:pPr>
        <w:rPr>
          <w:lang w:val="ro-RO" w:eastAsia="en-GB"/>
        </w:rPr>
      </w:pPr>
    </w:p>
    <w:p w14:paraId="3255DC30" w14:textId="77777777" w:rsidR="00935E16" w:rsidRDefault="00935E16" w:rsidP="00935E16">
      <w:pPr>
        <w:rPr>
          <w:lang w:val="ro-RO" w:eastAsia="en-GB"/>
        </w:rPr>
      </w:pPr>
    </w:p>
    <w:p w14:paraId="22ECDE67" w14:textId="77777777" w:rsidR="00935E16" w:rsidRDefault="00935E16" w:rsidP="00935E16">
      <w:pPr>
        <w:rPr>
          <w:lang w:val="ro-RO" w:eastAsia="en-GB"/>
        </w:rPr>
      </w:pPr>
    </w:p>
    <w:p w14:paraId="741CDB66" w14:textId="77777777" w:rsidR="00935E16" w:rsidRDefault="00935E16" w:rsidP="00935E16">
      <w:pPr>
        <w:rPr>
          <w:lang w:val="ro-RO" w:eastAsia="en-GB"/>
        </w:rPr>
      </w:pPr>
    </w:p>
    <w:p w14:paraId="1219CAEC" w14:textId="77777777" w:rsidR="00935E16" w:rsidRPr="00935E16" w:rsidRDefault="00935E16" w:rsidP="00935E16">
      <w:pPr>
        <w:rPr>
          <w:lang w:val="ro-RO" w:eastAsia="en-GB"/>
        </w:rPr>
      </w:pPr>
    </w:p>
    <w:p w14:paraId="60E1B759" w14:textId="0BEE6C6E" w:rsidR="00935E16" w:rsidRDefault="00935E16" w:rsidP="00935E16">
      <w:pPr>
        <w:pStyle w:val="Heading2"/>
      </w:pPr>
      <w:r>
        <w:lastRenderedPageBreak/>
        <w:tab/>
      </w:r>
      <w:bookmarkStart w:id="173" w:name="_Toc169625165"/>
      <w:r>
        <w:t>Anexa 7</w:t>
      </w:r>
      <w:bookmarkEnd w:id="173"/>
      <w:r>
        <w:t xml:space="preserve"> </w:t>
      </w:r>
    </w:p>
    <w:p w14:paraId="704E7283" w14:textId="00D78F85" w:rsidR="00935E16" w:rsidRDefault="00935E16" w:rsidP="00935E16">
      <w:pPr>
        <w:rPr>
          <w:lang w:val="ro-RO" w:eastAsia="en-GB"/>
        </w:rPr>
      </w:pPr>
      <w:r>
        <w:rPr>
          <w:noProof/>
        </w:rPr>
        <w:drawing>
          <wp:anchor distT="0" distB="0" distL="114300" distR="114300" simplePos="0" relativeHeight="251669504" behindDoc="0" locked="0" layoutInCell="1" hidden="0" allowOverlap="1" wp14:anchorId="68A98DAC" wp14:editId="4BACEDB4">
            <wp:simplePos x="0" y="0"/>
            <wp:positionH relativeFrom="column">
              <wp:posOffset>0</wp:posOffset>
            </wp:positionH>
            <wp:positionV relativeFrom="paragraph">
              <wp:posOffset>0</wp:posOffset>
            </wp:positionV>
            <wp:extent cx="5936615" cy="8969188"/>
            <wp:effectExtent l="0" t="0" r="6985" b="3810"/>
            <wp:wrapNone/>
            <wp:docPr id="2141401952" name="image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3.jpg"/>
                    <pic:cNvPicPr/>
                  </pic:nvPicPr>
                  <pic:blipFill rotWithShape="1">
                    <a:blip r:embed="rId80"/>
                    <a:srcRect l="6561"/>
                    <a:stretch/>
                  </pic:blipFill>
                  <pic:spPr bwMode="auto">
                    <a:xfrm>
                      <a:off x="0" y="0"/>
                      <a:ext cx="5937805" cy="897098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8C104B" w14:textId="77777777" w:rsidR="00935E16" w:rsidRDefault="00935E16" w:rsidP="00935E16">
      <w:pPr>
        <w:rPr>
          <w:lang w:val="ro-RO" w:eastAsia="en-GB"/>
        </w:rPr>
      </w:pPr>
    </w:p>
    <w:p w14:paraId="7459B4BB" w14:textId="77777777" w:rsidR="00935E16" w:rsidRDefault="00935E16" w:rsidP="00935E16">
      <w:pPr>
        <w:rPr>
          <w:lang w:val="ro-RO" w:eastAsia="en-GB"/>
        </w:rPr>
      </w:pPr>
    </w:p>
    <w:p w14:paraId="30775F93" w14:textId="77777777" w:rsidR="00935E16" w:rsidRDefault="00935E16" w:rsidP="00935E16">
      <w:pPr>
        <w:rPr>
          <w:lang w:val="ro-RO" w:eastAsia="en-GB"/>
        </w:rPr>
      </w:pPr>
    </w:p>
    <w:p w14:paraId="6E9A44C5" w14:textId="77777777" w:rsidR="00935E16" w:rsidRDefault="00935E16" w:rsidP="00935E16">
      <w:pPr>
        <w:rPr>
          <w:lang w:val="ro-RO" w:eastAsia="en-GB"/>
        </w:rPr>
      </w:pPr>
    </w:p>
    <w:p w14:paraId="2F4D2683" w14:textId="77777777" w:rsidR="00935E16" w:rsidRDefault="00935E16" w:rsidP="00935E16">
      <w:pPr>
        <w:rPr>
          <w:lang w:val="ro-RO" w:eastAsia="en-GB"/>
        </w:rPr>
      </w:pPr>
    </w:p>
    <w:p w14:paraId="3DCB4DA0" w14:textId="77777777" w:rsidR="00935E16" w:rsidRDefault="00935E16" w:rsidP="00935E16">
      <w:pPr>
        <w:rPr>
          <w:lang w:val="ro-RO" w:eastAsia="en-GB"/>
        </w:rPr>
      </w:pPr>
    </w:p>
    <w:p w14:paraId="3B6DCB64" w14:textId="77777777" w:rsidR="00935E16" w:rsidRDefault="00935E16" w:rsidP="00935E16">
      <w:pPr>
        <w:rPr>
          <w:lang w:val="ro-RO" w:eastAsia="en-GB"/>
        </w:rPr>
      </w:pPr>
    </w:p>
    <w:p w14:paraId="7E20941D" w14:textId="77777777" w:rsidR="00935E16" w:rsidRDefault="00935E16" w:rsidP="00935E16">
      <w:pPr>
        <w:rPr>
          <w:lang w:val="ro-RO" w:eastAsia="en-GB"/>
        </w:rPr>
      </w:pPr>
    </w:p>
    <w:p w14:paraId="42DF261B" w14:textId="77777777" w:rsidR="00935E16" w:rsidRDefault="00935E16" w:rsidP="00935E16">
      <w:pPr>
        <w:rPr>
          <w:lang w:val="ro-RO" w:eastAsia="en-GB"/>
        </w:rPr>
      </w:pPr>
    </w:p>
    <w:p w14:paraId="05C5A02C" w14:textId="77777777" w:rsidR="00935E16" w:rsidRDefault="00935E16" w:rsidP="00935E16">
      <w:pPr>
        <w:rPr>
          <w:lang w:val="ro-RO" w:eastAsia="en-GB"/>
        </w:rPr>
      </w:pPr>
    </w:p>
    <w:p w14:paraId="099E5A9B" w14:textId="77777777" w:rsidR="00935E16" w:rsidRDefault="00935E16" w:rsidP="00935E16">
      <w:pPr>
        <w:rPr>
          <w:lang w:val="ro-RO" w:eastAsia="en-GB"/>
        </w:rPr>
      </w:pPr>
    </w:p>
    <w:p w14:paraId="1B069CA4" w14:textId="77777777" w:rsidR="00935E16" w:rsidRDefault="00935E16" w:rsidP="00935E16">
      <w:pPr>
        <w:rPr>
          <w:lang w:val="ro-RO" w:eastAsia="en-GB"/>
        </w:rPr>
      </w:pPr>
    </w:p>
    <w:p w14:paraId="67B3F91F" w14:textId="77777777" w:rsidR="00935E16" w:rsidRDefault="00935E16" w:rsidP="00935E16">
      <w:pPr>
        <w:rPr>
          <w:lang w:val="ro-RO" w:eastAsia="en-GB"/>
        </w:rPr>
      </w:pPr>
    </w:p>
    <w:p w14:paraId="7E690747" w14:textId="77777777" w:rsidR="00935E16" w:rsidRDefault="00935E16" w:rsidP="00935E16">
      <w:pPr>
        <w:rPr>
          <w:lang w:val="ro-RO" w:eastAsia="en-GB"/>
        </w:rPr>
      </w:pPr>
    </w:p>
    <w:p w14:paraId="1E493A03" w14:textId="77777777" w:rsidR="00935E16" w:rsidRDefault="00935E16" w:rsidP="00935E16">
      <w:pPr>
        <w:rPr>
          <w:lang w:val="ro-RO" w:eastAsia="en-GB"/>
        </w:rPr>
      </w:pPr>
    </w:p>
    <w:p w14:paraId="7A434B72" w14:textId="77777777" w:rsidR="00935E16" w:rsidRDefault="00935E16" w:rsidP="00935E16">
      <w:pPr>
        <w:rPr>
          <w:lang w:val="ro-RO" w:eastAsia="en-GB"/>
        </w:rPr>
      </w:pPr>
    </w:p>
    <w:p w14:paraId="02B243C3" w14:textId="77777777" w:rsidR="00935E16" w:rsidRDefault="00935E16" w:rsidP="00935E16">
      <w:pPr>
        <w:rPr>
          <w:lang w:val="ro-RO" w:eastAsia="en-GB"/>
        </w:rPr>
      </w:pPr>
    </w:p>
    <w:p w14:paraId="0BDE4052" w14:textId="77777777" w:rsidR="00935E16" w:rsidRDefault="00935E16" w:rsidP="00935E16">
      <w:pPr>
        <w:rPr>
          <w:lang w:val="ro-RO" w:eastAsia="en-GB"/>
        </w:rPr>
      </w:pPr>
    </w:p>
    <w:p w14:paraId="68565145" w14:textId="77777777" w:rsidR="00935E16" w:rsidRDefault="00935E16" w:rsidP="00935E16">
      <w:pPr>
        <w:rPr>
          <w:lang w:val="ro-RO" w:eastAsia="en-GB"/>
        </w:rPr>
      </w:pPr>
    </w:p>
    <w:p w14:paraId="5278BFD6" w14:textId="77777777" w:rsidR="00935E16" w:rsidRDefault="00935E16" w:rsidP="00935E16">
      <w:pPr>
        <w:rPr>
          <w:lang w:val="ro-RO" w:eastAsia="en-GB"/>
        </w:rPr>
      </w:pPr>
    </w:p>
    <w:p w14:paraId="01615C83" w14:textId="77777777" w:rsidR="00935E16" w:rsidRDefault="00935E16" w:rsidP="00935E16">
      <w:pPr>
        <w:rPr>
          <w:lang w:val="ro-RO" w:eastAsia="en-GB"/>
        </w:rPr>
      </w:pPr>
    </w:p>
    <w:p w14:paraId="0F26D0A7" w14:textId="77777777" w:rsidR="00935E16" w:rsidRDefault="00935E16" w:rsidP="00935E16">
      <w:pPr>
        <w:rPr>
          <w:lang w:val="ro-RO" w:eastAsia="en-GB"/>
        </w:rPr>
      </w:pPr>
    </w:p>
    <w:p w14:paraId="5F1F5FF3" w14:textId="77777777" w:rsidR="00935E16" w:rsidRDefault="00935E16" w:rsidP="00935E16">
      <w:pPr>
        <w:rPr>
          <w:lang w:val="ro-RO" w:eastAsia="en-GB"/>
        </w:rPr>
      </w:pPr>
    </w:p>
    <w:p w14:paraId="51B0C4FB" w14:textId="77777777" w:rsidR="00935E16" w:rsidRDefault="00935E16" w:rsidP="00935E16">
      <w:pPr>
        <w:rPr>
          <w:lang w:val="ro-RO" w:eastAsia="en-GB"/>
        </w:rPr>
      </w:pPr>
    </w:p>
    <w:p w14:paraId="0581AF4C" w14:textId="77777777" w:rsidR="00935E16" w:rsidRDefault="00935E16" w:rsidP="00935E16">
      <w:pPr>
        <w:rPr>
          <w:lang w:val="ro-RO" w:eastAsia="en-GB"/>
        </w:rPr>
      </w:pPr>
    </w:p>
    <w:p w14:paraId="5B2EAF7B" w14:textId="77777777" w:rsidR="00935E16" w:rsidRDefault="00935E16" w:rsidP="00935E16">
      <w:pPr>
        <w:rPr>
          <w:lang w:val="ro-RO" w:eastAsia="en-GB"/>
        </w:rPr>
      </w:pPr>
    </w:p>
    <w:p w14:paraId="290ED65B" w14:textId="77777777" w:rsidR="00935E16" w:rsidRDefault="00935E16" w:rsidP="00935E16">
      <w:pPr>
        <w:rPr>
          <w:lang w:val="ro-RO" w:eastAsia="en-GB"/>
        </w:rPr>
      </w:pPr>
    </w:p>
    <w:p w14:paraId="39421E47" w14:textId="77777777" w:rsidR="00935E16" w:rsidRDefault="00935E16" w:rsidP="00935E16">
      <w:pPr>
        <w:rPr>
          <w:lang w:val="ro-RO" w:eastAsia="en-GB"/>
        </w:rPr>
      </w:pPr>
    </w:p>
    <w:p w14:paraId="38904CA1" w14:textId="77777777" w:rsidR="00935E16" w:rsidRDefault="00935E16" w:rsidP="00935E16">
      <w:pPr>
        <w:rPr>
          <w:lang w:val="ro-RO" w:eastAsia="en-GB"/>
        </w:rPr>
      </w:pPr>
    </w:p>
    <w:p w14:paraId="12D8973B" w14:textId="77777777" w:rsidR="00935E16" w:rsidRDefault="00935E16" w:rsidP="00935E16">
      <w:pPr>
        <w:rPr>
          <w:lang w:val="ro-RO" w:eastAsia="en-GB"/>
        </w:rPr>
      </w:pPr>
    </w:p>
    <w:p w14:paraId="1A2E64A3" w14:textId="4D72C484" w:rsidR="00935E16" w:rsidRDefault="00935E16" w:rsidP="00935E16">
      <w:pPr>
        <w:pStyle w:val="Heading2"/>
      </w:pPr>
      <w:bookmarkStart w:id="174" w:name="_Toc169625166"/>
      <w:r>
        <w:lastRenderedPageBreak/>
        <w:t>Anexa 8</w:t>
      </w:r>
      <w:bookmarkEnd w:id="174"/>
    </w:p>
    <w:p w14:paraId="719522B5" w14:textId="283D6020" w:rsidR="00935E16" w:rsidRPr="00935E16" w:rsidRDefault="00935E16" w:rsidP="00935E16">
      <w:pPr>
        <w:ind w:firstLine="0"/>
        <w:rPr>
          <w:lang w:val="ro-RO" w:eastAsia="en-GB"/>
        </w:rPr>
        <w:sectPr w:rsidR="00935E16" w:rsidRPr="00935E16" w:rsidSect="00935E16">
          <w:pgSz w:w="11906" w:h="16838"/>
          <w:pgMar w:top="1440" w:right="1440" w:bottom="1440" w:left="1440" w:header="0" w:footer="0" w:gutter="0"/>
          <w:cols w:space="708"/>
          <w:docGrid w:linePitch="326"/>
        </w:sectPr>
      </w:pPr>
      <w:r>
        <w:rPr>
          <w:noProof/>
        </w:rPr>
        <w:drawing>
          <wp:anchor distT="0" distB="0" distL="114300" distR="114300" simplePos="0" relativeHeight="251671552" behindDoc="0" locked="0" layoutInCell="1" hidden="0" allowOverlap="1" wp14:anchorId="3B6D5295" wp14:editId="6C05FD49">
            <wp:simplePos x="0" y="0"/>
            <wp:positionH relativeFrom="column">
              <wp:posOffset>0</wp:posOffset>
            </wp:positionH>
            <wp:positionV relativeFrom="paragraph">
              <wp:posOffset>0</wp:posOffset>
            </wp:positionV>
            <wp:extent cx="5795682" cy="8933083"/>
            <wp:effectExtent l="0" t="0" r="0" b="1905"/>
            <wp:wrapNone/>
            <wp:docPr id="2141401944" name="image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jpg"/>
                    <pic:cNvPicPr/>
                  </pic:nvPicPr>
                  <pic:blipFill rotWithShape="1">
                    <a:blip r:embed="rId81"/>
                    <a:srcRect l="8192"/>
                    <a:stretch/>
                  </pic:blipFill>
                  <pic:spPr bwMode="auto">
                    <a:xfrm>
                      <a:off x="0" y="0"/>
                      <a:ext cx="5798531" cy="89374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9B2093" w14:textId="77777777" w:rsidR="005D2CE5" w:rsidRPr="00935E16" w:rsidRDefault="005D2CE5" w:rsidP="00935E16">
      <w:pPr>
        <w:ind w:firstLine="0"/>
        <w:rPr>
          <w:lang w:val="ro-RO"/>
        </w:rPr>
      </w:pPr>
    </w:p>
    <w:sectPr w:rsidR="005D2CE5" w:rsidRPr="00935E16" w:rsidSect="00B50691">
      <w:headerReference w:type="default" r:id="rId82"/>
      <w:footerReference w:type="default" r:id="rId83"/>
      <w:pgSz w:w="16838" w:h="11906" w:orient="landscape"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AF6FA2C" w14:textId="77777777" w:rsidR="00883E3C" w:rsidRDefault="00883E3C" w:rsidP="00B21E95">
      <w:pPr>
        <w:spacing w:before="0" w:after="0" w:line="240" w:lineRule="auto"/>
      </w:pPr>
      <w:r>
        <w:separator/>
      </w:r>
    </w:p>
  </w:endnote>
  <w:endnote w:type="continuationSeparator" w:id="0">
    <w:p w14:paraId="688AF4D8" w14:textId="77777777" w:rsidR="00883E3C" w:rsidRDefault="00883E3C" w:rsidP="00B21E9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3E6083" w14:textId="77777777" w:rsidR="00935E16" w:rsidRDefault="00935E16">
    <w:pPr>
      <w:pStyle w:val="Footer"/>
      <w:jc w:val="center"/>
    </w:pPr>
    <w:r>
      <w:fldChar w:fldCharType="begin"/>
    </w:r>
    <w:r>
      <w:instrText xml:space="preserve"> PAGE   \* MERGEFORMAT </w:instrText>
    </w:r>
    <w:r>
      <w:fldChar w:fldCharType="separate"/>
    </w:r>
    <w:r>
      <w:rPr>
        <w:noProof/>
      </w:rPr>
      <w:t>2</w:t>
    </w:r>
    <w:r>
      <w:rPr>
        <w:noProof/>
      </w:rPr>
      <w:fldChar w:fldCharType="end"/>
    </w:r>
  </w:p>
  <w:p w14:paraId="080948ED" w14:textId="77777777" w:rsidR="00935E16" w:rsidRDefault="00935E1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51695D" w14:textId="77777777" w:rsidR="00935E16" w:rsidRDefault="00935E16">
    <w:pPr>
      <w:pStyle w:val="Footer"/>
    </w:pPr>
    <w:r>
      <w:rPr>
        <w:noProof/>
        <w:lang w:val="ro-RO" w:eastAsia="ro-RO"/>
      </w:rPr>
      <w:drawing>
        <wp:anchor distT="0" distB="0" distL="114300" distR="114300" simplePos="0" relativeHeight="251659776" behindDoc="0" locked="0" layoutInCell="1" allowOverlap="1" wp14:anchorId="0F5B9962" wp14:editId="4817F8AD">
          <wp:simplePos x="0" y="0"/>
          <wp:positionH relativeFrom="margin">
            <wp:posOffset>-97790</wp:posOffset>
          </wp:positionH>
          <wp:positionV relativeFrom="paragraph">
            <wp:posOffset>-90805</wp:posOffset>
          </wp:positionV>
          <wp:extent cx="5731510" cy="341630"/>
          <wp:effectExtent l="0" t="0" r="2540" b="1270"/>
          <wp:wrapNone/>
          <wp:docPr id="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31510" cy="3416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o-RO" w:eastAsia="ro-RO"/>
      </w:rPr>
      <w:drawing>
        <wp:anchor distT="0" distB="0" distL="114300" distR="114300" simplePos="0" relativeHeight="251655680" behindDoc="0" locked="0" layoutInCell="1" allowOverlap="1" wp14:anchorId="5AABE7E7" wp14:editId="0FEC67B5">
          <wp:simplePos x="0" y="0"/>
          <wp:positionH relativeFrom="margin">
            <wp:posOffset>799465</wp:posOffset>
          </wp:positionH>
          <wp:positionV relativeFrom="paragraph">
            <wp:posOffset>669290</wp:posOffset>
          </wp:positionV>
          <wp:extent cx="5731510" cy="341630"/>
          <wp:effectExtent l="0" t="0" r="2540" b="1270"/>
          <wp:wrapNone/>
          <wp:docPr id="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31510" cy="3416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o-RO" w:eastAsia="ro-RO"/>
      </w:rPr>
      <w:drawing>
        <wp:anchor distT="0" distB="0" distL="114300" distR="114300" simplePos="0" relativeHeight="251656704" behindDoc="0" locked="0" layoutInCell="1" allowOverlap="1" wp14:anchorId="7B53359C" wp14:editId="423C9DFA">
          <wp:simplePos x="0" y="0"/>
          <wp:positionH relativeFrom="margin">
            <wp:posOffset>799465</wp:posOffset>
          </wp:positionH>
          <wp:positionV relativeFrom="paragraph">
            <wp:posOffset>669290</wp:posOffset>
          </wp:positionV>
          <wp:extent cx="5731510" cy="341630"/>
          <wp:effectExtent l="0" t="0" r="2540" b="1270"/>
          <wp:wrapNone/>
          <wp:docPr id="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31510" cy="3416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o-RO" w:eastAsia="ro-RO"/>
      </w:rPr>
      <w:drawing>
        <wp:anchor distT="0" distB="0" distL="114300" distR="114300" simplePos="0" relativeHeight="251657728" behindDoc="0" locked="0" layoutInCell="1" allowOverlap="1" wp14:anchorId="2A8566D9" wp14:editId="5AC7634E">
          <wp:simplePos x="0" y="0"/>
          <wp:positionH relativeFrom="margin">
            <wp:posOffset>799465</wp:posOffset>
          </wp:positionH>
          <wp:positionV relativeFrom="paragraph">
            <wp:posOffset>669290</wp:posOffset>
          </wp:positionV>
          <wp:extent cx="5731510" cy="341630"/>
          <wp:effectExtent l="0" t="0" r="2540" b="127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31510" cy="3416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o-RO" w:eastAsia="ro-RO"/>
      </w:rPr>
      <w:drawing>
        <wp:anchor distT="0" distB="0" distL="114300" distR="114300" simplePos="0" relativeHeight="251658752" behindDoc="0" locked="0" layoutInCell="1" allowOverlap="1" wp14:anchorId="2E398453" wp14:editId="6F962796">
          <wp:simplePos x="0" y="0"/>
          <wp:positionH relativeFrom="margin">
            <wp:posOffset>799465</wp:posOffset>
          </wp:positionH>
          <wp:positionV relativeFrom="paragraph">
            <wp:posOffset>669290</wp:posOffset>
          </wp:positionV>
          <wp:extent cx="5731510" cy="341630"/>
          <wp:effectExtent l="0" t="0" r="2540" b="1270"/>
          <wp:wrapNone/>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31510" cy="34163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25B601" w14:textId="77777777" w:rsidR="00935E16" w:rsidRDefault="00935E16">
    <w:pPr>
      <w:pBdr>
        <w:top w:val="nil"/>
        <w:left w:val="nil"/>
        <w:bottom w:val="nil"/>
        <w:right w:val="nil"/>
        <w:between w:val="nil"/>
      </w:pBdr>
      <w:tabs>
        <w:tab w:val="center" w:pos="4536"/>
        <w:tab w:val="right" w:pos="9072"/>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AD5CE4">
      <w:rPr>
        <w:noProof/>
        <w:color w:val="000000"/>
      </w:rPr>
      <w:t>323</w:t>
    </w:r>
    <w:r>
      <w:rPr>
        <w:color w:val="000000"/>
      </w:rPr>
      <w:fldChar w:fldCharType="end"/>
    </w:r>
  </w:p>
  <w:p w14:paraId="0CC4283F" w14:textId="77777777" w:rsidR="00935E16" w:rsidRDefault="00935E16">
    <w:pPr>
      <w:pBdr>
        <w:top w:val="nil"/>
        <w:left w:val="nil"/>
        <w:bottom w:val="nil"/>
        <w:right w:val="nil"/>
        <w:between w:val="nil"/>
      </w:pBdr>
      <w:tabs>
        <w:tab w:val="center" w:pos="4536"/>
        <w:tab w:val="right" w:pos="9072"/>
      </w:tabs>
      <w:spacing w:after="0" w:line="240" w:lineRule="auto"/>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0656DA" w14:textId="77777777" w:rsidR="00935E16" w:rsidRPr="0006143D" w:rsidRDefault="00935E16">
    <w:pPr>
      <w:pStyle w:val="Footer"/>
      <w:jc w:val="center"/>
      <w:rPr>
        <w:caps/>
        <w:noProof/>
        <w:color w:val="4472C4"/>
      </w:rPr>
    </w:pPr>
    <w:r w:rsidRPr="0006143D">
      <w:rPr>
        <w:caps/>
        <w:color w:val="4472C4"/>
      </w:rPr>
      <w:fldChar w:fldCharType="begin"/>
    </w:r>
    <w:r w:rsidRPr="0006143D">
      <w:rPr>
        <w:caps/>
        <w:color w:val="4472C4"/>
      </w:rPr>
      <w:instrText xml:space="preserve"> PAGE   \* MERGEFORMAT </w:instrText>
    </w:r>
    <w:r w:rsidRPr="0006143D">
      <w:rPr>
        <w:caps/>
        <w:color w:val="4472C4"/>
      </w:rPr>
      <w:fldChar w:fldCharType="separate"/>
    </w:r>
    <w:r w:rsidR="00AD5CE4">
      <w:rPr>
        <w:caps/>
        <w:noProof/>
        <w:color w:val="4472C4"/>
      </w:rPr>
      <w:t>392</w:t>
    </w:r>
    <w:r w:rsidRPr="0006143D">
      <w:rPr>
        <w:caps/>
        <w:noProof/>
        <w:color w:val="4472C4"/>
      </w:rPr>
      <w:fldChar w:fldCharType="end"/>
    </w:r>
  </w:p>
  <w:p w14:paraId="023E8DB1" w14:textId="77777777" w:rsidR="00935E16" w:rsidRDefault="00935E16">
    <w:pPr>
      <w:pStyle w:val="Footer"/>
    </w:pPr>
    <w:r>
      <w:rPr>
        <w:noProof/>
        <w:lang w:val="ro-RO" w:eastAsia="ro-RO"/>
      </w:rPr>
      <w:drawing>
        <wp:anchor distT="0" distB="0" distL="114300" distR="114300" simplePos="0" relativeHeight="251662848" behindDoc="0" locked="0" layoutInCell="1" allowOverlap="1" wp14:anchorId="2F1FA762" wp14:editId="6C651891">
          <wp:simplePos x="0" y="0"/>
          <wp:positionH relativeFrom="margin">
            <wp:posOffset>1741805</wp:posOffset>
          </wp:positionH>
          <wp:positionV relativeFrom="paragraph">
            <wp:posOffset>-72390</wp:posOffset>
          </wp:positionV>
          <wp:extent cx="5731510" cy="341630"/>
          <wp:effectExtent l="0" t="0" r="2540" b="1270"/>
          <wp:wrapNone/>
          <wp:docPr id="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31510" cy="34163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4FA862E" w14:textId="77777777" w:rsidR="00883E3C" w:rsidRDefault="00883E3C" w:rsidP="00B21E95">
      <w:pPr>
        <w:spacing w:before="0" w:after="0" w:line="240" w:lineRule="auto"/>
      </w:pPr>
      <w:r>
        <w:separator/>
      </w:r>
    </w:p>
  </w:footnote>
  <w:footnote w:type="continuationSeparator" w:id="0">
    <w:p w14:paraId="6323DCEF" w14:textId="77777777" w:rsidR="00883E3C" w:rsidRDefault="00883E3C" w:rsidP="00B21E95">
      <w:pPr>
        <w:spacing w:before="0" w:after="0" w:line="240" w:lineRule="auto"/>
      </w:pPr>
      <w:r>
        <w:continuationSeparator/>
      </w:r>
    </w:p>
  </w:footnote>
  <w:footnote w:id="1">
    <w:p w14:paraId="4E5B2DC2" w14:textId="77777777" w:rsidR="00935E16" w:rsidRDefault="00935E16" w:rsidP="003B5B5D">
      <w:pPr>
        <w:keepNext/>
        <w:pBdr>
          <w:top w:val="nil"/>
          <w:left w:val="nil"/>
          <w:bottom w:val="nil"/>
          <w:right w:val="nil"/>
          <w:between w:val="nil"/>
        </w:pBdr>
        <w:spacing w:after="60" w:line="240" w:lineRule="auto"/>
        <w:rPr>
          <w:rFonts w:eastAsia="Times New Roman" w:cs="Times New Roman"/>
          <w:color w:val="000000"/>
          <w:sz w:val="18"/>
          <w:szCs w:val="18"/>
        </w:rPr>
      </w:pPr>
      <w:r>
        <w:rPr>
          <w:rStyle w:val="FootnoteReference"/>
        </w:rPr>
        <w:footnoteRef/>
      </w:r>
      <w:r>
        <w:rPr>
          <w:rFonts w:eastAsia="Times New Roman" w:cs="Times New Roman"/>
          <w:color w:val="000000"/>
          <w:sz w:val="18"/>
          <w:szCs w:val="18"/>
        </w:rPr>
        <w:t xml:space="preserve"> Ar trebui să adopte metodologii de avizare pentru avizarea planurilor de gospodărire integrată a zonelor costiere şi a planurilor de urbanism locale şi zonale, avizarea studiilor de impact pentru activităţile cu impact semnificativ ce urmează a se desfăşura în zona costieră, precum şi a bilanţurilor de mediu ale lucrărilor existente şi avizarea proiectelor de creare de parcuri şi rezervaţii naturale (conf. art. 2).</w:t>
      </w:r>
    </w:p>
  </w:footnote>
  <w:footnote w:id="2">
    <w:p w14:paraId="1AF74219" w14:textId="77777777" w:rsidR="00935E16" w:rsidRDefault="00935E16" w:rsidP="003B5B5D">
      <w:pPr>
        <w:keepNext/>
        <w:pBdr>
          <w:top w:val="nil"/>
          <w:left w:val="nil"/>
          <w:bottom w:val="nil"/>
          <w:right w:val="nil"/>
          <w:between w:val="nil"/>
        </w:pBdr>
        <w:spacing w:after="60" w:line="240" w:lineRule="auto"/>
        <w:rPr>
          <w:rFonts w:ascii="Verdana" w:eastAsia="Verdana" w:hAnsi="Verdana" w:cs="Verdana"/>
          <w:color w:val="000000"/>
          <w:sz w:val="18"/>
          <w:szCs w:val="18"/>
        </w:rPr>
      </w:pPr>
      <w:r>
        <w:rPr>
          <w:rStyle w:val="FootnoteReference"/>
        </w:rPr>
        <w:footnoteRef/>
      </w:r>
      <w:r>
        <w:rPr>
          <w:rFonts w:eastAsia="Times New Roman" w:cs="Times New Roman"/>
          <w:color w:val="000000"/>
          <w:sz w:val="18"/>
          <w:szCs w:val="18"/>
        </w:rPr>
        <w:t xml:space="preserve"> Nu există orizont de timp și nu sunt identificate sursele de finanțare.</w:t>
      </w:r>
    </w:p>
  </w:footnote>
  <w:footnote w:id="3">
    <w:p w14:paraId="1AAF6BA9" w14:textId="77777777" w:rsidR="00935E16" w:rsidRDefault="00935E16" w:rsidP="003B5B5D">
      <w:pPr>
        <w:keepNext/>
        <w:pBdr>
          <w:top w:val="nil"/>
          <w:left w:val="nil"/>
          <w:bottom w:val="nil"/>
          <w:right w:val="nil"/>
          <w:between w:val="nil"/>
        </w:pBdr>
        <w:spacing w:after="60" w:line="240" w:lineRule="auto"/>
        <w:rPr>
          <w:rFonts w:eastAsia="Times New Roman" w:cs="Times New Roman"/>
          <w:color w:val="000000"/>
          <w:sz w:val="18"/>
          <w:szCs w:val="18"/>
        </w:rPr>
      </w:pPr>
      <w:r>
        <w:rPr>
          <w:rStyle w:val="FootnoteReference"/>
        </w:rPr>
        <w:footnoteRef/>
      </w:r>
      <w:r>
        <w:rPr>
          <w:rFonts w:eastAsia="Times New Roman" w:cs="Times New Roman"/>
          <w:color w:val="000000"/>
          <w:sz w:val="18"/>
          <w:szCs w:val="18"/>
        </w:rPr>
        <w:t xml:space="preserve"> Art. 18. (1). Gestionarea informaţiei şi a bazei de date integrate referitoare la zona costieră se realizează în permanenţă de către autoritatea publică centrală pentru protecţia mediului şi gospodăririi apelor, sub coordonarea Comitetului naţional al zonei costiere. </w:t>
      </w:r>
    </w:p>
    <w:p w14:paraId="56C1FD2C" w14:textId="77777777" w:rsidR="00935E16" w:rsidRDefault="00935E16" w:rsidP="003B5B5D">
      <w:pPr>
        <w:keepNext/>
        <w:pBdr>
          <w:top w:val="nil"/>
          <w:left w:val="nil"/>
          <w:bottom w:val="nil"/>
          <w:right w:val="nil"/>
          <w:between w:val="nil"/>
        </w:pBdr>
        <w:spacing w:after="60" w:line="240" w:lineRule="auto"/>
        <w:rPr>
          <w:rFonts w:eastAsia="Times New Roman" w:cs="Times New Roman"/>
          <w:color w:val="000000"/>
          <w:sz w:val="18"/>
          <w:szCs w:val="18"/>
        </w:rPr>
      </w:pPr>
      <w:r>
        <w:rPr>
          <w:rFonts w:eastAsia="Times New Roman" w:cs="Times New Roman"/>
          <w:color w:val="000000"/>
          <w:sz w:val="18"/>
          <w:szCs w:val="18"/>
        </w:rPr>
        <w:t>Art. 22 (1) Comitetul naţional al zonei costiere va semna cu fiecare vecin, proprietar sau administrator al zonei costiere, un proces-verbal de situaţie.</w:t>
      </w:r>
    </w:p>
  </w:footnote>
  <w:footnote w:id="4">
    <w:p w14:paraId="6B1A6576" w14:textId="77777777" w:rsidR="00935E16" w:rsidRDefault="00935E16" w:rsidP="003B5B5D">
      <w:pPr>
        <w:keepNext/>
        <w:pBdr>
          <w:top w:val="nil"/>
          <w:left w:val="nil"/>
          <w:bottom w:val="nil"/>
          <w:right w:val="nil"/>
          <w:between w:val="nil"/>
        </w:pBdr>
        <w:spacing w:after="60" w:line="240" w:lineRule="auto"/>
        <w:rPr>
          <w:rFonts w:eastAsia="Times New Roman" w:cs="Times New Roman"/>
          <w:color w:val="000000"/>
          <w:sz w:val="18"/>
          <w:szCs w:val="18"/>
        </w:rPr>
      </w:pPr>
      <w:r>
        <w:rPr>
          <w:rStyle w:val="FootnoteReference"/>
        </w:rPr>
        <w:footnoteRef/>
      </w:r>
      <w:r>
        <w:rPr>
          <w:rFonts w:eastAsia="Times New Roman" w:cs="Times New Roman"/>
          <w:color w:val="000000"/>
          <w:sz w:val="18"/>
          <w:szCs w:val="18"/>
        </w:rPr>
        <w:t xml:space="preserve"> Statutul de organizare şi funcţionare a Administraţiei Rezervaţiei Biosferei Delta Dunării şi componenţa nominală a Consiliului ştiinţific al RBDD se aprobă prin HG nr. 367/2002, iar Regulamentul de organizare şi funcţionare şi a structurii organizatorice ale Administraţiei Rezervaţiei Biosferei Delta Dunării este adoptat prin HG nr. 1217/2012.</w:t>
      </w:r>
    </w:p>
  </w:footnote>
  <w:footnote w:id="5">
    <w:p w14:paraId="6EB34FF5" w14:textId="77777777" w:rsidR="00935E16" w:rsidRDefault="00935E16" w:rsidP="003B5B5D">
      <w:pPr>
        <w:keepNext/>
        <w:pBdr>
          <w:top w:val="nil"/>
          <w:left w:val="nil"/>
          <w:bottom w:val="nil"/>
          <w:right w:val="nil"/>
          <w:between w:val="nil"/>
        </w:pBdr>
        <w:spacing w:after="60" w:line="240" w:lineRule="auto"/>
        <w:rPr>
          <w:rFonts w:eastAsia="Times New Roman" w:cs="Times New Roman"/>
          <w:color w:val="000000"/>
          <w:sz w:val="18"/>
          <w:szCs w:val="18"/>
        </w:rPr>
      </w:pPr>
      <w:r>
        <w:rPr>
          <w:rStyle w:val="FootnoteReference"/>
        </w:rPr>
        <w:footnoteRef/>
      </w:r>
      <w:r>
        <w:rPr>
          <w:rFonts w:eastAsia="Times New Roman" w:cs="Times New Roman"/>
          <w:color w:val="000000"/>
          <w:sz w:val="18"/>
          <w:szCs w:val="18"/>
        </w:rPr>
        <w:t xml:space="preserve"> Ordinul Ministrului Mediului, nr. 610/2009 privind aprobarea tarifelor pentru lucrările şi serviciile prestate de către Administraţia Rezervaţiei Biosferei Delta Dunării la solicitarea persoanelor fizice şi juridice.</w:t>
      </w:r>
    </w:p>
  </w:footnote>
  <w:footnote w:id="6">
    <w:p w14:paraId="700F6003" w14:textId="77777777" w:rsidR="00935E16" w:rsidRDefault="00935E16" w:rsidP="003B5B5D">
      <w:pPr>
        <w:keepNext/>
        <w:pBdr>
          <w:top w:val="nil"/>
          <w:left w:val="nil"/>
          <w:bottom w:val="nil"/>
          <w:right w:val="nil"/>
          <w:between w:val="nil"/>
        </w:pBdr>
        <w:spacing w:after="60" w:line="240" w:lineRule="auto"/>
        <w:rPr>
          <w:rFonts w:eastAsia="Times New Roman" w:cs="Times New Roman"/>
          <w:color w:val="000000"/>
          <w:sz w:val="18"/>
          <w:szCs w:val="18"/>
        </w:rPr>
      </w:pPr>
      <w:r>
        <w:rPr>
          <w:rStyle w:val="FootnoteReference"/>
        </w:rPr>
        <w:footnoteRef/>
      </w:r>
      <w:r>
        <w:rPr>
          <w:rFonts w:eastAsia="Times New Roman" w:cs="Times New Roman"/>
          <w:color w:val="000000"/>
          <w:sz w:val="18"/>
          <w:szCs w:val="18"/>
        </w:rPr>
        <w:t xml:space="preserve"> Adoptat prin HG nr. 763/2015 pentru aprobarea Planului de management şi a Regulamentului Rezervaţiei Biosferei "Delta Dunării".</w:t>
      </w:r>
    </w:p>
  </w:footnote>
  <w:footnote w:id="7">
    <w:p w14:paraId="18E35697" w14:textId="77777777" w:rsidR="00935E16" w:rsidRDefault="00935E16" w:rsidP="003B5B5D">
      <w:pPr>
        <w:keepNext/>
        <w:pBdr>
          <w:top w:val="nil"/>
          <w:left w:val="nil"/>
          <w:bottom w:val="nil"/>
          <w:right w:val="nil"/>
          <w:between w:val="nil"/>
        </w:pBdr>
        <w:spacing w:after="60" w:line="240" w:lineRule="auto"/>
        <w:rPr>
          <w:rFonts w:eastAsia="Times New Roman" w:cs="Times New Roman"/>
          <w:color w:val="000000"/>
          <w:sz w:val="18"/>
          <w:szCs w:val="18"/>
        </w:rPr>
      </w:pPr>
      <w:r>
        <w:rPr>
          <w:rStyle w:val="FootnoteReference"/>
        </w:rPr>
        <w:footnoteRef/>
      </w:r>
      <w:r>
        <w:rPr>
          <w:rFonts w:eastAsia="Times New Roman" w:cs="Times New Roman"/>
          <w:color w:val="000000"/>
          <w:sz w:val="18"/>
          <w:szCs w:val="18"/>
        </w:rPr>
        <w:t xml:space="preserve"> Delimitarea zonelor funcţionale cu regim diferenţiat de protecţie de pe teritoriul Rezervaţiei Biosferei "Delta Dunării" a fost stabilită prin HG nr. 248/1994 pentru adoptarea unor măsuri în vederea aplicării Legii nr. 82/1993 privind constituirea Rezervaţiei Biosferei Delta Dunării.</w:t>
      </w:r>
    </w:p>
  </w:footnote>
  <w:footnote w:id="8">
    <w:p w14:paraId="647DB04D" w14:textId="77777777" w:rsidR="00935E16" w:rsidRDefault="00935E16" w:rsidP="003B5B5D">
      <w:pPr>
        <w:keepNext/>
        <w:pBdr>
          <w:top w:val="nil"/>
          <w:left w:val="nil"/>
          <w:bottom w:val="nil"/>
          <w:right w:val="nil"/>
          <w:between w:val="nil"/>
        </w:pBdr>
        <w:spacing w:after="60" w:line="240" w:lineRule="auto"/>
        <w:rPr>
          <w:rFonts w:eastAsia="Times New Roman" w:cs="Times New Roman"/>
          <w:color w:val="000000"/>
          <w:sz w:val="18"/>
          <w:szCs w:val="18"/>
        </w:rPr>
      </w:pPr>
      <w:r>
        <w:rPr>
          <w:rStyle w:val="FootnoteReference"/>
        </w:rPr>
        <w:footnoteRef/>
      </w:r>
      <w:r>
        <w:rPr>
          <w:rFonts w:eastAsia="Times New Roman" w:cs="Times New Roman"/>
          <w:color w:val="000000"/>
          <w:sz w:val="18"/>
          <w:szCs w:val="18"/>
        </w:rPr>
        <w:t xml:space="preserve"> Stabilirea de noi zone protejate prin HG nr. 1066/2010 privind instituirea regimului de arie naturală protejată asupra unor zone din Rezervaţia Biosferei Delta Dunării şi încadrarea acestora în categoria rezervaţiilor ştiinţifice.</w:t>
      </w:r>
    </w:p>
  </w:footnote>
  <w:footnote w:id="9">
    <w:p w14:paraId="44E164D2" w14:textId="77777777" w:rsidR="00935E16" w:rsidRDefault="00935E16" w:rsidP="003B5B5D">
      <w:pPr>
        <w:keepNext/>
        <w:pBdr>
          <w:top w:val="nil"/>
          <w:left w:val="nil"/>
          <w:bottom w:val="nil"/>
          <w:right w:val="nil"/>
          <w:between w:val="nil"/>
        </w:pBdr>
        <w:spacing w:after="60" w:line="240" w:lineRule="auto"/>
        <w:rPr>
          <w:rFonts w:eastAsia="Times New Roman" w:cs="Times New Roman"/>
          <w:color w:val="000000"/>
          <w:sz w:val="18"/>
          <w:szCs w:val="18"/>
        </w:rPr>
      </w:pPr>
      <w:r>
        <w:rPr>
          <w:rStyle w:val="FootnoteReference"/>
        </w:rPr>
        <w:footnoteRef/>
      </w:r>
      <w:r>
        <w:rPr>
          <w:rFonts w:eastAsia="Times New Roman" w:cs="Times New Roman"/>
          <w:color w:val="000000"/>
          <w:sz w:val="18"/>
          <w:szCs w:val="18"/>
        </w:rPr>
        <w:t xml:space="preserve"> Unităţile administrativ- teritoriale sunt prevăzute în HG nr. 323/1996 privind aprobarea Programului special pentru sprijinirea dezvoltării economico-sociale a unor localităţi din Munţii Apuseni, cu modificările ulterioare, şi în HG nr. 395/1996 pentru aprobarea Programului special privind unele măsuri şi acţiuni pentru sprijinirea dezvoltării economico-sociale a judeţului Tulcea şi a Rezervaţiei Biosferei «Delta Dunării», cu modificările ulterioare.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E6758E" w14:textId="77777777" w:rsidR="00935E16" w:rsidRDefault="00935E16">
    <w:pPr>
      <w:pStyle w:val="Header"/>
    </w:pPr>
    <w:r>
      <w:rPr>
        <w:noProof/>
        <w:lang w:val="ro-RO" w:eastAsia="ro-RO"/>
      </w:rPr>
      <w:drawing>
        <wp:anchor distT="0" distB="0" distL="114300" distR="114300" simplePos="0" relativeHeight="251652608" behindDoc="0" locked="0" layoutInCell="1" allowOverlap="1" wp14:anchorId="69F21968" wp14:editId="07C5A1B2">
          <wp:simplePos x="0" y="0"/>
          <wp:positionH relativeFrom="margin">
            <wp:posOffset>-2540</wp:posOffset>
          </wp:positionH>
          <wp:positionV relativeFrom="paragraph">
            <wp:posOffset>95250</wp:posOffset>
          </wp:positionV>
          <wp:extent cx="5731510" cy="615950"/>
          <wp:effectExtent l="0" t="0" r="2540" b="0"/>
          <wp:wrapNone/>
          <wp:docPr id="5" name="Picture 80792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9267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31510" cy="6159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CF6140" w14:textId="77777777" w:rsidR="00935E16" w:rsidRDefault="00935E16">
    <w:pPr>
      <w:pStyle w:val="Header"/>
    </w:pPr>
    <w:r>
      <w:rPr>
        <w:noProof/>
        <w:lang w:val="ro-RO" w:eastAsia="ro-RO"/>
      </w:rPr>
      <w:drawing>
        <wp:anchor distT="0" distB="0" distL="114300" distR="114300" simplePos="0" relativeHeight="251653632" behindDoc="0" locked="0" layoutInCell="1" allowOverlap="1" wp14:anchorId="43D8E741" wp14:editId="732C8E4A">
          <wp:simplePos x="0" y="0"/>
          <wp:positionH relativeFrom="margin">
            <wp:posOffset>-2540</wp:posOffset>
          </wp:positionH>
          <wp:positionV relativeFrom="paragraph">
            <wp:posOffset>342900</wp:posOffset>
          </wp:positionV>
          <wp:extent cx="5731510" cy="615950"/>
          <wp:effectExtent l="0" t="0" r="2540" b="0"/>
          <wp:wrapNone/>
          <wp:docPr id="6" name="Picture 80792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9267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31510" cy="6159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038F13" w14:textId="77777777" w:rsidR="00935E16" w:rsidRDefault="00935E16">
    <w:pPr>
      <w:pBdr>
        <w:top w:val="nil"/>
        <w:left w:val="nil"/>
        <w:bottom w:val="nil"/>
        <w:right w:val="nil"/>
        <w:between w:val="nil"/>
      </w:pBdr>
      <w:tabs>
        <w:tab w:val="center" w:pos="4536"/>
        <w:tab w:val="right" w:pos="9072"/>
      </w:tabs>
      <w:spacing w:after="0" w:line="240" w:lineRule="auto"/>
      <w:rPr>
        <w:color w:val="000000"/>
      </w:rPr>
    </w:pPr>
    <w:r>
      <w:rPr>
        <w:noProof/>
      </w:rPr>
      <w:drawing>
        <wp:anchor distT="0" distB="0" distL="114300" distR="114300" simplePos="0" relativeHeight="251666944" behindDoc="0" locked="0" layoutInCell="1" hidden="0" allowOverlap="1" wp14:anchorId="2D489EBF" wp14:editId="55FEE059">
          <wp:simplePos x="0" y="0"/>
          <wp:positionH relativeFrom="column">
            <wp:posOffset>-114933</wp:posOffset>
          </wp:positionH>
          <wp:positionV relativeFrom="paragraph">
            <wp:posOffset>296645</wp:posOffset>
          </wp:positionV>
          <wp:extent cx="5731510" cy="341630"/>
          <wp:effectExtent l="0" t="0" r="0" b="0"/>
          <wp:wrapNone/>
          <wp:docPr id="214140194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5731510" cy="341630"/>
                  </a:xfrm>
                  <a:prstGeom prst="rect">
                    <a:avLst/>
                  </a:prstGeom>
                  <a:ln/>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C4150C" w14:textId="77777777" w:rsidR="00935E16" w:rsidRDefault="00000000">
    <w:pPr>
      <w:pBdr>
        <w:top w:val="nil"/>
        <w:left w:val="nil"/>
        <w:bottom w:val="nil"/>
        <w:right w:val="nil"/>
        <w:between w:val="nil"/>
      </w:pBdr>
      <w:tabs>
        <w:tab w:val="center" w:pos="4536"/>
        <w:tab w:val="right" w:pos="9072"/>
      </w:tabs>
      <w:spacing w:after="0" w:line="240" w:lineRule="auto"/>
      <w:rPr>
        <w:color w:val="000000"/>
      </w:rPr>
    </w:pPr>
    <w:r>
      <w:pict w14:anchorId="325D3D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5" type="#_x0000_t75" style="position:absolute;left:0;text-align:left;margin-left:-11.6pt;margin-top:25pt;width:451.3pt;height:26.9pt;z-index:251667968;visibility:visible;mso-position-horizontal:absolute;mso-position-horizontal-relative:margin;mso-position-vertical:absolute;mso-position-vertical-relative:text">
          <v:imagedata r:id="rId1" o:title=""/>
          <w10:wrap anchorx="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DBB428" w14:textId="77777777" w:rsidR="00935E16" w:rsidRDefault="00935E16">
    <w:pPr>
      <w:pBdr>
        <w:top w:val="nil"/>
        <w:left w:val="nil"/>
        <w:bottom w:val="nil"/>
        <w:right w:val="nil"/>
        <w:between w:val="nil"/>
      </w:pBdr>
      <w:tabs>
        <w:tab w:val="center" w:pos="4536"/>
        <w:tab w:val="right" w:pos="9072"/>
      </w:tabs>
      <w:spacing w:after="0" w:line="240" w:lineRule="auto"/>
      <w:rPr>
        <w:color w:val="000000"/>
      </w:rPr>
    </w:pPr>
    <w:r>
      <w:rPr>
        <w:noProof/>
      </w:rPr>
      <w:drawing>
        <wp:anchor distT="0" distB="0" distL="114300" distR="114300" simplePos="0" relativeHeight="251670016" behindDoc="0" locked="0" layoutInCell="1" hidden="0" allowOverlap="1" wp14:anchorId="0762C87C" wp14:editId="73B2019A">
          <wp:simplePos x="0" y="0"/>
          <wp:positionH relativeFrom="column">
            <wp:posOffset>1513490</wp:posOffset>
          </wp:positionH>
          <wp:positionV relativeFrom="paragraph">
            <wp:posOffset>341630</wp:posOffset>
          </wp:positionV>
          <wp:extent cx="5731510" cy="341630"/>
          <wp:effectExtent l="0" t="0" r="0" b="0"/>
          <wp:wrapNone/>
          <wp:docPr id="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5731510" cy="341630"/>
                  </a:xfrm>
                  <a:prstGeom prst="rect">
                    <a:avLst/>
                  </a:prstGeom>
                  <a:ln/>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E5A6E1" w14:textId="77777777" w:rsidR="00935E16" w:rsidRDefault="00935E16">
    <w:pPr>
      <w:pBdr>
        <w:top w:val="nil"/>
        <w:left w:val="nil"/>
        <w:bottom w:val="nil"/>
        <w:right w:val="nil"/>
        <w:between w:val="nil"/>
      </w:pBdr>
      <w:tabs>
        <w:tab w:val="center" w:pos="4536"/>
        <w:tab w:val="right" w:pos="9072"/>
      </w:tabs>
      <w:spacing w:after="0" w:line="240" w:lineRule="auto"/>
      <w:rPr>
        <w:color w:val="000000"/>
      </w:rPr>
    </w:pPr>
    <w:r>
      <w:rPr>
        <w:noProof/>
      </w:rPr>
      <w:drawing>
        <wp:anchor distT="0" distB="0" distL="114300" distR="114300" simplePos="0" relativeHeight="251664896" behindDoc="0" locked="0" layoutInCell="1" hidden="0" allowOverlap="1" wp14:anchorId="79297CB0" wp14:editId="47A16446">
          <wp:simplePos x="0" y="0"/>
          <wp:positionH relativeFrom="column">
            <wp:posOffset>1438342</wp:posOffset>
          </wp:positionH>
          <wp:positionV relativeFrom="paragraph">
            <wp:posOffset>269240</wp:posOffset>
          </wp:positionV>
          <wp:extent cx="5731510" cy="341630"/>
          <wp:effectExtent l="0" t="0" r="0" b="0"/>
          <wp:wrapNone/>
          <wp:docPr id="214140196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5731510" cy="341630"/>
                  </a:xfrm>
                  <a:prstGeom prst="rect">
                    <a:avLst/>
                  </a:prstGeom>
                  <a:ln/>
                </pic:spPr>
              </pic:pic>
            </a:graphicData>
          </a:graphic>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8424E9" w14:textId="77777777" w:rsidR="00935E16" w:rsidRDefault="00935E16">
    <w:pPr>
      <w:pStyle w:val="Header"/>
    </w:pPr>
    <w:r>
      <w:rPr>
        <w:noProof/>
        <w:lang w:val="ro-RO" w:eastAsia="ro-RO"/>
      </w:rPr>
      <w:drawing>
        <wp:anchor distT="0" distB="0" distL="114300" distR="114300" simplePos="0" relativeHeight="251661824" behindDoc="0" locked="0" layoutInCell="1" allowOverlap="1" wp14:anchorId="03C0763A" wp14:editId="09842F85">
          <wp:simplePos x="0" y="0"/>
          <wp:positionH relativeFrom="margin">
            <wp:posOffset>1741805</wp:posOffset>
          </wp:positionH>
          <wp:positionV relativeFrom="paragraph">
            <wp:posOffset>-180975</wp:posOffset>
          </wp:positionV>
          <wp:extent cx="5731510" cy="615950"/>
          <wp:effectExtent l="0" t="0" r="2540" b="0"/>
          <wp:wrapNone/>
          <wp:docPr id="15" name="Picture 80792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9267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31510" cy="6159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421BD0"/>
    <w:multiLevelType w:val="multilevel"/>
    <w:tmpl w:val="87543BD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00C24712"/>
    <w:multiLevelType w:val="multilevel"/>
    <w:tmpl w:val="82D46482"/>
    <w:lvl w:ilvl="0">
      <w:start w:val="2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1580AF7"/>
    <w:multiLevelType w:val="multilevel"/>
    <w:tmpl w:val="B134C7E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11AA5874"/>
    <w:multiLevelType w:val="multilevel"/>
    <w:tmpl w:val="500C67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47B6792"/>
    <w:multiLevelType w:val="multilevel"/>
    <w:tmpl w:val="45EA8CC2"/>
    <w:lvl w:ilvl="0">
      <w:start w:val="8"/>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 w15:restartNumberingAfterBreak="0">
    <w:nsid w:val="17682FF4"/>
    <w:multiLevelType w:val="multilevel"/>
    <w:tmpl w:val="CDCCA3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BA77E9D"/>
    <w:multiLevelType w:val="multilevel"/>
    <w:tmpl w:val="3D381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0353E0C"/>
    <w:multiLevelType w:val="multilevel"/>
    <w:tmpl w:val="0526BD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1CD784F"/>
    <w:multiLevelType w:val="multilevel"/>
    <w:tmpl w:val="6510747A"/>
    <w:lvl w:ilvl="0">
      <w:start w:val="2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221944A7"/>
    <w:multiLevelType w:val="multilevel"/>
    <w:tmpl w:val="E8D2561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258461DA"/>
    <w:multiLevelType w:val="multilevel"/>
    <w:tmpl w:val="730E3DD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15:restartNumberingAfterBreak="0">
    <w:nsid w:val="261E044C"/>
    <w:multiLevelType w:val="multilevel"/>
    <w:tmpl w:val="22C2CAAA"/>
    <w:lvl w:ilvl="0">
      <w:start w:val="2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2BD0122C"/>
    <w:multiLevelType w:val="multilevel"/>
    <w:tmpl w:val="CED20C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D960182"/>
    <w:multiLevelType w:val="multilevel"/>
    <w:tmpl w:val="323A5A4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FA86E81"/>
    <w:multiLevelType w:val="multilevel"/>
    <w:tmpl w:val="44A859F4"/>
    <w:lvl w:ilvl="0">
      <w:start w:val="2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0776FA3"/>
    <w:multiLevelType w:val="multilevel"/>
    <w:tmpl w:val="393E5EA8"/>
    <w:lvl w:ilvl="0">
      <w:start w:val="3"/>
      <w:numFmt w:val="bullet"/>
      <w:lvlText w:val="-"/>
      <w:lvlJc w:val="left"/>
      <w:pPr>
        <w:ind w:left="720" w:hanging="360"/>
      </w:pPr>
      <w:rPr>
        <w:rFonts w:ascii="Times New Roman" w:eastAsia="Times New Roman" w:hAnsi="Times New Roman" w:cs="Times New Roman"/>
        <w:i/>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15:restartNumberingAfterBreak="0">
    <w:nsid w:val="34863CCC"/>
    <w:multiLevelType w:val="multilevel"/>
    <w:tmpl w:val="436A8E48"/>
    <w:lvl w:ilvl="0">
      <w:start w:val="2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36B3288C"/>
    <w:multiLevelType w:val="multilevel"/>
    <w:tmpl w:val="983A90BA"/>
    <w:lvl w:ilvl="0">
      <w:start w:val="23"/>
      <w:numFmt w:val="bullet"/>
      <w:lvlText w:val="-"/>
      <w:lvlJc w:val="left"/>
      <w:pPr>
        <w:ind w:left="1540" w:hanging="360"/>
      </w:pPr>
      <w:rPr>
        <w:rFonts w:ascii="Times New Roman" w:eastAsia="Times New Roman" w:hAnsi="Times New Roman" w:cs="Times New Roman"/>
      </w:rPr>
    </w:lvl>
    <w:lvl w:ilvl="1">
      <w:start w:val="1"/>
      <w:numFmt w:val="bullet"/>
      <w:lvlText w:val="o"/>
      <w:lvlJc w:val="left"/>
      <w:pPr>
        <w:ind w:left="2260" w:hanging="360"/>
      </w:pPr>
      <w:rPr>
        <w:rFonts w:ascii="Courier New" w:eastAsia="Courier New" w:hAnsi="Courier New" w:cs="Courier New"/>
      </w:rPr>
    </w:lvl>
    <w:lvl w:ilvl="2">
      <w:start w:val="1"/>
      <w:numFmt w:val="bullet"/>
      <w:lvlText w:val="▪"/>
      <w:lvlJc w:val="left"/>
      <w:pPr>
        <w:ind w:left="2980" w:hanging="360"/>
      </w:pPr>
      <w:rPr>
        <w:rFonts w:ascii="Noto Sans Symbols" w:eastAsia="Noto Sans Symbols" w:hAnsi="Noto Sans Symbols" w:cs="Noto Sans Symbols"/>
      </w:rPr>
    </w:lvl>
    <w:lvl w:ilvl="3">
      <w:start w:val="1"/>
      <w:numFmt w:val="bullet"/>
      <w:lvlText w:val="●"/>
      <w:lvlJc w:val="left"/>
      <w:pPr>
        <w:ind w:left="3700" w:hanging="360"/>
      </w:pPr>
      <w:rPr>
        <w:rFonts w:ascii="Noto Sans Symbols" w:eastAsia="Noto Sans Symbols" w:hAnsi="Noto Sans Symbols" w:cs="Noto Sans Symbols"/>
      </w:rPr>
    </w:lvl>
    <w:lvl w:ilvl="4">
      <w:start w:val="1"/>
      <w:numFmt w:val="bullet"/>
      <w:lvlText w:val="o"/>
      <w:lvlJc w:val="left"/>
      <w:pPr>
        <w:ind w:left="4420" w:hanging="360"/>
      </w:pPr>
      <w:rPr>
        <w:rFonts w:ascii="Courier New" w:eastAsia="Courier New" w:hAnsi="Courier New" w:cs="Courier New"/>
      </w:rPr>
    </w:lvl>
    <w:lvl w:ilvl="5">
      <w:start w:val="1"/>
      <w:numFmt w:val="bullet"/>
      <w:lvlText w:val="▪"/>
      <w:lvlJc w:val="left"/>
      <w:pPr>
        <w:ind w:left="5140" w:hanging="360"/>
      </w:pPr>
      <w:rPr>
        <w:rFonts w:ascii="Noto Sans Symbols" w:eastAsia="Noto Sans Symbols" w:hAnsi="Noto Sans Symbols" w:cs="Noto Sans Symbols"/>
      </w:rPr>
    </w:lvl>
    <w:lvl w:ilvl="6">
      <w:start w:val="1"/>
      <w:numFmt w:val="bullet"/>
      <w:lvlText w:val="●"/>
      <w:lvlJc w:val="left"/>
      <w:pPr>
        <w:ind w:left="5860" w:hanging="360"/>
      </w:pPr>
      <w:rPr>
        <w:rFonts w:ascii="Noto Sans Symbols" w:eastAsia="Noto Sans Symbols" w:hAnsi="Noto Sans Symbols" w:cs="Noto Sans Symbols"/>
      </w:rPr>
    </w:lvl>
    <w:lvl w:ilvl="7">
      <w:start w:val="1"/>
      <w:numFmt w:val="bullet"/>
      <w:lvlText w:val="o"/>
      <w:lvlJc w:val="left"/>
      <w:pPr>
        <w:ind w:left="6580" w:hanging="360"/>
      </w:pPr>
      <w:rPr>
        <w:rFonts w:ascii="Courier New" w:eastAsia="Courier New" w:hAnsi="Courier New" w:cs="Courier New"/>
      </w:rPr>
    </w:lvl>
    <w:lvl w:ilvl="8">
      <w:start w:val="1"/>
      <w:numFmt w:val="bullet"/>
      <w:lvlText w:val="▪"/>
      <w:lvlJc w:val="left"/>
      <w:pPr>
        <w:ind w:left="7300" w:hanging="360"/>
      </w:pPr>
      <w:rPr>
        <w:rFonts w:ascii="Noto Sans Symbols" w:eastAsia="Noto Sans Symbols" w:hAnsi="Noto Sans Symbols" w:cs="Noto Sans Symbols"/>
      </w:rPr>
    </w:lvl>
  </w:abstractNum>
  <w:abstractNum w:abstractNumId="18" w15:restartNumberingAfterBreak="0">
    <w:nsid w:val="37B00A88"/>
    <w:multiLevelType w:val="multilevel"/>
    <w:tmpl w:val="48AA050E"/>
    <w:lvl w:ilvl="0">
      <w:start w:val="23"/>
      <w:numFmt w:val="bullet"/>
      <w:lvlText w:val="-"/>
      <w:lvlJc w:val="left"/>
      <w:pPr>
        <w:ind w:left="720" w:hanging="360"/>
      </w:pPr>
      <w:rPr>
        <w:rFonts w:ascii="Times New Roman" w:eastAsia="Times New Roman" w:hAnsi="Times New Roman" w:cs="Times New Roman"/>
      </w:rPr>
    </w:lvl>
    <w:lvl w:ilvl="1">
      <w:numFmt w:val="bullet"/>
      <w:lvlText w:val="•"/>
      <w:lvlJc w:val="left"/>
      <w:pPr>
        <w:ind w:left="1692" w:hanging="612"/>
      </w:pPr>
      <w:rPr>
        <w:rFonts w:ascii="Times New Roman" w:eastAsia="Times New Roman" w:hAnsi="Times New Roman" w:cs="Times New Roman"/>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3D896EC4"/>
    <w:multiLevelType w:val="hybridMultilevel"/>
    <w:tmpl w:val="238E697C"/>
    <w:lvl w:ilvl="0" w:tplc="CD1C4276">
      <w:start w:val="1"/>
      <w:numFmt w:val="lowerLetter"/>
      <w:lvlText w:val="%1)"/>
      <w:lvlJc w:val="left"/>
      <w:pPr>
        <w:ind w:left="899" w:hanging="360"/>
      </w:pPr>
      <w:rPr>
        <w:rFonts w:hint="default"/>
        <w:color w:val="000000"/>
      </w:rPr>
    </w:lvl>
    <w:lvl w:ilvl="1" w:tplc="04180019" w:tentative="1">
      <w:start w:val="1"/>
      <w:numFmt w:val="lowerLetter"/>
      <w:lvlText w:val="%2."/>
      <w:lvlJc w:val="left"/>
      <w:pPr>
        <w:ind w:left="1619" w:hanging="360"/>
      </w:pPr>
    </w:lvl>
    <w:lvl w:ilvl="2" w:tplc="0418001B" w:tentative="1">
      <w:start w:val="1"/>
      <w:numFmt w:val="lowerRoman"/>
      <w:lvlText w:val="%3."/>
      <w:lvlJc w:val="right"/>
      <w:pPr>
        <w:ind w:left="2339" w:hanging="180"/>
      </w:pPr>
    </w:lvl>
    <w:lvl w:ilvl="3" w:tplc="0418000F" w:tentative="1">
      <w:start w:val="1"/>
      <w:numFmt w:val="decimal"/>
      <w:lvlText w:val="%4."/>
      <w:lvlJc w:val="left"/>
      <w:pPr>
        <w:ind w:left="3059" w:hanging="360"/>
      </w:pPr>
    </w:lvl>
    <w:lvl w:ilvl="4" w:tplc="04180019" w:tentative="1">
      <w:start w:val="1"/>
      <w:numFmt w:val="lowerLetter"/>
      <w:lvlText w:val="%5."/>
      <w:lvlJc w:val="left"/>
      <w:pPr>
        <w:ind w:left="3779" w:hanging="360"/>
      </w:pPr>
    </w:lvl>
    <w:lvl w:ilvl="5" w:tplc="0418001B" w:tentative="1">
      <w:start w:val="1"/>
      <w:numFmt w:val="lowerRoman"/>
      <w:lvlText w:val="%6."/>
      <w:lvlJc w:val="right"/>
      <w:pPr>
        <w:ind w:left="4499" w:hanging="180"/>
      </w:pPr>
    </w:lvl>
    <w:lvl w:ilvl="6" w:tplc="0418000F" w:tentative="1">
      <w:start w:val="1"/>
      <w:numFmt w:val="decimal"/>
      <w:lvlText w:val="%7."/>
      <w:lvlJc w:val="left"/>
      <w:pPr>
        <w:ind w:left="5219" w:hanging="360"/>
      </w:pPr>
    </w:lvl>
    <w:lvl w:ilvl="7" w:tplc="04180019" w:tentative="1">
      <w:start w:val="1"/>
      <w:numFmt w:val="lowerLetter"/>
      <w:lvlText w:val="%8."/>
      <w:lvlJc w:val="left"/>
      <w:pPr>
        <w:ind w:left="5939" w:hanging="360"/>
      </w:pPr>
    </w:lvl>
    <w:lvl w:ilvl="8" w:tplc="0418001B" w:tentative="1">
      <w:start w:val="1"/>
      <w:numFmt w:val="lowerRoman"/>
      <w:lvlText w:val="%9."/>
      <w:lvlJc w:val="right"/>
      <w:pPr>
        <w:ind w:left="6659" w:hanging="180"/>
      </w:pPr>
    </w:lvl>
  </w:abstractNum>
  <w:abstractNum w:abstractNumId="20" w15:restartNumberingAfterBreak="0">
    <w:nsid w:val="3E237F93"/>
    <w:multiLevelType w:val="multilevel"/>
    <w:tmpl w:val="FD90139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 w15:restartNumberingAfterBreak="0">
    <w:nsid w:val="3E730B9F"/>
    <w:multiLevelType w:val="multilevel"/>
    <w:tmpl w:val="1432033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 w15:restartNumberingAfterBreak="0">
    <w:nsid w:val="3EBE508F"/>
    <w:multiLevelType w:val="multilevel"/>
    <w:tmpl w:val="655AB26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3" w15:restartNumberingAfterBreak="0">
    <w:nsid w:val="41D953B5"/>
    <w:multiLevelType w:val="multilevel"/>
    <w:tmpl w:val="0572441C"/>
    <w:lvl w:ilvl="0">
      <w:start w:val="2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42BE293F"/>
    <w:multiLevelType w:val="hybridMultilevel"/>
    <w:tmpl w:val="E0E66D5E"/>
    <w:lvl w:ilvl="0" w:tplc="7C703AB6">
      <w:start w:val="1"/>
      <w:numFmt w:val="decimal"/>
      <w:lvlText w:val="%1."/>
      <w:lvlJc w:val="left"/>
      <w:pPr>
        <w:ind w:left="899" w:hanging="360"/>
      </w:pPr>
      <w:rPr>
        <w:rFonts w:hint="default"/>
      </w:rPr>
    </w:lvl>
    <w:lvl w:ilvl="1" w:tplc="08090019">
      <w:start w:val="1"/>
      <w:numFmt w:val="lowerLetter"/>
      <w:lvlText w:val="%2."/>
      <w:lvlJc w:val="left"/>
      <w:pPr>
        <w:ind w:left="1619" w:hanging="360"/>
      </w:pPr>
    </w:lvl>
    <w:lvl w:ilvl="2" w:tplc="0809001B" w:tentative="1">
      <w:start w:val="1"/>
      <w:numFmt w:val="lowerRoman"/>
      <w:lvlText w:val="%3."/>
      <w:lvlJc w:val="right"/>
      <w:pPr>
        <w:ind w:left="2339" w:hanging="180"/>
      </w:pPr>
    </w:lvl>
    <w:lvl w:ilvl="3" w:tplc="0809000F" w:tentative="1">
      <w:start w:val="1"/>
      <w:numFmt w:val="decimal"/>
      <w:lvlText w:val="%4."/>
      <w:lvlJc w:val="left"/>
      <w:pPr>
        <w:ind w:left="3059" w:hanging="360"/>
      </w:pPr>
    </w:lvl>
    <w:lvl w:ilvl="4" w:tplc="08090019" w:tentative="1">
      <w:start w:val="1"/>
      <w:numFmt w:val="lowerLetter"/>
      <w:lvlText w:val="%5."/>
      <w:lvlJc w:val="left"/>
      <w:pPr>
        <w:ind w:left="3779" w:hanging="360"/>
      </w:pPr>
    </w:lvl>
    <w:lvl w:ilvl="5" w:tplc="0809001B" w:tentative="1">
      <w:start w:val="1"/>
      <w:numFmt w:val="lowerRoman"/>
      <w:lvlText w:val="%6."/>
      <w:lvlJc w:val="right"/>
      <w:pPr>
        <w:ind w:left="4499" w:hanging="180"/>
      </w:pPr>
    </w:lvl>
    <w:lvl w:ilvl="6" w:tplc="0809000F" w:tentative="1">
      <w:start w:val="1"/>
      <w:numFmt w:val="decimal"/>
      <w:lvlText w:val="%7."/>
      <w:lvlJc w:val="left"/>
      <w:pPr>
        <w:ind w:left="5219" w:hanging="360"/>
      </w:pPr>
    </w:lvl>
    <w:lvl w:ilvl="7" w:tplc="08090019" w:tentative="1">
      <w:start w:val="1"/>
      <w:numFmt w:val="lowerLetter"/>
      <w:lvlText w:val="%8."/>
      <w:lvlJc w:val="left"/>
      <w:pPr>
        <w:ind w:left="5939" w:hanging="360"/>
      </w:pPr>
    </w:lvl>
    <w:lvl w:ilvl="8" w:tplc="0809001B" w:tentative="1">
      <w:start w:val="1"/>
      <w:numFmt w:val="lowerRoman"/>
      <w:lvlText w:val="%9."/>
      <w:lvlJc w:val="right"/>
      <w:pPr>
        <w:ind w:left="6659" w:hanging="180"/>
      </w:pPr>
    </w:lvl>
  </w:abstractNum>
  <w:abstractNum w:abstractNumId="25" w15:restartNumberingAfterBreak="0">
    <w:nsid w:val="477640FB"/>
    <w:multiLevelType w:val="multilevel"/>
    <w:tmpl w:val="E0269932"/>
    <w:lvl w:ilvl="0">
      <w:start w:val="1"/>
      <w:numFmt w:val="decimal"/>
      <w:lvlText w:val="%1"/>
      <w:lvlJc w:val="left"/>
      <w:pPr>
        <w:ind w:left="420" w:hanging="420"/>
      </w:pPr>
      <w:rPr>
        <w:rFonts w:hint="default"/>
      </w:rPr>
    </w:lvl>
    <w:lvl w:ilvl="1">
      <w:start w:val="3"/>
      <w:numFmt w:val="decimal"/>
      <w:lvlText w:val="%1.%2"/>
      <w:lvlJc w:val="left"/>
      <w:pPr>
        <w:ind w:left="1145" w:hanging="720"/>
      </w:pPr>
      <w:rPr>
        <w:rFonts w:hint="default"/>
        <w:sz w:val="32"/>
      </w:rPr>
    </w:lvl>
    <w:lvl w:ilvl="2">
      <w:start w:val="1"/>
      <w:numFmt w:val="decimal"/>
      <w:lvlText w:val="%1.%2.%3"/>
      <w:lvlJc w:val="left"/>
      <w:pPr>
        <w:ind w:left="1570" w:hanging="72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3140" w:hanging="144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5135" w:hanging="2160"/>
      </w:pPr>
      <w:rPr>
        <w:rFonts w:hint="default"/>
      </w:rPr>
    </w:lvl>
    <w:lvl w:ilvl="8">
      <w:start w:val="1"/>
      <w:numFmt w:val="decimal"/>
      <w:lvlText w:val="%1.%2.%3.%4.%5.%6.%7.%8.%9"/>
      <w:lvlJc w:val="left"/>
      <w:pPr>
        <w:ind w:left="5560" w:hanging="2160"/>
      </w:pPr>
      <w:rPr>
        <w:rFonts w:hint="default"/>
      </w:rPr>
    </w:lvl>
  </w:abstractNum>
  <w:abstractNum w:abstractNumId="26" w15:restartNumberingAfterBreak="0">
    <w:nsid w:val="47AE167C"/>
    <w:multiLevelType w:val="multilevel"/>
    <w:tmpl w:val="B2304BA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lowerLetter"/>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7" w15:restartNumberingAfterBreak="0">
    <w:nsid w:val="4A432C7B"/>
    <w:multiLevelType w:val="multilevel"/>
    <w:tmpl w:val="26FAD302"/>
    <w:lvl w:ilvl="0">
      <w:start w:val="1"/>
      <w:numFmt w:val="decimal"/>
      <w:lvlText w:val="%1."/>
      <w:lvlJc w:val="left"/>
      <w:pPr>
        <w:ind w:left="389" w:hanging="360"/>
      </w:pPr>
      <w:rPr>
        <w:rFonts w:ascii="Cambria" w:eastAsia="Cambria" w:hAnsi="Cambria" w:cs="Cambria"/>
        <w:sz w:val="20"/>
        <w:szCs w:val="24"/>
      </w:rPr>
    </w:lvl>
    <w:lvl w:ilvl="1">
      <w:start w:val="1"/>
      <w:numFmt w:val="lowerLetter"/>
      <w:lvlText w:val="%2."/>
      <w:lvlJc w:val="left"/>
      <w:pPr>
        <w:ind w:left="1109" w:hanging="360"/>
      </w:pPr>
    </w:lvl>
    <w:lvl w:ilvl="2">
      <w:start w:val="1"/>
      <w:numFmt w:val="lowerRoman"/>
      <w:lvlText w:val="%3."/>
      <w:lvlJc w:val="right"/>
      <w:pPr>
        <w:ind w:left="1829" w:hanging="180"/>
      </w:pPr>
    </w:lvl>
    <w:lvl w:ilvl="3">
      <w:start w:val="1"/>
      <w:numFmt w:val="decimal"/>
      <w:lvlText w:val="%4."/>
      <w:lvlJc w:val="left"/>
      <w:pPr>
        <w:ind w:left="2549" w:hanging="360"/>
      </w:pPr>
    </w:lvl>
    <w:lvl w:ilvl="4">
      <w:start w:val="1"/>
      <w:numFmt w:val="lowerLetter"/>
      <w:lvlText w:val="%5."/>
      <w:lvlJc w:val="left"/>
      <w:pPr>
        <w:ind w:left="3269" w:hanging="360"/>
      </w:pPr>
    </w:lvl>
    <w:lvl w:ilvl="5">
      <w:start w:val="1"/>
      <w:numFmt w:val="lowerRoman"/>
      <w:lvlText w:val="%6."/>
      <w:lvlJc w:val="right"/>
      <w:pPr>
        <w:ind w:left="3989" w:hanging="180"/>
      </w:pPr>
    </w:lvl>
    <w:lvl w:ilvl="6">
      <w:start w:val="1"/>
      <w:numFmt w:val="decimal"/>
      <w:lvlText w:val="%7."/>
      <w:lvlJc w:val="left"/>
      <w:pPr>
        <w:ind w:left="4709" w:hanging="360"/>
      </w:pPr>
    </w:lvl>
    <w:lvl w:ilvl="7">
      <w:start w:val="1"/>
      <w:numFmt w:val="lowerLetter"/>
      <w:lvlText w:val="%8."/>
      <w:lvlJc w:val="left"/>
      <w:pPr>
        <w:ind w:left="5429" w:hanging="360"/>
      </w:pPr>
    </w:lvl>
    <w:lvl w:ilvl="8">
      <w:start w:val="1"/>
      <w:numFmt w:val="lowerRoman"/>
      <w:lvlText w:val="%9."/>
      <w:lvlJc w:val="right"/>
      <w:pPr>
        <w:ind w:left="6149" w:hanging="180"/>
      </w:pPr>
    </w:lvl>
  </w:abstractNum>
  <w:abstractNum w:abstractNumId="28" w15:restartNumberingAfterBreak="0">
    <w:nsid w:val="4B9F5B96"/>
    <w:multiLevelType w:val="multilevel"/>
    <w:tmpl w:val="95F8B49A"/>
    <w:lvl w:ilvl="0">
      <w:start w:val="1"/>
      <w:numFmt w:val="decimal"/>
      <w:lvlText w:val="%1"/>
      <w:lvlJc w:val="left"/>
      <w:pPr>
        <w:ind w:left="420" w:hanging="420"/>
      </w:pPr>
      <w:rPr>
        <w:rFonts w:hint="default"/>
      </w:rPr>
    </w:lvl>
    <w:lvl w:ilvl="1">
      <w:start w:val="4"/>
      <w:numFmt w:val="decimal"/>
      <w:lvlText w:val="%1.%2"/>
      <w:lvlJc w:val="left"/>
      <w:pPr>
        <w:ind w:left="1865" w:hanging="720"/>
      </w:pPr>
      <w:rPr>
        <w:rFonts w:hint="default"/>
      </w:rPr>
    </w:lvl>
    <w:lvl w:ilvl="2">
      <w:start w:val="1"/>
      <w:numFmt w:val="decimal"/>
      <w:lvlText w:val="%1.%2.%3"/>
      <w:lvlJc w:val="left"/>
      <w:pPr>
        <w:ind w:left="3010" w:hanging="720"/>
      </w:pPr>
      <w:rPr>
        <w:rFonts w:hint="default"/>
      </w:rPr>
    </w:lvl>
    <w:lvl w:ilvl="3">
      <w:start w:val="1"/>
      <w:numFmt w:val="decimal"/>
      <w:lvlText w:val="%1.%2.%3.%4"/>
      <w:lvlJc w:val="left"/>
      <w:pPr>
        <w:ind w:left="4515" w:hanging="1080"/>
      </w:pPr>
      <w:rPr>
        <w:rFonts w:hint="default"/>
      </w:rPr>
    </w:lvl>
    <w:lvl w:ilvl="4">
      <w:start w:val="1"/>
      <w:numFmt w:val="decimal"/>
      <w:lvlText w:val="%1.%2.%3.%4.%5"/>
      <w:lvlJc w:val="left"/>
      <w:pPr>
        <w:ind w:left="6020" w:hanging="1440"/>
      </w:pPr>
      <w:rPr>
        <w:rFonts w:hint="default"/>
      </w:rPr>
    </w:lvl>
    <w:lvl w:ilvl="5">
      <w:start w:val="1"/>
      <w:numFmt w:val="decimal"/>
      <w:lvlText w:val="%1.%2.%3.%4.%5.%6"/>
      <w:lvlJc w:val="left"/>
      <w:pPr>
        <w:ind w:left="7165" w:hanging="1440"/>
      </w:pPr>
      <w:rPr>
        <w:rFonts w:hint="default"/>
      </w:rPr>
    </w:lvl>
    <w:lvl w:ilvl="6">
      <w:start w:val="1"/>
      <w:numFmt w:val="decimal"/>
      <w:lvlText w:val="%1.%2.%3.%4.%5.%6.%7"/>
      <w:lvlJc w:val="left"/>
      <w:pPr>
        <w:ind w:left="8670" w:hanging="1800"/>
      </w:pPr>
      <w:rPr>
        <w:rFonts w:hint="default"/>
      </w:rPr>
    </w:lvl>
    <w:lvl w:ilvl="7">
      <w:start w:val="1"/>
      <w:numFmt w:val="decimal"/>
      <w:lvlText w:val="%1.%2.%3.%4.%5.%6.%7.%8"/>
      <w:lvlJc w:val="left"/>
      <w:pPr>
        <w:ind w:left="10175" w:hanging="2160"/>
      </w:pPr>
      <w:rPr>
        <w:rFonts w:hint="default"/>
      </w:rPr>
    </w:lvl>
    <w:lvl w:ilvl="8">
      <w:start w:val="1"/>
      <w:numFmt w:val="decimal"/>
      <w:lvlText w:val="%1.%2.%3.%4.%5.%6.%7.%8.%9"/>
      <w:lvlJc w:val="left"/>
      <w:pPr>
        <w:ind w:left="11320" w:hanging="2160"/>
      </w:pPr>
      <w:rPr>
        <w:rFonts w:hint="default"/>
      </w:rPr>
    </w:lvl>
  </w:abstractNum>
  <w:abstractNum w:abstractNumId="29" w15:restartNumberingAfterBreak="0">
    <w:nsid w:val="4E9E4D6E"/>
    <w:multiLevelType w:val="multilevel"/>
    <w:tmpl w:val="93687D6A"/>
    <w:lvl w:ilvl="0">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54C0096E"/>
    <w:multiLevelType w:val="multilevel"/>
    <w:tmpl w:val="E56847F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1" w15:restartNumberingAfterBreak="0">
    <w:nsid w:val="55556FD2"/>
    <w:multiLevelType w:val="multilevel"/>
    <w:tmpl w:val="3020B9CC"/>
    <w:lvl w:ilvl="0">
      <w:start w:val="23"/>
      <w:numFmt w:val="bullet"/>
      <w:lvlText w:val="-"/>
      <w:lvlJc w:val="left"/>
      <w:pPr>
        <w:ind w:left="720" w:hanging="360"/>
      </w:pPr>
      <w:rPr>
        <w:rFonts w:ascii="Times New Roman" w:eastAsia="Times New Roman" w:hAnsi="Times New Roman" w:cs="Times New Roman"/>
        <w:i/>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2" w15:restartNumberingAfterBreak="0">
    <w:nsid w:val="57CD2317"/>
    <w:multiLevelType w:val="multilevel"/>
    <w:tmpl w:val="78968F12"/>
    <w:lvl w:ilvl="0">
      <w:start w:val="2"/>
      <w:numFmt w:val="decimal"/>
      <w:lvlText w:val="%1"/>
      <w:lvlJc w:val="left"/>
      <w:pPr>
        <w:ind w:left="420" w:hanging="420"/>
      </w:pPr>
      <w:rPr>
        <w:rFonts w:hint="default"/>
      </w:rPr>
    </w:lvl>
    <w:lvl w:ilvl="1">
      <w:start w:val="1"/>
      <w:numFmt w:val="decimal"/>
      <w:lvlText w:val="%1.%2"/>
      <w:lvlJc w:val="left"/>
      <w:pPr>
        <w:ind w:left="1865" w:hanging="720"/>
      </w:pPr>
      <w:rPr>
        <w:rFonts w:hint="default"/>
      </w:rPr>
    </w:lvl>
    <w:lvl w:ilvl="2">
      <w:start w:val="1"/>
      <w:numFmt w:val="decimal"/>
      <w:lvlText w:val="%1.%2.%3"/>
      <w:lvlJc w:val="left"/>
      <w:pPr>
        <w:ind w:left="3010" w:hanging="720"/>
      </w:pPr>
      <w:rPr>
        <w:rFonts w:hint="default"/>
      </w:rPr>
    </w:lvl>
    <w:lvl w:ilvl="3">
      <w:start w:val="1"/>
      <w:numFmt w:val="decimal"/>
      <w:lvlText w:val="%1.%2.%3.%4"/>
      <w:lvlJc w:val="left"/>
      <w:pPr>
        <w:ind w:left="4515" w:hanging="1080"/>
      </w:pPr>
      <w:rPr>
        <w:rFonts w:hint="default"/>
      </w:rPr>
    </w:lvl>
    <w:lvl w:ilvl="4">
      <w:start w:val="1"/>
      <w:numFmt w:val="decimal"/>
      <w:lvlText w:val="%1.%2.%3.%4.%5"/>
      <w:lvlJc w:val="left"/>
      <w:pPr>
        <w:ind w:left="6020" w:hanging="1440"/>
      </w:pPr>
      <w:rPr>
        <w:rFonts w:hint="default"/>
      </w:rPr>
    </w:lvl>
    <w:lvl w:ilvl="5">
      <w:start w:val="1"/>
      <w:numFmt w:val="decimal"/>
      <w:lvlText w:val="%1.%2.%3.%4.%5.%6"/>
      <w:lvlJc w:val="left"/>
      <w:pPr>
        <w:ind w:left="7165" w:hanging="1440"/>
      </w:pPr>
      <w:rPr>
        <w:rFonts w:hint="default"/>
      </w:rPr>
    </w:lvl>
    <w:lvl w:ilvl="6">
      <w:start w:val="1"/>
      <w:numFmt w:val="decimal"/>
      <w:lvlText w:val="%1.%2.%3.%4.%5.%6.%7"/>
      <w:lvlJc w:val="left"/>
      <w:pPr>
        <w:ind w:left="8670" w:hanging="1800"/>
      </w:pPr>
      <w:rPr>
        <w:rFonts w:hint="default"/>
      </w:rPr>
    </w:lvl>
    <w:lvl w:ilvl="7">
      <w:start w:val="1"/>
      <w:numFmt w:val="decimal"/>
      <w:lvlText w:val="%1.%2.%3.%4.%5.%6.%7.%8"/>
      <w:lvlJc w:val="left"/>
      <w:pPr>
        <w:ind w:left="10175" w:hanging="2160"/>
      </w:pPr>
      <w:rPr>
        <w:rFonts w:hint="default"/>
      </w:rPr>
    </w:lvl>
    <w:lvl w:ilvl="8">
      <w:start w:val="1"/>
      <w:numFmt w:val="decimal"/>
      <w:lvlText w:val="%1.%2.%3.%4.%5.%6.%7.%8.%9"/>
      <w:lvlJc w:val="left"/>
      <w:pPr>
        <w:ind w:left="11320" w:hanging="2160"/>
      </w:pPr>
      <w:rPr>
        <w:rFonts w:hint="default"/>
      </w:rPr>
    </w:lvl>
  </w:abstractNum>
  <w:abstractNum w:abstractNumId="33" w15:restartNumberingAfterBreak="0">
    <w:nsid w:val="59B83CBE"/>
    <w:multiLevelType w:val="multilevel"/>
    <w:tmpl w:val="2C28425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5BCB56E2"/>
    <w:multiLevelType w:val="multilevel"/>
    <w:tmpl w:val="D4545976"/>
    <w:lvl w:ilvl="0">
      <w:start w:val="1"/>
      <w:numFmt w:val="lowerLetter"/>
      <w:lvlText w:val="%1)"/>
      <w:lvlJc w:val="left"/>
      <w:pPr>
        <w:ind w:left="927" w:hanging="360"/>
      </w:pPr>
      <w:rPr>
        <w:i/>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35" w15:restartNumberingAfterBreak="0">
    <w:nsid w:val="631C7C69"/>
    <w:multiLevelType w:val="multilevel"/>
    <w:tmpl w:val="49CA22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64DF0215"/>
    <w:multiLevelType w:val="multilevel"/>
    <w:tmpl w:val="1B66945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rFonts w:ascii="Times New Roman" w:eastAsia="Calibri" w:hAnsi="Times New Roman" w:cs="Arial"/>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15:restartNumberingAfterBreak="0">
    <w:nsid w:val="658A1DEB"/>
    <w:multiLevelType w:val="multilevel"/>
    <w:tmpl w:val="37EA8DC2"/>
    <w:lvl w:ilvl="0">
      <w:start w:val="2"/>
      <w:numFmt w:val="decimal"/>
      <w:lvlText w:val="%1"/>
      <w:lvlJc w:val="left"/>
      <w:pPr>
        <w:ind w:left="420" w:hanging="420"/>
      </w:pPr>
      <w:rPr>
        <w:rFonts w:hint="default"/>
      </w:rPr>
    </w:lvl>
    <w:lvl w:ilvl="1">
      <w:start w:val="4"/>
      <w:numFmt w:val="decimal"/>
      <w:lvlText w:val="%1.%2"/>
      <w:lvlJc w:val="left"/>
      <w:pPr>
        <w:ind w:left="1865" w:hanging="720"/>
      </w:pPr>
      <w:rPr>
        <w:rFonts w:hint="default"/>
      </w:rPr>
    </w:lvl>
    <w:lvl w:ilvl="2">
      <w:start w:val="1"/>
      <w:numFmt w:val="decimal"/>
      <w:lvlText w:val="%1.%2.%3"/>
      <w:lvlJc w:val="left"/>
      <w:pPr>
        <w:ind w:left="3010" w:hanging="720"/>
      </w:pPr>
      <w:rPr>
        <w:rFonts w:hint="default"/>
      </w:rPr>
    </w:lvl>
    <w:lvl w:ilvl="3">
      <w:start w:val="1"/>
      <w:numFmt w:val="decimal"/>
      <w:lvlText w:val="%1.%2.%3.%4"/>
      <w:lvlJc w:val="left"/>
      <w:pPr>
        <w:ind w:left="4515" w:hanging="1080"/>
      </w:pPr>
      <w:rPr>
        <w:rFonts w:hint="default"/>
      </w:rPr>
    </w:lvl>
    <w:lvl w:ilvl="4">
      <w:start w:val="1"/>
      <w:numFmt w:val="decimal"/>
      <w:lvlText w:val="%1.%2.%3.%4.%5"/>
      <w:lvlJc w:val="left"/>
      <w:pPr>
        <w:ind w:left="6020" w:hanging="1440"/>
      </w:pPr>
      <w:rPr>
        <w:rFonts w:hint="default"/>
      </w:rPr>
    </w:lvl>
    <w:lvl w:ilvl="5">
      <w:start w:val="1"/>
      <w:numFmt w:val="decimal"/>
      <w:lvlText w:val="%1.%2.%3.%4.%5.%6"/>
      <w:lvlJc w:val="left"/>
      <w:pPr>
        <w:ind w:left="7165" w:hanging="1440"/>
      </w:pPr>
      <w:rPr>
        <w:rFonts w:hint="default"/>
      </w:rPr>
    </w:lvl>
    <w:lvl w:ilvl="6">
      <w:start w:val="1"/>
      <w:numFmt w:val="decimal"/>
      <w:lvlText w:val="%1.%2.%3.%4.%5.%6.%7"/>
      <w:lvlJc w:val="left"/>
      <w:pPr>
        <w:ind w:left="8670" w:hanging="1800"/>
      </w:pPr>
      <w:rPr>
        <w:rFonts w:hint="default"/>
      </w:rPr>
    </w:lvl>
    <w:lvl w:ilvl="7">
      <w:start w:val="1"/>
      <w:numFmt w:val="decimal"/>
      <w:lvlText w:val="%1.%2.%3.%4.%5.%6.%7.%8"/>
      <w:lvlJc w:val="left"/>
      <w:pPr>
        <w:ind w:left="10175" w:hanging="2160"/>
      </w:pPr>
      <w:rPr>
        <w:rFonts w:hint="default"/>
      </w:rPr>
    </w:lvl>
    <w:lvl w:ilvl="8">
      <w:start w:val="1"/>
      <w:numFmt w:val="decimal"/>
      <w:lvlText w:val="%1.%2.%3.%4.%5.%6.%7.%8.%9"/>
      <w:lvlJc w:val="left"/>
      <w:pPr>
        <w:ind w:left="11320" w:hanging="2160"/>
      </w:pPr>
      <w:rPr>
        <w:rFonts w:hint="default"/>
      </w:rPr>
    </w:lvl>
  </w:abstractNum>
  <w:abstractNum w:abstractNumId="38" w15:restartNumberingAfterBreak="0">
    <w:nsid w:val="669C2B0C"/>
    <w:multiLevelType w:val="multilevel"/>
    <w:tmpl w:val="621653FE"/>
    <w:lvl w:ilvl="0">
      <w:start w:val="1"/>
      <w:numFmt w:val="bullet"/>
      <w:lvlText w:val="●"/>
      <w:lvlJc w:val="left"/>
      <w:pPr>
        <w:ind w:left="1260" w:hanging="360"/>
      </w:pPr>
      <w:rPr>
        <w:rFonts w:ascii="Noto Sans Symbols" w:eastAsia="Noto Sans Symbols" w:hAnsi="Noto Sans Symbols" w:cs="Noto Sans Symbols"/>
      </w:rPr>
    </w:lvl>
    <w:lvl w:ilvl="1">
      <w:start w:val="1"/>
      <w:numFmt w:val="bullet"/>
      <w:lvlText w:val="o"/>
      <w:lvlJc w:val="left"/>
      <w:pPr>
        <w:ind w:left="1980" w:hanging="360"/>
      </w:pPr>
      <w:rPr>
        <w:rFonts w:ascii="Courier New" w:eastAsia="Courier New" w:hAnsi="Courier New" w:cs="Courier New"/>
      </w:rPr>
    </w:lvl>
    <w:lvl w:ilvl="2">
      <w:start w:val="1"/>
      <w:numFmt w:val="bullet"/>
      <w:lvlText w:val="▪"/>
      <w:lvlJc w:val="left"/>
      <w:pPr>
        <w:ind w:left="2700" w:hanging="360"/>
      </w:pPr>
      <w:rPr>
        <w:rFonts w:ascii="Noto Sans Symbols" w:eastAsia="Noto Sans Symbols" w:hAnsi="Noto Sans Symbols" w:cs="Noto Sans Symbols"/>
      </w:rPr>
    </w:lvl>
    <w:lvl w:ilvl="3">
      <w:start w:val="1"/>
      <w:numFmt w:val="bullet"/>
      <w:lvlText w:val="●"/>
      <w:lvlJc w:val="left"/>
      <w:pPr>
        <w:ind w:left="3420" w:hanging="360"/>
      </w:pPr>
      <w:rPr>
        <w:rFonts w:ascii="Noto Sans Symbols" w:eastAsia="Noto Sans Symbols" w:hAnsi="Noto Sans Symbols" w:cs="Noto Sans Symbols"/>
      </w:rPr>
    </w:lvl>
    <w:lvl w:ilvl="4">
      <w:start w:val="1"/>
      <w:numFmt w:val="bullet"/>
      <w:lvlText w:val="o"/>
      <w:lvlJc w:val="left"/>
      <w:pPr>
        <w:ind w:left="4140" w:hanging="360"/>
      </w:pPr>
      <w:rPr>
        <w:rFonts w:ascii="Courier New" w:eastAsia="Courier New" w:hAnsi="Courier New" w:cs="Courier New"/>
      </w:rPr>
    </w:lvl>
    <w:lvl w:ilvl="5">
      <w:start w:val="1"/>
      <w:numFmt w:val="bullet"/>
      <w:lvlText w:val="▪"/>
      <w:lvlJc w:val="left"/>
      <w:pPr>
        <w:ind w:left="4860" w:hanging="360"/>
      </w:pPr>
      <w:rPr>
        <w:rFonts w:ascii="Noto Sans Symbols" w:eastAsia="Noto Sans Symbols" w:hAnsi="Noto Sans Symbols" w:cs="Noto Sans Symbols"/>
      </w:rPr>
    </w:lvl>
    <w:lvl w:ilvl="6">
      <w:start w:val="1"/>
      <w:numFmt w:val="bullet"/>
      <w:lvlText w:val="●"/>
      <w:lvlJc w:val="left"/>
      <w:pPr>
        <w:ind w:left="5580" w:hanging="360"/>
      </w:pPr>
      <w:rPr>
        <w:rFonts w:ascii="Noto Sans Symbols" w:eastAsia="Noto Sans Symbols" w:hAnsi="Noto Sans Symbols" w:cs="Noto Sans Symbols"/>
      </w:rPr>
    </w:lvl>
    <w:lvl w:ilvl="7">
      <w:start w:val="1"/>
      <w:numFmt w:val="bullet"/>
      <w:lvlText w:val="o"/>
      <w:lvlJc w:val="left"/>
      <w:pPr>
        <w:ind w:left="6300" w:hanging="360"/>
      </w:pPr>
      <w:rPr>
        <w:rFonts w:ascii="Courier New" w:eastAsia="Courier New" w:hAnsi="Courier New" w:cs="Courier New"/>
      </w:rPr>
    </w:lvl>
    <w:lvl w:ilvl="8">
      <w:start w:val="1"/>
      <w:numFmt w:val="bullet"/>
      <w:lvlText w:val="▪"/>
      <w:lvlJc w:val="left"/>
      <w:pPr>
        <w:ind w:left="7020" w:hanging="360"/>
      </w:pPr>
      <w:rPr>
        <w:rFonts w:ascii="Noto Sans Symbols" w:eastAsia="Noto Sans Symbols" w:hAnsi="Noto Sans Symbols" w:cs="Noto Sans Symbols"/>
      </w:rPr>
    </w:lvl>
  </w:abstractNum>
  <w:abstractNum w:abstractNumId="39" w15:restartNumberingAfterBreak="0">
    <w:nsid w:val="69EA1339"/>
    <w:multiLevelType w:val="multilevel"/>
    <w:tmpl w:val="27D6B6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6A3F42AA"/>
    <w:multiLevelType w:val="multilevel"/>
    <w:tmpl w:val="1B66945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rFonts w:ascii="Times New Roman" w:eastAsia="Calibri" w:hAnsi="Times New Roman" w:cs="Arial"/>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15:restartNumberingAfterBreak="0">
    <w:nsid w:val="6DB62E1B"/>
    <w:multiLevelType w:val="multilevel"/>
    <w:tmpl w:val="DB447D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7300189D"/>
    <w:multiLevelType w:val="multilevel"/>
    <w:tmpl w:val="CA1AEA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73B95D49"/>
    <w:multiLevelType w:val="multilevel"/>
    <w:tmpl w:val="1A30E89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4" w15:restartNumberingAfterBreak="0">
    <w:nsid w:val="74E66DDD"/>
    <w:multiLevelType w:val="multilevel"/>
    <w:tmpl w:val="30047344"/>
    <w:lvl w:ilvl="0">
      <w:start w:val="1"/>
      <w:numFmt w:val="decimal"/>
      <w:lvlText w:val="%1"/>
      <w:lvlJc w:val="left"/>
      <w:pPr>
        <w:ind w:left="588" w:hanging="588"/>
      </w:pPr>
      <w:rPr>
        <w:rFonts w:hint="default"/>
      </w:rPr>
    </w:lvl>
    <w:lvl w:ilvl="1">
      <w:start w:val="1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5" w15:restartNumberingAfterBreak="0">
    <w:nsid w:val="75AC0ADE"/>
    <w:multiLevelType w:val="hybridMultilevel"/>
    <w:tmpl w:val="2B1AD2F6"/>
    <w:lvl w:ilvl="0" w:tplc="04180001">
      <w:start w:val="1"/>
      <w:numFmt w:val="bullet"/>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46" w15:restartNumberingAfterBreak="0">
    <w:nsid w:val="75EE6DA7"/>
    <w:multiLevelType w:val="multilevel"/>
    <w:tmpl w:val="F1C6E93C"/>
    <w:lvl w:ilvl="0">
      <w:start w:val="23"/>
      <w:numFmt w:val="bullet"/>
      <w:lvlText w:val="-"/>
      <w:lvlJc w:val="left"/>
      <w:pPr>
        <w:ind w:left="1080" w:hanging="360"/>
      </w:pPr>
      <w:rPr>
        <w:rFonts w:ascii="Times New Roman" w:eastAsia="Times New Roman" w:hAnsi="Times New Roman" w:cs="Times New Roman"/>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7" w15:restartNumberingAfterBreak="0">
    <w:nsid w:val="7B466D00"/>
    <w:multiLevelType w:val="multilevel"/>
    <w:tmpl w:val="ECF4F12C"/>
    <w:lvl w:ilvl="0">
      <w:start w:val="23"/>
      <w:numFmt w:val="bullet"/>
      <w:lvlText w:val="-"/>
      <w:lvlJc w:val="left"/>
      <w:pPr>
        <w:ind w:left="1080" w:hanging="360"/>
      </w:pPr>
      <w:rPr>
        <w:rFonts w:ascii="Times New Roman" w:eastAsia="Times New Roman" w:hAnsi="Times New Roman" w:cs="Times New Roman"/>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8" w15:restartNumberingAfterBreak="0">
    <w:nsid w:val="7EDC15C8"/>
    <w:multiLevelType w:val="multilevel"/>
    <w:tmpl w:val="3BAA6D7C"/>
    <w:lvl w:ilvl="0">
      <w:start w:val="1"/>
      <w:numFmt w:val="decimal"/>
      <w:lvlText w:val="%1."/>
      <w:lvlJc w:val="left"/>
      <w:pPr>
        <w:ind w:left="899" w:hanging="360"/>
      </w:pPr>
      <w:rPr>
        <w:rFonts w:hint="default"/>
      </w:rPr>
    </w:lvl>
    <w:lvl w:ilvl="1">
      <w:start w:val="1"/>
      <w:numFmt w:val="decimal"/>
      <w:isLgl/>
      <w:lvlText w:val="%1.%2"/>
      <w:lvlJc w:val="left"/>
      <w:pPr>
        <w:ind w:left="1259" w:hanging="720"/>
      </w:pPr>
      <w:rPr>
        <w:rFonts w:hint="default"/>
      </w:rPr>
    </w:lvl>
    <w:lvl w:ilvl="2">
      <w:start w:val="1"/>
      <w:numFmt w:val="decimal"/>
      <w:isLgl/>
      <w:lvlText w:val="%1.%2.%3"/>
      <w:lvlJc w:val="left"/>
      <w:pPr>
        <w:ind w:left="1259" w:hanging="720"/>
      </w:pPr>
      <w:rPr>
        <w:rFonts w:hint="default"/>
      </w:rPr>
    </w:lvl>
    <w:lvl w:ilvl="3">
      <w:start w:val="1"/>
      <w:numFmt w:val="decimal"/>
      <w:isLgl/>
      <w:lvlText w:val="%1.%2.%3.%4"/>
      <w:lvlJc w:val="left"/>
      <w:pPr>
        <w:ind w:left="1619" w:hanging="1080"/>
      </w:pPr>
      <w:rPr>
        <w:rFonts w:hint="default"/>
      </w:rPr>
    </w:lvl>
    <w:lvl w:ilvl="4">
      <w:start w:val="1"/>
      <w:numFmt w:val="decimal"/>
      <w:isLgl/>
      <w:lvlText w:val="%1.%2.%3.%4.%5"/>
      <w:lvlJc w:val="left"/>
      <w:pPr>
        <w:ind w:left="1979" w:hanging="1440"/>
      </w:pPr>
      <w:rPr>
        <w:rFonts w:hint="default"/>
      </w:rPr>
    </w:lvl>
    <w:lvl w:ilvl="5">
      <w:start w:val="1"/>
      <w:numFmt w:val="decimal"/>
      <w:isLgl/>
      <w:lvlText w:val="%1.%2.%3.%4.%5.%6"/>
      <w:lvlJc w:val="left"/>
      <w:pPr>
        <w:ind w:left="1979" w:hanging="1440"/>
      </w:pPr>
      <w:rPr>
        <w:rFonts w:hint="default"/>
      </w:rPr>
    </w:lvl>
    <w:lvl w:ilvl="6">
      <w:start w:val="1"/>
      <w:numFmt w:val="decimal"/>
      <w:isLgl/>
      <w:lvlText w:val="%1.%2.%3.%4.%5.%6.%7"/>
      <w:lvlJc w:val="left"/>
      <w:pPr>
        <w:ind w:left="2339" w:hanging="1800"/>
      </w:pPr>
      <w:rPr>
        <w:rFonts w:hint="default"/>
      </w:rPr>
    </w:lvl>
    <w:lvl w:ilvl="7">
      <w:start w:val="1"/>
      <w:numFmt w:val="decimal"/>
      <w:isLgl/>
      <w:lvlText w:val="%1.%2.%3.%4.%5.%6.%7.%8"/>
      <w:lvlJc w:val="left"/>
      <w:pPr>
        <w:ind w:left="2699" w:hanging="2160"/>
      </w:pPr>
      <w:rPr>
        <w:rFonts w:hint="default"/>
      </w:rPr>
    </w:lvl>
    <w:lvl w:ilvl="8">
      <w:start w:val="1"/>
      <w:numFmt w:val="decimal"/>
      <w:isLgl/>
      <w:lvlText w:val="%1.%2.%3.%4.%5.%6.%7.%8.%9"/>
      <w:lvlJc w:val="left"/>
      <w:pPr>
        <w:ind w:left="2699" w:hanging="2160"/>
      </w:pPr>
      <w:rPr>
        <w:rFonts w:hint="default"/>
      </w:rPr>
    </w:lvl>
  </w:abstractNum>
  <w:abstractNum w:abstractNumId="49" w15:restartNumberingAfterBreak="0">
    <w:nsid w:val="7F1A500D"/>
    <w:multiLevelType w:val="multilevel"/>
    <w:tmpl w:val="6F44E694"/>
    <w:lvl w:ilvl="0">
      <w:start w:val="1"/>
      <w:numFmt w:val="bullet"/>
      <w:lvlText w:val="●"/>
      <w:lvlJc w:val="left"/>
      <w:pPr>
        <w:ind w:left="1287" w:hanging="360"/>
      </w:pPr>
      <w:rPr>
        <w:rFonts w:ascii="Noto Sans Symbols" w:eastAsia="Noto Sans Symbols" w:hAnsi="Noto Sans Symbols" w:cs="Noto Sans Symbols"/>
        <w:sz w:val="14"/>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num w:numId="1" w16cid:durableId="1987663767">
    <w:abstractNumId w:val="42"/>
  </w:num>
  <w:num w:numId="2" w16cid:durableId="445275079">
    <w:abstractNumId w:val="39"/>
  </w:num>
  <w:num w:numId="3" w16cid:durableId="1996490210">
    <w:abstractNumId w:val="40"/>
  </w:num>
  <w:num w:numId="4" w16cid:durableId="238758205">
    <w:abstractNumId w:val="6"/>
  </w:num>
  <w:num w:numId="5" w16cid:durableId="409665884">
    <w:abstractNumId w:val="49"/>
  </w:num>
  <w:num w:numId="6" w16cid:durableId="876283207">
    <w:abstractNumId w:val="29"/>
  </w:num>
  <w:num w:numId="7" w16cid:durableId="771632326">
    <w:abstractNumId w:val="47"/>
  </w:num>
  <w:num w:numId="8" w16cid:durableId="2049598911">
    <w:abstractNumId w:val="41"/>
  </w:num>
  <w:num w:numId="9" w16cid:durableId="1604875720">
    <w:abstractNumId w:val="3"/>
  </w:num>
  <w:num w:numId="10" w16cid:durableId="1304231978">
    <w:abstractNumId w:val="35"/>
  </w:num>
  <w:num w:numId="11" w16cid:durableId="531459245">
    <w:abstractNumId w:val="7"/>
  </w:num>
  <w:num w:numId="12" w16cid:durableId="2088454040">
    <w:abstractNumId w:val="5"/>
  </w:num>
  <w:num w:numId="13" w16cid:durableId="1481190912">
    <w:abstractNumId w:val="24"/>
  </w:num>
  <w:num w:numId="14" w16cid:durableId="1432504601">
    <w:abstractNumId w:val="48"/>
  </w:num>
  <w:num w:numId="15" w16cid:durableId="10500386">
    <w:abstractNumId w:val="25"/>
  </w:num>
  <w:num w:numId="16" w16cid:durableId="1566404919">
    <w:abstractNumId w:val="44"/>
  </w:num>
  <w:num w:numId="17" w16cid:durableId="1518813965">
    <w:abstractNumId w:val="45"/>
  </w:num>
  <w:num w:numId="18" w16cid:durableId="1663199775">
    <w:abstractNumId w:val="38"/>
  </w:num>
  <w:num w:numId="19" w16cid:durableId="1072238717">
    <w:abstractNumId w:val="12"/>
  </w:num>
  <w:num w:numId="20" w16cid:durableId="31419962">
    <w:abstractNumId w:val="4"/>
  </w:num>
  <w:num w:numId="21" w16cid:durableId="1017925036">
    <w:abstractNumId w:val="27"/>
  </w:num>
  <w:num w:numId="22" w16cid:durableId="1684549023">
    <w:abstractNumId w:val="26"/>
  </w:num>
  <w:num w:numId="23" w16cid:durableId="920329523">
    <w:abstractNumId w:val="19"/>
  </w:num>
  <w:num w:numId="24" w16cid:durableId="1978367975">
    <w:abstractNumId w:val="43"/>
  </w:num>
  <w:num w:numId="25" w16cid:durableId="1490096282">
    <w:abstractNumId w:val="46"/>
  </w:num>
  <w:num w:numId="26" w16cid:durableId="1756052072">
    <w:abstractNumId w:val="2"/>
  </w:num>
  <w:num w:numId="27" w16cid:durableId="1773162052">
    <w:abstractNumId w:val="9"/>
  </w:num>
  <w:num w:numId="28" w16cid:durableId="1743675641">
    <w:abstractNumId w:val="22"/>
  </w:num>
  <w:num w:numId="29" w16cid:durableId="501243613">
    <w:abstractNumId w:val="15"/>
  </w:num>
  <w:num w:numId="30" w16cid:durableId="1595817874">
    <w:abstractNumId w:val="31"/>
  </w:num>
  <w:num w:numId="31" w16cid:durableId="528103911">
    <w:abstractNumId w:val="18"/>
  </w:num>
  <w:num w:numId="32" w16cid:durableId="733353735">
    <w:abstractNumId w:val="11"/>
  </w:num>
  <w:num w:numId="33" w16cid:durableId="2141879344">
    <w:abstractNumId w:val="23"/>
  </w:num>
  <w:num w:numId="34" w16cid:durableId="748037641">
    <w:abstractNumId w:val="21"/>
  </w:num>
  <w:num w:numId="35" w16cid:durableId="236525089">
    <w:abstractNumId w:val="30"/>
  </w:num>
  <w:num w:numId="36" w16cid:durableId="1214150784">
    <w:abstractNumId w:val="13"/>
  </w:num>
  <w:num w:numId="37" w16cid:durableId="971905230">
    <w:abstractNumId w:val="33"/>
  </w:num>
  <w:num w:numId="38" w16cid:durableId="1304236447">
    <w:abstractNumId w:val="16"/>
  </w:num>
  <w:num w:numId="39" w16cid:durableId="1851217042">
    <w:abstractNumId w:val="34"/>
  </w:num>
  <w:num w:numId="40" w16cid:durableId="140124472">
    <w:abstractNumId w:val="8"/>
  </w:num>
  <w:num w:numId="41" w16cid:durableId="382213848">
    <w:abstractNumId w:val="1"/>
  </w:num>
  <w:num w:numId="42" w16cid:durableId="1496337902">
    <w:abstractNumId w:val="17"/>
  </w:num>
  <w:num w:numId="43" w16cid:durableId="892960121">
    <w:abstractNumId w:val="20"/>
  </w:num>
  <w:num w:numId="44" w16cid:durableId="2070834916">
    <w:abstractNumId w:val="0"/>
  </w:num>
  <w:num w:numId="45" w16cid:durableId="385033743">
    <w:abstractNumId w:val="14"/>
  </w:num>
  <w:num w:numId="46" w16cid:durableId="1347946118">
    <w:abstractNumId w:val="10"/>
  </w:num>
  <w:num w:numId="47" w16cid:durableId="1556233033">
    <w:abstractNumId w:val="36"/>
  </w:num>
  <w:num w:numId="48" w16cid:durableId="1331789062">
    <w:abstractNumId w:val="28"/>
  </w:num>
  <w:num w:numId="49" w16cid:durableId="211695751">
    <w:abstractNumId w:val="32"/>
  </w:num>
  <w:num w:numId="50" w16cid:durableId="1537428160">
    <w:abstractNumId w:val="3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6638"/>
    <w:rsid w:val="00001E02"/>
    <w:rsid w:val="00007154"/>
    <w:rsid w:val="00010974"/>
    <w:rsid w:val="00013011"/>
    <w:rsid w:val="00013EC2"/>
    <w:rsid w:val="00016CB9"/>
    <w:rsid w:val="00024137"/>
    <w:rsid w:val="00027E35"/>
    <w:rsid w:val="000335D2"/>
    <w:rsid w:val="00034CEC"/>
    <w:rsid w:val="000378CB"/>
    <w:rsid w:val="00041691"/>
    <w:rsid w:val="00050C51"/>
    <w:rsid w:val="00051432"/>
    <w:rsid w:val="00052771"/>
    <w:rsid w:val="00052A86"/>
    <w:rsid w:val="000534FA"/>
    <w:rsid w:val="00056FC5"/>
    <w:rsid w:val="00060A0E"/>
    <w:rsid w:val="0006143D"/>
    <w:rsid w:val="00066C6D"/>
    <w:rsid w:val="00074D16"/>
    <w:rsid w:val="0008239F"/>
    <w:rsid w:val="00087C42"/>
    <w:rsid w:val="00092B2F"/>
    <w:rsid w:val="00095BB1"/>
    <w:rsid w:val="0009746A"/>
    <w:rsid w:val="000B2AA2"/>
    <w:rsid w:val="000C098F"/>
    <w:rsid w:val="000C32AB"/>
    <w:rsid w:val="000C44BD"/>
    <w:rsid w:val="000C5D1C"/>
    <w:rsid w:val="000D0B2D"/>
    <w:rsid w:val="000D6529"/>
    <w:rsid w:val="000D6D88"/>
    <w:rsid w:val="000F270C"/>
    <w:rsid w:val="00100994"/>
    <w:rsid w:val="00106933"/>
    <w:rsid w:val="001123DD"/>
    <w:rsid w:val="00112D50"/>
    <w:rsid w:val="0011494B"/>
    <w:rsid w:val="00117E56"/>
    <w:rsid w:val="0012434A"/>
    <w:rsid w:val="00125A71"/>
    <w:rsid w:val="001311DD"/>
    <w:rsid w:val="00132574"/>
    <w:rsid w:val="00135D14"/>
    <w:rsid w:val="00136778"/>
    <w:rsid w:val="0014020C"/>
    <w:rsid w:val="00140485"/>
    <w:rsid w:val="0014137D"/>
    <w:rsid w:val="001549B6"/>
    <w:rsid w:val="00154C5C"/>
    <w:rsid w:val="00162248"/>
    <w:rsid w:val="001653E1"/>
    <w:rsid w:val="00171885"/>
    <w:rsid w:val="00191381"/>
    <w:rsid w:val="00192A03"/>
    <w:rsid w:val="001A0EE4"/>
    <w:rsid w:val="001B0168"/>
    <w:rsid w:val="001B3314"/>
    <w:rsid w:val="001B3C22"/>
    <w:rsid w:val="001C21AA"/>
    <w:rsid w:val="001C508B"/>
    <w:rsid w:val="001D125F"/>
    <w:rsid w:val="001D65A2"/>
    <w:rsid w:val="001E1A23"/>
    <w:rsid w:val="001E1E15"/>
    <w:rsid w:val="001E5B27"/>
    <w:rsid w:val="001F2008"/>
    <w:rsid w:val="002036BB"/>
    <w:rsid w:val="0020597F"/>
    <w:rsid w:val="00211010"/>
    <w:rsid w:val="00214619"/>
    <w:rsid w:val="00222029"/>
    <w:rsid w:val="0022294B"/>
    <w:rsid w:val="00226941"/>
    <w:rsid w:val="002321FF"/>
    <w:rsid w:val="0023272E"/>
    <w:rsid w:val="00233577"/>
    <w:rsid w:val="002353A9"/>
    <w:rsid w:val="0023589D"/>
    <w:rsid w:val="00237198"/>
    <w:rsid w:val="00241175"/>
    <w:rsid w:val="00242EFF"/>
    <w:rsid w:val="0024691C"/>
    <w:rsid w:val="002508D3"/>
    <w:rsid w:val="00255C65"/>
    <w:rsid w:val="0026102B"/>
    <w:rsid w:val="00261A5C"/>
    <w:rsid w:val="00261C05"/>
    <w:rsid w:val="0026266A"/>
    <w:rsid w:val="00267B54"/>
    <w:rsid w:val="00275313"/>
    <w:rsid w:val="002839A5"/>
    <w:rsid w:val="00291EF6"/>
    <w:rsid w:val="00291FE2"/>
    <w:rsid w:val="002964FB"/>
    <w:rsid w:val="002971E9"/>
    <w:rsid w:val="002A4827"/>
    <w:rsid w:val="002A6EF2"/>
    <w:rsid w:val="002B7B18"/>
    <w:rsid w:val="002C2FBB"/>
    <w:rsid w:val="002C45E0"/>
    <w:rsid w:val="002C4746"/>
    <w:rsid w:val="002C49F6"/>
    <w:rsid w:val="002D5ABC"/>
    <w:rsid w:val="002D741B"/>
    <w:rsid w:val="002E22F8"/>
    <w:rsid w:val="002F2A9E"/>
    <w:rsid w:val="002F49E8"/>
    <w:rsid w:val="003007AB"/>
    <w:rsid w:val="00301621"/>
    <w:rsid w:val="003110B5"/>
    <w:rsid w:val="00314C19"/>
    <w:rsid w:val="00315099"/>
    <w:rsid w:val="00315526"/>
    <w:rsid w:val="00321E02"/>
    <w:rsid w:val="00326FE9"/>
    <w:rsid w:val="0033469D"/>
    <w:rsid w:val="003400B0"/>
    <w:rsid w:val="003424CA"/>
    <w:rsid w:val="00342C71"/>
    <w:rsid w:val="00344FCE"/>
    <w:rsid w:val="00345224"/>
    <w:rsid w:val="00347F0F"/>
    <w:rsid w:val="00351672"/>
    <w:rsid w:val="00364D2F"/>
    <w:rsid w:val="00366C49"/>
    <w:rsid w:val="0036759A"/>
    <w:rsid w:val="003713B6"/>
    <w:rsid w:val="00375571"/>
    <w:rsid w:val="0039799F"/>
    <w:rsid w:val="003A275B"/>
    <w:rsid w:val="003A43C6"/>
    <w:rsid w:val="003A6C11"/>
    <w:rsid w:val="003B5A00"/>
    <w:rsid w:val="003B5B5D"/>
    <w:rsid w:val="003C2C56"/>
    <w:rsid w:val="003C4FA1"/>
    <w:rsid w:val="003C6266"/>
    <w:rsid w:val="003C6AA7"/>
    <w:rsid w:val="003C6AFF"/>
    <w:rsid w:val="003D61C0"/>
    <w:rsid w:val="003D7338"/>
    <w:rsid w:val="003F050A"/>
    <w:rsid w:val="003F115C"/>
    <w:rsid w:val="003F6A3A"/>
    <w:rsid w:val="003F7F0A"/>
    <w:rsid w:val="0041175B"/>
    <w:rsid w:val="00416010"/>
    <w:rsid w:val="00420D73"/>
    <w:rsid w:val="0043185E"/>
    <w:rsid w:val="00434567"/>
    <w:rsid w:val="00440916"/>
    <w:rsid w:val="00445E91"/>
    <w:rsid w:val="004511BA"/>
    <w:rsid w:val="004522D1"/>
    <w:rsid w:val="004530FB"/>
    <w:rsid w:val="004546A6"/>
    <w:rsid w:val="004601EC"/>
    <w:rsid w:val="00461BDB"/>
    <w:rsid w:val="00462C97"/>
    <w:rsid w:val="00464327"/>
    <w:rsid w:val="00473248"/>
    <w:rsid w:val="00473DD2"/>
    <w:rsid w:val="00474680"/>
    <w:rsid w:val="00476A41"/>
    <w:rsid w:val="00476E44"/>
    <w:rsid w:val="00480F76"/>
    <w:rsid w:val="00481B0D"/>
    <w:rsid w:val="00482BF0"/>
    <w:rsid w:val="004835E1"/>
    <w:rsid w:val="00490FC7"/>
    <w:rsid w:val="0049101B"/>
    <w:rsid w:val="00492B89"/>
    <w:rsid w:val="00492CD1"/>
    <w:rsid w:val="00494139"/>
    <w:rsid w:val="00496AF1"/>
    <w:rsid w:val="004A46B7"/>
    <w:rsid w:val="004A55F6"/>
    <w:rsid w:val="004B27B1"/>
    <w:rsid w:val="004B542A"/>
    <w:rsid w:val="004B75F8"/>
    <w:rsid w:val="004C1B21"/>
    <w:rsid w:val="004C6D32"/>
    <w:rsid w:val="004E00BE"/>
    <w:rsid w:val="004E291A"/>
    <w:rsid w:val="004E36A0"/>
    <w:rsid w:val="004E4946"/>
    <w:rsid w:val="004E5616"/>
    <w:rsid w:val="004F2702"/>
    <w:rsid w:val="004F3BB9"/>
    <w:rsid w:val="004F3DA1"/>
    <w:rsid w:val="004F6243"/>
    <w:rsid w:val="004F6ACF"/>
    <w:rsid w:val="005027A7"/>
    <w:rsid w:val="005059C7"/>
    <w:rsid w:val="00505B1F"/>
    <w:rsid w:val="00511E65"/>
    <w:rsid w:val="005141E5"/>
    <w:rsid w:val="0052530A"/>
    <w:rsid w:val="00526648"/>
    <w:rsid w:val="00541D36"/>
    <w:rsid w:val="005469AB"/>
    <w:rsid w:val="0055474F"/>
    <w:rsid w:val="00561DE3"/>
    <w:rsid w:val="00562254"/>
    <w:rsid w:val="00563FA0"/>
    <w:rsid w:val="00580BB4"/>
    <w:rsid w:val="00583732"/>
    <w:rsid w:val="00586F10"/>
    <w:rsid w:val="00586F92"/>
    <w:rsid w:val="00593155"/>
    <w:rsid w:val="00593253"/>
    <w:rsid w:val="005974AD"/>
    <w:rsid w:val="005A0D24"/>
    <w:rsid w:val="005A0EEA"/>
    <w:rsid w:val="005A61AD"/>
    <w:rsid w:val="005C136E"/>
    <w:rsid w:val="005C2D25"/>
    <w:rsid w:val="005C5E0C"/>
    <w:rsid w:val="005C75D0"/>
    <w:rsid w:val="005D2CE5"/>
    <w:rsid w:val="005D522F"/>
    <w:rsid w:val="005E6693"/>
    <w:rsid w:val="005E7221"/>
    <w:rsid w:val="005F02C6"/>
    <w:rsid w:val="005F0D27"/>
    <w:rsid w:val="005F107F"/>
    <w:rsid w:val="005F20D4"/>
    <w:rsid w:val="005F340D"/>
    <w:rsid w:val="005F6F2D"/>
    <w:rsid w:val="005F71BA"/>
    <w:rsid w:val="0060228C"/>
    <w:rsid w:val="0060630F"/>
    <w:rsid w:val="00606638"/>
    <w:rsid w:val="0060794F"/>
    <w:rsid w:val="006114E6"/>
    <w:rsid w:val="00611D87"/>
    <w:rsid w:val="0062336B"/>
    <w:rsid w:val="0062370D"/>
    <w:rsid w:val="006377CA"/>
    <w:rsid w:val="00643297"/>
    <w:rsid w:val="00652716"/>
    <w:rsid w:val="00652814"/>
    <w:rsid w:val="006617F2"/>
    <w:rsid w:val="006628D5"/>
    <w:rsid w:val="00670702"/>
    <w:rsid w:val="00681F0D"/>
    <w:rsid w:val="006830B6"/>
    <w:rsid w:val="0068369C"/>
    <w:rsid w:val="006874A4"/>
    <w:rsid w:val="00687CB3"/>
    <w:rsid w:val="00691DD5"/>
    <w:rsid w:val="006925B9"/>
    <w:rsid w:val="00693A40"/>
    <w:rsid w:val="00693FCF"/>
    <w:rsid w:val="006961C1"/>
    <w:rsid w:val="00697E4D"/>
    <w:rsid w:val="006A2AE1"/>
    <w:rsid w:val="006A62A8"/>
    <w:rsid w:val="006A6B47"/>
    <w:rsid w:val="006B6C6E"/>
    <w:rsid w:val="006D2158"/>
    <w:rsid w:val="006D21A3"/>
    <w:rsid w:val="006D389E"/>
    <w:rsid w:val="006D77FE"/>
    <w:rsid w:val="006E162C"/>
    <w:rsid w:val="006E6453"/>
    <w:rsid w:val="006F2737"/>
    <w:rsid w:val="006F2C57"/>
    <w:rsid w:val="006F2F4A"/>
    <w:rsid w:val="006F7E2B"/>
    <w:rsid w:val="00702E4F"/>
    <w:rsid w:val="00703858"/>
    <w:rsid w:val="00710010"/>
    <w:rsid w:val="007147D9"/>
    <w:rsid w:val="007201F8"/>
    <w:rsid w:val="00722C05"/>
    <w:rsid w:val="00723B7A"/>
    <w:rsid w:val="007323A1"/>
    <w:rsid w:val="00733C28"/>
    <w:rsid w:val="00750F33"/>
    <w:rsid w:val="00763081"/>
    <w:rsid w:val="00765215"/>
    <w:rsid w:val="00767797"/>
    <w:rsid w:val="00772256"/>
    <w:rsid w:val="00786256"/>
    <w:rsid w:val="00787B1D"/>
    <w:rsid w:val="00787B4D"/>
    <w:rsid w:val="00792C86"/>
    <w:rsid w:val="0079742D"/>
    <w:rsid w:val="007A0441"/>
    <w:rsid w:val="007A18FA"/>
    <w:rsid w:val="007A4B25"/>
    <w:rsid w:val="007A516A"/>
    <w:rsid w:val="007A54E3"/>
    <w:rsid w:val="007A5CD9"/>
    <w:rsid w:val="007B156E"/>
    <w:rsid w:val="007C1E3D"/>
    <w:rsid w:val="007C3099"/>
    <w:rsid w:val="007C4362"/>
    <w:rsid w:val="007E381E"/>
    <w:rsid w:val="007E3F2B"/>
    <w:rsid w:val="007E6D1F"/>
    <w:rsid w:val="007E7B1A"/>
    <w:rsid w:val="007F03BC"/>
    <w:rsid w:val="007F335D"/>
    <w:rsid w:val="007F386B"/>
    <w:rsid w:val="007F6B3B"/>
    <w:rsid w:val="007F7D7A"/>
    <w:rsid w:val="0080494A"/>
    <w:rsid w:val="008107BE"/>
    <w:rsid w:val="00813163"/>
    <w:rsid w:val="00814C40"/>
    <w:rsid w:val="00815269"/>
    <w:rsid w:val="0081695E"/>
    <w:rsid w:val="00826A28"/>
    <w:rsid w:val="0083196B"/>
    <w:rsid w:val="00833839"/>
    <w:rsid w:val="00833F06"/>
    <w:rsid w:val="00841584"/>
    <w:rsid w:val="0084413B"/>
    <w:rsid w:val="00845902"/>
    <w:rsid w:val="00856552"/>
    <w:rsid w:val="0086149C"/>
    <w:rsid w:val="00862441"/>
    <w:rsid w:val="008630A5"/>
    <w:rsid w:val="008635C2"/>
    <w:rsid w:val="00871D76"/>
    <w:rsid w:val="00873C65"/>
    <w:rsid w:val="008746C5"/>
    <w:rsid w:val="008756F3"/>
    <w:rsid w:val="00880570"/>
    <w:rsid w:val="00883E3C"/>
    <w:rsid w:val="008915D2"/>
    <w:rsid w:val="008969E7"/>
    <w:rsid w:val="008B0545"/>
    <w:rsid w:val="008B1BFC"/>
    <w:rsid w:val="008B2E1E"/>
    <w:rsid w:val="008B76B1"/>
    <w:rsid w:val="008C641C"/>
    <w:rsid w:val="008C6A37"/>
    <w:rsid w:val="008C6FDF"/>
    <w:rsid w:val="008D13E9"/>
    <w:rsid w:val="008D2964"/>
    <w:rsid w:val="008E706B"/>
    <w:rsid w:val="008F0486"/>
    <w:rsid w:val="00900993"/>
    <w:rsid w:val="00900D2A"/>
    <w:rsid w:val="0090213D"/>
    <w:rsid w:val="0090473E"/>
    <w:rsid w:val="00907338"/>
    <w:rsid w:val="009073CB"/>
    <w:rsid w:val="00910318"/>
    <w:rsid w:val="00910A5F"/>
    <w:rsid w:val="0091549A"/>
    <w:rsid w:val="00917F8D"/>
    <w:rsid w:val="00920216"/>
    <w:rsid w:val="00920C1F"/>
    <w:rsid w:val="00923CF6"/>
    <w:rsid w:val="00935E16"/>
    <w:rsid w:val="00940876"/>
    <w:rsid w:val="00942811"/>
    <w:rsid w:val="009435ED"/>
    <w:rsid w:val="00945B5C"/>
    <w:rsid w:val="00952C96"/>
    <w:rsid w:val="00952F8E"/>
    <w:rsid w:val="00954A44"/>
    <w:rsid w:val="00955F0A"/>
    <w:rsid w:val="009766FF"/>
    <w:rsid w:val="0098106A"/>
    <w:rsid w:val="009827CB"/>
    <w:rsid w:val="00982864"/>
    <w:rsid w:val="00984066"/>
    <w:rsid w:val="00987C32"/>
    <w:rsid w:val="00995195"/>
    <w:rsid w:val="009A298C"/>
    <w:rsid w:val="009A647B"/>
    <w:rsid w:val="009A7F96"/>
    <w:rsid w:val="009B3E40"/>
    <w:rsid w:val="009B5EF0"/>
    <w:rsid w:val="009D49FF"/>
    <w:rsid w:val="009D6B6C"/>
    <w:rsid w:val="009D6C1B"/>
    <w:rsid w:val="009E2F1E"/>
    <w:rsid w:val="009E4BE0"/>
    <w:rsid w:val="009F0BC0"/>
    <w:rsid w:val="009F0C12"/>
    <w:rsid w:val="009F2914"/>
    <w:rsid w:val="009F684A"/>
    <w:rsid w:val="00A0070D"/>
    <w:rsid w:val="00A00A4B"/>
    <w:rsid w:val="00A0552B"/>
    <w:rsid w:val="00A07211"/>
    <w:rsid w:val="00A30544"/>
    <w:rsid w:val="00A325D3"/>
    <w:rsid w:val="00A34299"/>
    <w:rsid w:val="00A402CD"/>
    <w:rsid w:val="00A402D7"/>
    <w:rsid w:val="00A50000"/>
    <w:rsid w:val="00A50631"/>
    <w:rsid w:val="00A53D2B"/>
    <w:rsid w:val="00A554BA"/>
    <w:rsid w:val="00A55CFB"/>
    <w:rsid w:val="00A6243A"/>
    <w:rsid w:val="00A648E7"/>
    <w:rsid w:val="00A7597C"/>
    <w:rsid w:val="00A802BB"/>
    <w:rsid w:val="00A8462A"/>
    <w:rsid w:val="00A8752D"/>
    <w:rsid w:val="00A92A31"/>
    <w:rsid w:val="00AA30C5"/>
    <w:rsid w:val="00AA6F99"/>
    <w:rsid w:val="00AB596F"/>
    <w:rsid w:val="00AC3F6C"/>
    <w:rsid w:val="00AD3DDA"/>
    <w:rsid w:val="00AD5CE4"/>
    <w:rsid w:val="00AD78BD"/>
    <w:rsid w:val="00AE17D9"/>
    <w:rsid w:val="00AE2EAA"/>
    <w:rsid w:val="00AF09F2"/>
    <w:rsid w:val="00AF5CFF"/>
    <w:rsid w:val="00B00082"/>
    <w:rsid w:val="00B01282"/>
    <w:rsid w:val="00B02DAD"/>
    <w:rsid w:val="00B038FE"/>
    <w:rsid w:val="00B04ADD"/>
    <w:rsid w:val="00B069FF"/>
    <w:rsid w:val="00B07644"/>
    <w:rsid w:val="00B1045D"/>
    <w:rsid w:val="00B11AC9"/>
    <w:rsid w:val="00B21E95"/>
    <w:rsid w:val="00B23691"/>
    <w:rsid w:val="00B27196"/>
    <w:rsid w:val="00B27BA5"/>
    <w:rsid w:val="00B30FA0"/>
    <w:rsid w:val="00B32090"/>
    <w:rsid w:val="00B32DFC"/>
    <w:rsid w:val="00B34939"/>
    <w:rsid w:val="00B4057F"/>
    <w:rsid w:val="00B4442B"/>
    <w:rsid w:val="00B44C2A"/>
    <w:rsid w:val="00B47367"/>
    <w:rsid w:val="00B50691"/>
    <w:rsid w:val="00B543B4"/>
    <w:rsid w:val="00B57FB9"/>
    <w:rsid w:val="00B62F53"/>
    <w:rsid w:val="00B7126A"/>
    <w:rsid w:val="00B92614"/>
    <w:rsid w:val="00B95F17"/>
    <w:rsid w:val="00BA0979"/>
    <w:rsid w:val="00BA1C09"/>
    <w:rsid w:val="00BA434A"/>
    <w:rsid w:val="00BA72DB"/>
    <w:rsid w:val="00BA7B25"/>
    <w:rsid w:val="00BB0225"/>
    <w:rsid w:val="00BB347C"/>
    <w:rsid w:val="00BB40D3"/>
    <w:rsid w:val="00BC11DC"/>
    <w:rsid w:val="00BC2CD8"/>
    <w:rsid w:val="00BC2D64"/>
    <w:rsid w:val="00BC6CB5"/>
    <w:rsid w:val="00BD757E"/>
    <w:rsid w:val="00BF138F"/>
    <w:rsid w:val="00BF46FE"/>
    <w:rsid w:val="00C108F8"/>
    <w:rsid w:val="00C26109"/>
    <w:rsid w:val="00C30B8B"/>
    <w:rsid w:val="00C30F31"/>
    <w:rsid w:val="00C4459E"/>
    <w:rsid w:val="00C445F6"/>
    <w:rsid w:val="00C53EAF"/>
    <w:rsid w:val="00C54BD2"/>
    <w:rsid w:val="00C61513"/>
    <w:rsid w:val="00C61879"/>
    <w:rsid w:val="00C6390B"/>
    <w:rsid w:val="00C67A5B"/>
    <w:rsid w:val="00C67E93"/>
    <w:rsid w:val="00C74F03"/>
    <w:rsid w:val="00C75058"/>
    <w:rsid w:val="00C90B98"/>
    <w:rsid w:val="00C931F6"/>
    <w:rsid w:val="00C94FC2"/>
    <w:rsid w:val="00CA31CA"/>
    <w:rsid w:val="00CA3E65"/>
    <w:rsid w:val="00CB537B"/>
    <w:rsid w:val="00CC0DFF"/>
    <w:rsid w:val="00CC29A5"/>
    <w:rsid w:val="00CC7DA7"/>
    <w:rsid w:val="00CD0871"/>
    <w:rsid w:val="00CD335D"/>
    <w:rsid w:val="00CD3924"/>
    <w:rsid w:val="00CD5BB9"/>
    <w:rsid w:val="00CD707E"/>
    <w:rsid w:val="00CE47FB"/>
    <w:rsid w:val="00CE4DF4"/>
    <w:rsid w:val="00CF2BD1"/>
    <w:rsid w:val="00D027C5"/>
    <w:rsid w:val="00D03A3F"/>
    <w:rsid w:val="00D107C5"/>
    <w:rsid w:val="00D109AC"/>
    <w:rsid w:val="00D15BE1"/>
    <w:rsid w:val="00D20D8F"/>
    <w:rsid w:val="00D2385F"/>
    <w:rsid w:val="00D238BA"/>
    <w:rsid w:val="00D244A7"/>
    <w:rsid w:val="00D2719F"/>
    <w:rsid w:val="00D33590"/>
    <w:rsid w:val="00D335D9"/>
    <w:rsid w:val="00D35E57"/>
    <w:rsid w:val="00D44904"/>
    <w:rsid w:val="00D46EB7"/>
    <w:rsid w:val="00D5249F"/>
    <w:rsid w:val="00D535CE"/>
    <w:rsid w:val="00D573D8"/>
    <w:rsid w:val="00D61748"/>
    <w:rsid w:val="00D70109"/>
    <w:rsid w:val="00D7280C"/>
    <w:rsid w:val="00D7293C"/>
    <w:rsid w:val="00D73D02"/>
    <w:rsid w:val="00D74624"/>
    <w:rsid w:val="00D77422"/>
    <w:rsid w:val="00D815F1"/>
    <w:rsid w:val="00D83A3A"/>
    <w:rsid w:val="00D86133"/>
    <w:rsid w:val="00D924A7"/>
    <w:rsid w:val="00D95D08"/>
    <w:rsid w:val="00D96406"/>
    <w:rsid w:val="00D96C25"/>
    <w:rsid w:val="00DA4E53"/>
    <w:rsid w:val="00DB017A"/>
    <w:rsid w:val="00DC18E4"/>
    <w:rsid w:val="00DC3D18"/>
    <w:rsid w:val="00DC5087"/>
    <w:rsid w:val="00DC5FE5"/>
    <w:rsid w:val="00DC6FE5"/>
    <w:rsid w:val="00DD18F3"/>
    <w:rsid w:val="00E0077F"/>
    <w:rsid w:val="00E10F3E"/>
    <w:rsid w:val="00E14477"/>
    <w:rsid w:val="00E21863"/>
    <w:rsid w:val="00E24610"/>
    <w:rsid w:val="00E30A98"/>
    <w:rsid w:val="00E4126B"/>
    <w:rsid w:val="00E441F9"/>
    <w:rsid w:val="00E53F04"/>
    <w:rsid w:val="00E633CA"/>
    <w:rsid w:val="00E65986"/>
    <w:rsid w:val="00E65A44"/>
    <w:rsid w:val="00E85C6C"/>
    <w:rsid w:val="00E86513"/>
    <w:rsid w:val="00E870DB"/>
    <w:rsid w:val="00E937B9"/>
    <w:rsid w:val="00E97373"/>
    <w:rsid w:val="00EB09BB"/>
    <w:rsid w:val="00EB0A28"/>
    <w:rsid w:val="00EB4217"/>
    <w:rsid w:val="00EB53E0"/>
    <w:rsid w:val="00EB59E9"/>
    <w:rsid w:val="00EC00FD"/>
    <w:rsid w:val="00ED43B1"/>
    <w:rsid w:val="00ED4EFE"/>
    <w:rsid w:val="00ED5133"/>
    <w:rsid w:val="00EE1FC8"/>
    <w:rsid w:val="00EE20DD"/>
    <w:rsid w:val="00EF274A"/>
    <w:rsid w:val="00EF4234"/>
    <w:rsid w:val="00EF7631"/>
    <w:rsid w:val="00F07A53"/>
    <w:rsid w:val="00F338A2"/>
    <w:rsid w:val="00F5011A"/>
    <w:rsid w:val="00F60AB9"/>
    <w:rsid w:val="00F61760"/>
    <w:rsid w:val="00F67412"/>
    <w:rsid w:val="00F73A54"/>
    <w:rsid w:val="00F819A9"/>
    <w:rsid w:val="00F876C6"/>
    <w:rsid w:val="00F91CBC"/>
    <w:rsid w:val="00F9684C"/>
    <w:rsid w:val="00FB0455"/>
    <w:rsid w:val="00FC6B8F"/>
    <w:rsid w:val="00FD1A39"/>
    <w:rsid w:val="00FD7C34"/>
    <w:rsid w:val="00FE390B"/>
    <w:rsid w:val="00FE5393"/>
    <w:rsid w:val="00FF0022"/>
    <w:rsid w:val="00FF0969"/>
    <w:rsid w:val="00FF7B11"/>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FF476C"/>
  <w15:chartTrackingRefBased/>
  <w15:docId w15:val="{E902166F-D133-419F-9381-C658E39BCF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Calibri" w:hAnsi="Times New Roman" w:cs="Arial"/>
        <w:lang w:val="ro-RO" w:eastAsia="ro-RO"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B017A"/>
    <w:pPr>
      <w:spacing w:before="120" w:after="120" w:line="276" w:lineRule="auto"/>
      <w:ind w:firstLine="539"/>
      <w:jc w:val="both"/>
    </w:pPr>
    <w:rPr>
      <w:kern w:val="2"/>
      <w:sz w:val="24"/>
      <w:szCs w:val="24"/>
      <w:lang w:val="en-GB" w:eastAsia="en-US"/>
    </w:rPr>
  </w:style>
  <w:style w:type="paragraph" w:styleId="Heading1">
    <w:name w:val="heading 1"/>
    <w:basedOn w:val="Normal"/>
    <w:next w:val="Normal"/>
    <w:link w:val="Heading1Char"/>
    <w:qFormat/>
    <w:rsid w:val="004F6243"/>
    <w:pPr>
      <w:keepNext/>
      <w:keepLines/>
      <w:spacing w:before="240" w:after="0"/>
      <w:outlineLvl w:val="0"/>
    </w:pPr>
    <w:rPr>
      <w:rFonts w:eastAsia="Times New Roman" w:cs="Times New Roman"/>
      <w:b/>
      <w:sz w:val="36"/>
      <w:szCs w:val="32"/>
    </w:rPr>
  </w:style>
  <w:style w:type="paragraph" w:styleId="Heading2">
    <w:name w:val="heading 2"/>
    <w:basedOn w:val="Normal"/>
    <w:next w:val="Normal"/>
    <w:link w:val="Heading2Char"/>
    <w:unhideWhenUsed/>
    <w:qFormat/>
    <w:rsid w:val="004F6243"/>
    <w:pPr>
      <w:keepNext/>
      <w:keepLines/>
      <w:pBdr>
        <w:top w:val="nil"/>
        <w:left w:val="nil"/>
        <w:bottom w:val="nil"/>
        <w:right w:val="nil"/>
        <w:between w:val="nil"/>
      </w:pBdr>
      <w:spacing w:before="360" w:after="80"/>
      <w:outlineLvl w:val="1"/>
    </w:pPr>
    <w:rPr>
      <w:rFonts w:eastAsia="Times New Roman" w:cs="Times New Roman"/>
      <w:b/>
      <w:color w:val="000000"/>
      <w:kern w:val="0"/>
      <w:sz w:val="32"/>
      <w:szCs w:val="36"/>
      <w:lang w:val="ro-RO" w:eastAsia="en-GB"/>
    </w:rPr>
  </w:style>
  <w:style w:type="paragraph" w:styleId="Heading3">
    <w:name w:val="heading 3"/>
    <w:basedOn w:val="Normal"/>
    <w:next w:val="Normal"/>
    <w:link w:val="Heading3Char"/>
    <w:unhideWhenUsed/>
    <w:qFormat/>
    <w:rsid w:val="00B62F53"/>
    <w:pPr>
      <w:keepNext/>
      <w:keepLines/>
      <w:pBdr>
        <w:top w:val="nil"/>
        <w:left w:val="nil"/>
        <w:bottom w:val="nil"/>
        <w:right w:val="nil"/>
        <w:between w:val="nil"/>
      </w:pBdr>
      <w:spacing w:before="280" w:after="80"/>
      <w:outlineLvl w:val="2"/>
    </w:pPr>
    <w:rPr>
      <w:rFonts w:eastAsia="Times New Roman" w:cs="Times New Roman"/>
      <w:b/>
      <w:color w:val="000000"/>
      <w:kern w:val="0"/>
      <w:sz w:val="28"/>
      <w:szCs w:val="28"/>
      <w:lang w:val="ro-RO" w:eastAsia="en-GB"/>
    </w:rPr>
  </w:style>
  <w:style w:type="paragraph" w:styleId="Heading4">
    <w:name w:val="heading 4"/>
    <w:basedOn w:val="Normal"/>
    <w:next w:val="Normal"/>
    <w:link w:val="Heading4Char"/>
    <w:unhideWhenUsed/>
    <w:qFormat/>
    <w:rsid w:val="00B62F53"/>
    <w:pPr>
      <w:keepNext/>
      <w:keepLines/>
      <w:pBdr>
        <w:top w:val="nil"/>
        <w:left w:val="nil"/>
        <w:bottom w:val="nil"/>
        <w:right w:val="nil"/>
        <w:between w:val="nil"/>
      </w:pBdr>
      <w:spacing w:before="240" w:after="40"/>
      <w:outlineLvl w:val="3"/>
    </w:pPr>
    <w:rPr>
      <w:rFonts w:eastAsia="Times New Roman" w:cs="Times New Roman"/>
      <w:b/>
      <w:color w:val="000000"/>
      <w:kern w:val="0"/>
      <w:lang w:val="ro-RO" w:eastAsia="en-GB"/>
    </w:rPr>
  </w:style>
  <w:style w:type="paragraph" w:styleId="Heading5">
    <w:name w:val="heading 5"/>
    <w:basedOn w:val="Normal"/>
    <w:next w:val="Normal"/>
    <w:link w:val="Heading5Char"/>
    <w:unhideWhenUsed/>
    <w:qFormat/>
    <w:rsid w:val="0043185E"/>
    <w:pPr>
      <w:keepNext/>
      <w:keepLines/>
      <w:pBdr>
        <w:top w:val="nil"/>
        <w:left w:val="nil"/>
        <w:bottom w:val="nil"/>
        <w:right w:val="nil"/>
        <w:between w:val="nil"/>
      </w:pBdr>
      <w:spacing w:before="220" w:after="40"/>
      <w:outlineLvl w:val="4"/>
    </w:pPr>
    <w:rPr>
      <w:rFonts w:eastAsia="Times New Roman" w:cs="Times New Roman"/>
      <w:b/>
      <w:i/>
      <w:color w:val="000000"/>
      <w:kern w:val="0"/>
      <w:lang w:val="ro-RO" w:eastAsia="en-GB"/>
    </w:rPr>
  </w:style>
  <w:style w:type="paragraph" w:styleId="Heading6">
    <w:name w:val="heading 6"/>
    <w:basedOn w:val="Normal"/>
    <w:next w:val="Normal"/>
    <w:link w:val="Heading6Char"/>
    <w:unhideWhenUsed/>
    <w:qFormat/>
    <w:rsid w:val="00910318"/>
    <w:pPr>
      <w:keepNext/>
      <w:keepLines/>
      <w:pBdr>
        <w:top w:val="nil"/>
        <w:left w:val="nil"/>
        <w:bottom w:val="nil"/>
        <w:right w:val="nil"/>
        <w:between w:val="nil"/>
      </w:pBdr>
      <w:spacing w:before="200" w:after="40"/>
      <w:jc w:val="left"/>
      <w:outlineLvl w:val="5"/>
    </w:pPr>
    <w:rPr>
      <w:rFonts w:eastAsia="Times New Roman" w:cs="Times New Roman"/>
      <w:color w:val="000000"/>
      <w:kern w:val="0"/>
      <w:szCs w:val="20"/>
      <w:lang w:val="ro-RO"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4F6243"/>
    <w:rPr>
      <w:rFonts w:eastAsia="Times New Roman" w:cs="Times New Roman"/>
      <w:b/>
      <w:sz w:val="36"/>
      <w:szCs w:val="32"/>
    </w:rPr>
  </w:style>
  <w:style w:type="paragraph" w:styleId="TOCHeading">
    <w:name w:val="TOC Heading"/>
    <w:basedOn w:val="Heading1"/>
    <w:next w:val="Normal"/>
    <w:uiPriority w:val="39"/>
    <w:unhideWhenUsed/>
    <w:qFormat/>
    <w:rsid w:val="004511BA"/>
    <w:pPr>
      <w:outlineLvl w:val="9"/>
    </w:pPr>
    <w:rPr>
      <w:kern w:val="0"/>
      <w:lang w:val="en-US"/>
    </w:rPr>
  </w:style>
  <w:style w:type="character" w:customStyle="1" w:styleId="Heading2Char">
    <w:name w:val="Heading 2 Char"/>
    <w:link w:val="Heading2"/>
    <w:rsid w:val="004F6243"/>
    <w:rPr>
      <w:rFonts w:eastAsia="Times New Roman" w:cs="Times New Roman"/>
      <w:b/>
      <w:color w:val="000000"/>
      <w:kern w:val="0"/>
      <w:sz w:val="32"/>
      <w:szCs w:val="36"/>
      <w:lang w:val="ro-RO" w:eastAsia="en-GB"/>
    </w:rPr>
  </w:style>
  <w:style w:type="character" w:customStyle="1" w:styleId="Heading3Char">
    <w:name w:val="Heading 3 Char"/>
    <w:link w:val="Heading3"/>
    <w:rsid w:val="00B62F53"/>
    <w:rPr>
      <w:rFonts w:ascii="Times New Roman" w:eastAsia="Times New Roman" w:hAnsi="Times New Roman" w:cs="Times New Roman"/>
      <w:b/>
      <w:color w:val="000000"/>
      <w:kern w:val="0"/>
      <w:sz w:val="28"/>
      <w:szCs w:val="28"/>
      <w:lang w:val="ro-RO" w:eastAsia="en-GB"/>
    </w:rPr>
  </w:style>
  <w:style w:type="character" w:customStyle="1" w:styleId="Heading4Char">
    <w:name w:val="Heading 4 Char"/>
    <w:link w:val="Heading4"/>
    <w:rsid w:val="00B62F53"/>
    <w:rPr>
      <w:rFonts w:ascii="Times New Roman" w:eastAsia="Times New Roman" w:hAnsi="Times New Roman" w:cs="Times New Roman"/>
      <w:b/>
      <w:color w:val="000000"/>
      <w:kern w:val="0"/>
      <w:sz w:val="24"/>
      <w:szCs w:val="24"/>
      <w:lang w:val="ro-RO" w:eastAsia="en-GB"/>
    </w:rPr>
  </w:style>
  <w:style w:type="character" w:customStyle="1" w:styleId="Heading5Char">
    <w:name w:val="Heading 5 Char"/>
    <w:link w:val="Heading5"/>
    <w:rsid w:val="0043185E"/>
    <w:rPr>
      <w:rFonts w:eastAsia="Times New Roman" w:cs="Times New Roman"/>
      <w:b/>
      <w:i/>
      <w:color w:val="000000"/>
      <w:kern w:val="0"/>
      <w:lang w:val="ro-RO" w:eastAsia="en-GB"/>
    </w:rPr>
  </w:style>
  <w:style w:type="character" w:customStyle="1" w:styleId="Heading6Char">
    <w:name w:val="Heading 6 Char"/>
    <w:link w:val="Heading6"/>
    <w:rsid w:val="00910318"/>
    <w:rPr>
      <w:rFonts w:eastAsia="Times New Roman" w:cs="Times New Roman"/>
      <w:color w:val="000000"/>
      <w:sz w:val="24"/>
      <w:lang w:val="ro-RO"/>
    </w:rPr>
  </w:style>
  <w:style w:type="numbering" w:customStyle="1" w:styleId="NoList1">
    <w:name w:val="No List1"/>
    <w:next w:val="NoList"/>
    <w:uiPriority w:val="99"/>
    <w:semiHidden/>
    <w:unhideWhenUsed/>
    <w:rsid w:val="00B62F53"/>
  </w:style>
  <w:style w:type="paragraph" w:styleId="Title">
    <w:name w:val="Title"/>
    <w:basedOn w:val="Normal"/>
    <w:next w:val="Normal"/>
    <w:link w:val="TitleChar"/>
    <w:uiPriority w:val="99"/>
    <w:qFormat/>
    <w:rsid w:val="00B62F53"/>
    <w:pPr>
      <w:keepNext/>
      <w:keepLines/>
      <w:pBdr>
        <w:top w:val="nil"/>
        <w:left w:val="nil"/>
        <w:bottom w:val="nil"/>
        <w:right w:val="nil"/>
        <w:between w:val="nil"/>
      </w:pBdr>
      <w:spacing w:before="480"/>
      <w:ind w:firstLine="540"/>
    </w:pPr>
    <w:rPr>
      <w:rFonts w:eastAsia="Times New Roman" w:cs="Times New Roman"/>
      <w:b/>
      <w:color w:val="000000"/>
      <w:kern w:val="0"/>
      <w:sz w:val="72"/>
      <w:szCs w:val="72"/>
      <w:lang w:val="ro-RO" w:eastAsia="en-GB"/>
    </w:rPr>
  </w:style>
  <w:style w:type="character" w:customStyle="1" w:styleId="TitleChar">
    <w:name w:val="Title Char"/>
    <w:link w:val="Title"/>
    <w:uiPriority w:val="99"/>
    <w:rsid w:val="00B62F53"/>
    <w:rPr>
      <w:rFonts w:ascii="Times New Roman" w:eastAsia="Times New Roman" w:hAnsi="Times New Roman" w:cs="Times New Roman"/>
      <w:b/>
      <w:color w:val="000000"/>
      <w:kern w:val="0"/>
      <w:sz w:val="72"/>
      <w:szCs w:val="72"/>
      <w:lang w:val="ro-RO" w:eastAsia="en-GB"/>
    </w:rPr>
  </w:style>
  <w:style w:type="paragraph" w:styleId="Subtitle">
    <w:name w:val="Subtitle"/>
    <w:basedOn w:val="Normal"/>
    <w:next w:val="Normal"/>
    <w:link w:val="SubtitleChar"/>
    <w:qFormat/>
    <w:rsid w:val="00B62F53"/>
    <w:pPr>
      <w:keepNext/>
      <w:keepLines/>
      <w:pBdr>
        <w:top w:val="nil"/>
        <w:left w:val="nil"/>
        <w:bottom w:val="nil"/>
        <w:right w:val="nil"/>
        <w:between w:val="nil"/>
      </w:pBdr>
      <w:spacing w:before="360" w:after="80"/>
      <w:ind w:firstLine="540"/>
    </w:pPr>
    <w:rPr>
      <w:rFonts w:ascii="Georgia" w:eastAsia="Georgia" w:hAnsi="Georgia" w:cs="Georgia"/>
      <w:i/>
      <w:color w:val="666666"/>
      <w:kern w:val="0"/>
      <w:sz w:val="48"/>
      <w:szCs w:val="48"/>
      <w:lang w:val="ro-RO" w:eastAsia="en-GB"/>
    </w:rPr>
  </w:style>
  <w:style w:type="character" w:customStyle="1" w:styleId="SubtitleChar">
    <w:name w:val="Subtitle Char"/>
    <w:link w:val="Subtitle"/>
    <w:uiPriority w:val="99"/>
    <w:rsid w:val="00B62F53"/>
    <w:rPr>
      <w:rFonts w:ascii="Georgia" w:eastAsia="Georgia" w:hAnsi="Georgia" w:cs="Georgia"/>
      <w:i/>
      <w:color w:val="666666"/>
      <w:kern w:val="0"/>
      <w:sz w:val="48"/>
      <w:szCs w:val="48"/>
      <w:lang w:val="ro-RO" w:eastAsia="en-GB"/>
    </w:rPr>
  </w:style>
  <w:style w:type="paragraph" w:styleId="CommentText">
    <w:name w:val="annotation text"/>
    <w:basedOn w:val="Normal"/>
    <w:link w:val="CommentTextChar"/>
    <w:uiPriority w:val="99"/>
    <w:unhideWhenUsed/>
    <w:rsid w:val="00B62F53"/>
    <w:pPr>
      <w:spacing w:after="200" w:line="240" w:lineRule="auto"/>
      <w:ind w:firstLine="540"/>
    </w:pPr>
    <w:rPr>
      <w:rFonts w:eastAsia="Times New Roman" w:cs="Times New Roman"/>
      <w:kern w:val="0"/>
      <w:sz w:val="20"/>
      <w:szCs w:val="20"/>
      <w:lang w:val="ro-RO" w:eastAsia="en-GB"/>
    </w:rPr>
  </w:style>
  <w:style w:type="character" w:customStyle="1" w:styleId="CommentTextChar">
    <w:name w:val="Comment Text Char"/>
    <w:link w:val="CommentText"/>
    <w:uiPriority w:val="99"/>
    <w:rsid w:val="00B62F53"/>
    <w:rPr>
      <w:rFonts w:ascii="Times New Roman" w:eastAsia="Times New Roman" w:hAnsi="Times New Roman" w:cs="Times New Roman"/>
      <w:kern w:val="0"/>
      <w:sz w:val="20"/>
      <w:szCs w:val="20"/>
      <w:lang w:val="ro-RO" w:eastAsia="en-GB"/>
    </w:rPr>
  </w:style>
  <w:style w:type="character" w:styleId="CommentReference">
    <w:name w:val="annotation reference"/>
    <w:uiPriority w:val="99"/>
    <w:semiHidden/>
    <w:unhideWhenUsed/>
    <w:rsid w:val="00B62F53"/>
    <w:rPr>
      <w:sz w:val="16"/>
      <w:szCs w:val="16"/>
    </w:rPr>
  </w:style>
  <w:style w:type="paragraph" w:styleId="CommentSubject">
    <w:name w:val="annotation subject"/>
    <w:basedOn w:val="CommentText"/>
    <w:next w:val="CommentText"/>
    <w:link w:val="CommentSubjectChar"/>
    <w:uiPriority w:val="99"/>
    <w:semiHidden/>
    <w:unhideWhenUsed/>
    <w:rsid w:val="00B62F53"/>
    <w:rPr>
      <w:b/>
      <w:bCs/>
    </w:rPr>
  </w:style>
  <w:style w:type="character" w:customStyle="1" w:styleId="CommentSubjectChar">
    <w:name w:val="Comment Subject Char"/>
    <w:link w:val="CommentSubject"/>
    <w:uiPriority w:val="99"/>
    <w:semiHidden/>
    <w:rsid w:val="00B62F53"/>
    <w:rPr>
      <w:rFonts w:ascii="Times New Roman" w:eastAsia="Times New Roman" w:hAnsi="Times New Roman" w:cs="Times New Roman"/>
      <w:b/>
      <w:bCs/>
      <w:kern w:val="0"/>
      <w:sz w:val="20"/>
      <w:szCs w:val="20"/>
      <w:lang w:val="ro-RO" w:eastAsia="en-GB"/>
    </w:rPr>
  </w:style>
  <w:style w:type="paragraph" w:styleId="NormalWeb">
    <w:name w:val="Normal (Web)"/>
    <w:basedOn w:val="Normal"/>
    <w:uiPriority w:val="99"/>
    <w:unhideWhenUsed/>
    <w:rsid w:val="00315526"/>
    <w:pPr>
      <w:spacing w:before="100" w:beforeAutospacing="1" w:after="100" w:afterAutospacing="1" w:line="240" w:lineRule="auto"/>
    </w:pPr>
    <w:rPr>
      <w:rFonts w:eastAsia="Times New Roman" w:cs="Times New Roman"/>
      <w:kern w:val="0"/>
      <w:lang w:eastAsia="en-GB"/>
    </w:rPr>
  </w:style>
  <w:style w:type="character" w:styleId="Hyperlink">
    <w:name w:val="Hyperlink"/>
    <w:uiPriority w:val="99"/>
    <w:unhideWhenUsed/>
    <w:rsid w:val="00315526"/>
    <w:rPr>
      <w:color w:val="0000FF"/>
      <w:u w:val="single"/>
    </w:rPr>
  </w:style>
  <w:style w:type="paragraph" w:customStyle="1" w:styleId="msonormal0">
    <w:name w:val="msonormal"/>
    <w:basedOn w:val="Normal"/>
    <w:rsid w:val="00315526"/>
    <w:pPr>
      <w:spacing w:before="100" w:beforeAutospacing="1" w:after="100" w:afterAutospacing="1" w:line="240" w:lineRule="auto"/>
    </w:pPr>
    <w:rPr>
      <w:rFonts w:eastAsia="Times New Roman" w:cs="Times New Roman"/>
      <w:kern w:val="0"/>
      <w:lang w:eastAsia="en-GB"/>
    </w:rPr>
  </w:style>
  <w:style w:type="character" w:styleId="FollowedHyperlink">
    <w:name w:val="FollowedHyperlink"/>
    <w:uiPriority w:val="99"/>
    <w:semiHidden/>
    <w:unhideWhenUsed/>
    <w:rsid w:val="00315526"/>
    <w:rPr>
      <w:color w:val="800080"/>
      <w:u w:val="single"/>
    </w:rPr>
  </w:style>
  <w:style w:type="character" w:customStyle="1" w:styleId="apple-tab-span">
    <w:name w:val="apple-tab-span"/>
    <w:basedOn w:val="DefaultParagraphFont"/>
    <w:rsid w:val="00315526"/>
  </w:style>
  <w:style w:type="paragraph" w:styleId="TOC2">
    <w:name w:val="toc 2"/>
    <w:basedOn w:val="Normal"/>
    <w:next w:val="Normal"/>
    <w:autoRedefine/>
    <w:uiPriority w:val="39"/>
    <w:unhideWhenUsed/>
    <w:rsid w:val="00693A40"/>
    <w:pPr>
      <w:tabs>
        <w:tab w:val="right" w:leader="dot" w:pos="9016"/>
      </w:tabs>
      <w:spacing w:after="0"/>
      <w:ind w:left="142" w:firstLine="0"/>
    </w:pPr>
  </w:style>
  <w:style w:type="paragraph" w:styleId="TOC1">
    <w:name w:val="toc 1"/>
    <w:basedOn w:val="Normal"/>
    <w:next w:val="Normal"/>
    <w:autoRedefine/>
    <w:uiPriority w:val="39"/>
    <w:unhideWhenUsed/>
    <w:rsid w:val="00375571"/>
    <w:pPr>
      <w:tabs>
        <w:tab w:val="right" w:leader="dot" w:pos="9016"/>
      </w:tabs>
      <w:spacing w:after="100"/>
      <w:ind w:firstLine="0"/>
    </w:pPr>
  </w:style>
  <w:style w:type="paragraph" w:styleId="TOC3">
    <w:name w:val="toc 3"/>
    <w:basedOn w:val="Normal"/>
    <w:next w:val="Normal"/>
    <w:autoRedefine/>
    <w:uiPriority w:val="39"/>
    <w:unhideWhenUsed/>
    <w:rsid w:val="004E5616"/>
    <w:pPr>
      <w:tabs>
        <w:tab w:val="right" w:leader="dot" w:pos="9016"/>
      </w:tabs>
      <w:spacing w:after="0"/>
      <w:ind w:left="480" w:firstLine="87"/>
    </w:pPr>
  </w:style>
  <w:style w:type="paragraph" w:styleId="ListParagraph">
    <w:name w:val="List Paragraph"/>
    <w:aliases w:val="body 2,Normal bullet 2,List Paragraph1,Forth level,Lettre d'introduction,Header bold,bullets,Arial,List Paragraph111111,List Paragraph11,List Paragraph111,List Paragraph1111,List Paragraph11111,List Paragraph1111111,List1,List_Paragraph"/>
    <w:basedOn w:val="Normal"/>
    <w:link w:val="ListParagraphChar"/>
    <w:uiPriority w:val="34"/>
    <w:qFormat/>
    <w:rsid w:val="0043185E"/>
    <w:pPr>
      <w:ind w:left="720"/>
      <w:contextualSpacing/>
    </w:pPr>
  </w:style>
  <w:style w:type="character" w:customStyle="1" w:styleId="UnresolvedMention1">
    <w:name w:val="Unresolved Mention1"/>
    <w:uiPriority w:val="99"/>
    <w:semiHidden/>
    <w:unhideWhenUsed/>
    <w:rsid w:val="00191381"/>
    <w:rPr>
      <w:color w:val="605E5C"/>
      <w:shd w:val="clear" w:color="auto" w:fill="E1DFDD"/>
    </w:rPr>
  </w:style>
  <w:style w:type="paragraph" w:styleId="Header">
    <w:name w:val="header"/>
    <w:basedOn w:val="Normal"/>
    <w:link w:val="HeaderChar"/>
    <w:uiPriority w:val="99"/>
    <w:unhideWhenUsed/>
    <w:rsid w:val="00B21E95"/>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B21E95"/>
  </w:style>
  <w:style w:type="paragraph" w:styleId="Footer">
    <w:name w:val="footer"/>
    <w:basedOn w:val="Normal"/>
    <w:link w:val="FooterChar"/>
    <w:uiPriority w:val="99"/>
    <w:unhideWhenUsed/>
    <w:rsid w:val="00B21E95"/>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B21E95"/>
  </w:style>
  <w:style w:type="table" w:styleId="GridTable1Light">
    <w:name w:val="Grid Table 1 Light"/>
    <w:basedOn w:val="TableNormal"/>
    <w:uiPriority w:val="46"/>
    <w:rsid w:val="00D35E57"/>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NoList2">
    <w:name w:val="No List2"/>
    <w:next w:val="NoList"/>
    <w:uiPriority w:val="99"/>
    <w:semiHidden/>
    <w:unhideWhenUsed/>
    <w:rsid w:val="00CD0871"/>
  </w:style>
  <w:style w:type="table" w:styleId="TableGrid">
    <w:name w:val="Table Grid"/>
    <w:basedOn w:val="TableNormal"/>
    <w:uiPriority w:val="39"/>
    <w:rsid w:val="00F73A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242EFF"/>
    <w:pPr>
      <w:ind w:firstLine="539"/>
      <w:jc w:val="both"/>
    </w:pPr>
    <w:rPr>
      <w:kern w:val="2"/>
      <w:sz w:val="24"/>
      <w:szCs w:val="24"/>
      <w:lang w:val="en-GB" w:eastAsia="en-US"/>
    </w:rPr>
  </w:style>
  <w:style w:type="paragraph" w:styleId="Caption">
    <w:name w:val="caption"/>
    <w:basedOn w:val="Normal"/>
    <w:next w:val="Normal"/>
    <w:uiPriority w:val="35"/>
    <w:unhideWhenUsed/>
    <w:qFormat/>
    <w:rsid w:val="00DB017A"/>
    <w:pPr>
      <w:spacing w:before="0" w:after="200" w:line="240" w:lineRule="auto"/>
    </w:pPr>
    <w:rPr>
      <w:i/>
      <w:iCs/>
      <w:color w:val="44546A"/>
      <w:sz w:val="18"/>
      <w:szCs w:val="18"/>
    </w:rPr>
  </w:style>
  <w:style w:type="paragraph" w:styleId="TableofFigures">
    <w:name w:val="table of figures"/>
    <w:basedOn w:val="Normal"/>
    <w:next w:val="Normal"/>
    <w:uiPriority w:val="99"/>
    <w:semiHidden/>
    <w:unhideWhenUsed/>
    <w:rsid w:val="00DB017A"/>
    <w:pPr>
      <w:spacing w:after="0"/>
    </w:pPr>
  </w:style>
  <w:style w:type="paragraph" w:customStyle="1" w:styleId="Default">
    <w:name w:val="Default"/>
    <w:rsid w:val="009F2914"/>
    <w:pPr>
      <w:autoSpaceDE w:val="0"/>
      <w:autoSpaceDN w:val="0"/>
      <w:adjustRightInd w:val="0"/>
    </w:pPr>
    <w:rPr>
      <w:rFonts w:cs="Times New Roman"/>
      <w:color w:val="000000"/>
      <w:sz w:val="24"/>
      <w:szCs w:val="24"/>
      <w:lang w:val="en-GB" w:eastAsia="en-US"/>
    </w:rPr>
  </w:style>
  <w:style w:type="character" w:customStyle="1" w:styleId="NoSpacingChar">
    <w:name w:val="No Spacing Char"/>
    <w:basedOn w:val="DefaultParagraphFont"/>
    <w:link w:val="NoSpacing"/>
    <w:uiPriority w:val="1"/>
    <w:rsid w:val="005C136E"/>
  </w:style>
  <w:style w:type="paragraph" w:styleId="BalloonText">
    <w:name w:val="Balloon Text"/>
    <w:basedOn w:val="Normal"/>
    <w:link w:val="BalloonTextChar"/>
    <w:uiPriority w:val="99"/>
    <w:semiHidden/>
    <w:unhideWhenUsed/>
    <w:rsid w:val="006114E6"/>
    <w:pPr>
      <w:spacing w:before="0"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6114E6"/>
    <w:rPr>
      <w:rFonts w:ascii="Segoe UI" w:hAnsi="Segoe UI" w:cs="Segoe UI"/>
      <w:sz w:val="18"/>
      <w:szCs w:val="18"/>
    </w:rPr>
  </w:style>
  <w:style w:type="paragraph" w:styleId="Revision">
    <w:name w:val="Revision"/>
    <w:hidden/>
    <w:uiPriority w:val="99"/>
    <w:semiHidden/>
    <w:rsid w:val="00792C86"/>
    <w:rPr>
      <w:kern w:val="2"/>
      <w:sz w:val="24"/>
      <w:szCs w:val="24"/>
      <w:lang w:val="en-GB" w:eastAsia="en-US"/>
    </w:rPr>
  </w:style>
  <w:style w:type="table" w:customStyle="1" w:styleId="3">
    <w:name w:val="3"/>
    <w:basedOn w:val="TableNormal"/>
    <w:rsid w:val="008C6A37"/>
    <w:pPr>
      <w:spacing w:line="276" w:lineRule="auto"/>
    </w:pPr>
    <w:rPr>
      <w:rFonts w:ascii="Arial" w:eastAsia="Arial" w:hAnsi="Arial"/>
      <w:sz w:val="22"/>
      <w:szCs w:val="22"/>
      <w:lang w:val="en" w:eastAsia="en-US"/>
    </w:rPr>
    <w:tblPr>
      <w:tblStyleRowBandSize w:val="1"/>
      <w:tblStyleColBandSize w:val="1"/>
      <w:tblCellMar>
        <w:top w:w="100" w:type="dxa"/>
        <w:left w:w="100" w:type="dxa"/>
        <w:bottom w:w="100" w:type="dxa"/>
        <w:right w:w="100" w:type="dxa"/>
      </w:tblCellMar>
    </w:tblPr>
    <w:tcPr>
      <w:shd w:val="clear" w:color="auto" w:fill="FFFFFF"/>
    </w:tcPr>
  </w:style>
  <w:style w:type="table" w:customStyle="1" w:styleId="2">
    <w:name w:val="2"/>
    <w:basedOn w:val="TableNormal"/>
    <w:rsid w:val="008C6A37"/>
    <w:pPr>
      <w:spacing w:line="276" w:lineRule="auto"/>
    </w:pPr>
    <w:rPr>
      <w:rFonts w:ascii="Arial" w:eastAsia="Arial" w:hAnsi="Arial"/>
      <w:sz w:val="22"/>
      <w:szCs w:val="22"/>
      <w:lang w:val="en" w:eastAsia="en-US"/>
    </w:rPr>
    <w:tblPr>
      <w:tblStyleRowBandSize w:val="1"/>
      <w:tblStyleColBandSize w:val="1"/>
      <w:tblCellMar>
        <w:top w:w="100" w:type="dxa"/>
        <w:left w:w="100" w:type="dxa"/>
        <w:bottom w:w="100" w:type="dxa"/>
        <w:right w:w="100" w:type="dxa"/>
      </w:tblCellMar>
    </w:tblPr>
  </w:style>
  <w:style w:type="table" w:customStyle="1" w:styleId="1">
    <w:name w:val="1"/>
    <w:basedOn w:val="TableNormal"/>
    <w:rsid w:val="008C6A37"/>
    <w:pPr>
      <w:spacing w:line="276" w:lineRule="auto"/>
    </w:pPr>
    <w:rPr>
      <w:rFonts w:ascii="Arial" w:eastAsia="Arial" w:hAnsi="Arial"/>
      <w:sz w:val="22"/>
      <w:szCs w:val="22"/>
      <w:lang w:val="en" w:eastAsia="en-US"/>
    </w:rPr>
    <w:tblPr>
      <w:tblStyleRowBandSize w:val="1"/>
      <w:tblStyleColBandSize w:val="1"/>
      <w:tblCellMar>
        <w:top w:w="100" w:type="dxa"/>
        <w:left w:w="100" w:type="dxa"/>
        <w:bottom w:w="100" w:type="dxa"/>
        <w:right w:w="100" w:type="dxa"/>
      </w:tblCellMar>
    </w:tblPr>
  </w:style>
  <w:style w:type="character" w:customStyle="1" w:styleId="UnresolvedMention10">
    <w:name w:val="Unresolved Mention1"/>
    <w:uiPriority w:val="99"/>
    <w:semiHidden/>
    <w:unhideWhenUsed/>
    <w:rsid w:val="008C6A37"/>
    <w:rPr>
      <w:color w:val="605E5C"/>
      <w:shd w:val="clear" w:color="auto" w:fill="E1DFDD"/>
    </w:rPr>
  </w:style>
  <w:style w:type="paragraph" w:customStyle="1" w:styleId="JBA-ReportText">
    <w:name w:val="JBA - Report Text"/>
    <w:basedOn w:val="Normal"/>
    <w:rsid w:val="008C6A37"/>
    <w:pPr>
      <w:spacing w:before="0" w:after="80" w:line="240" w:lineRule="auto"/>
      <w:ind w:left="720" w:right="720" w:firstLine="0"/>
      <w:jc w:val="left"/>
    </w:pPr>
    <w:rPr>
      <w:rFonts w:ascii="Verdana" w:hAnsi="Verdana" w:cs="Times New Roman"/>
      <w:kern w:val="0"/>
      <w:sz w:val="21"/>
      <w:szCs w:val="20"/>
      <w:lang w:eastAsia="en-GB"/>
    </w:rPr>
  </w:style>
  <w:style w:type="paragraph" w:styleId="FootnoteText">
    <w:name w:val="footnote text"/>
    <w:aliases w:val="Fußnote,Footnote Text Char Char,single space,footnote text,FOOTNOTES,fn,stile 1,Footnote,Footnote1,Footnote2,Footnote3,Footnote4,Footnote5,Footnote6,Footnote7,Footnote8,Footnote9,Footnote10,Footnote11,Footnote21,fn Char,WB-Fußnotentext,ADB"/>
    <w:basedOn w:val="Normal"/>
    <w:link w:val="FootnoteTextChar"/>
    <w:uiPriority w:val="99"/>
    <w:qFormat/>
    <w:rsid w:val="008C6A37"/>
    <w:pPr>
      <w:keepNext/>
      <w:spacing w:before="0" w:after="0" w:line="240" w:lineRule="auto"/>
      <w:ind w:firstLine="0"/>
      <w:jc w:val="left"/>
    </w:pPr>
    <w:rPr>
      <w:rFonts w:ascii="Verdana" w:hAnsi="Verdana" w:cs="Times New Roman"/>
      <w:kern w:val="0"/>
      <w:sz w:val="18"/>
      <w:szCs w:val="20"/>
      <w:lang w:eastAsia="en-GB"/>
    </w:rPr>
  </w:style>
  <w:style w:type="character" w:customStyle="1" w:styleId="FootnoteTextChar">
    <w:name w:val="Footnote Text Char"/>
    <w:aliases w:val="Fußnote Char,Footnote Text Char Char Char,single space Char,footnote text Char,FOOTNOTES Char,fn Char1,stile 1 Char,Footnote Char,Footnote1 Char,Footnote2 Char,Footnote3 Char,Footnote4 Char,Footnote5 Char,Footnote6 Char,Footnote7 Char"/>
    <w:link w:val="FootnoteText"/>
    <w:uiPriority w:val="99"/>
    <w:qFormat/>
    <w:rsid w:val="008C6A37"/>
    <w:rPr>
      <w:rFonts w:ascii="Verdana" w:hAnsi="Verdana" w:cs="Times New Roman"/>
      <w:sz w:val="18"/>
    </w:rPr>
  </w:style>
  <w:style w:type="character" w:styleId="FootnoteReference">
    <w:name w:val="footnote reference"/>
    <w:aliases w:val="ftref,Знак сноски-FN,16 Point,Superscript 6 Point,Footnote Reference Superscript,Footnote symbol,Footnote Reference Number,BVI fnr,footnote ref,Footnote Reference_LVL6,Footnote Reference_LVL61,Footnote Reference_LVL62,Ref,fr"/>
    <w:link w:val="ftrefCaracterCaracterCaracter"/>
    <w:uiPriority w:val="99"/>
    <w:qFormat/>
    <w:rsid w:val="008C6A37"/>
    <w:rPr>
      <w:vertAlign w:val="superscript"/>
    </w:rPr>
  </w:style>
  <w:style w:type="character" w:customStyle="1" w:styleId="ListParagraphChar">
    <w:name w:val="List Paragraph Char"/>
    <w:aliases w:val="body 2 Char,Normal bullet 2 Char,List Paragraph1 Char,Forth level Char,Lettre d'introduction Char,Header bold Char,bullets Char,Arial Char,List Paragraph111111 Char,List Paragraph11 Char,List Paragraph111 Char,List Paragraph1111 Char"/>
    <w:link w:val="ListParagraph"/>
    <w:uiPriority w:val="34"/>
    <w:qFormat/>
    <w:rsid w:val="008C6A37"/>
    <w:rPr>
      <w:kern w:val="2"/>
      <w:sz w:val="24"/>
      <w:szCs w:val="24"/>
      <w:lang w:eastAsia="en-US"/>
    </w:rPr>
  </w:style>
  <w:style w:type="paragraph" w:customStyle="1" w:styleId="ftrefCaracterCaracterCaracter">
    <w:name w:val="ftref Caracter Caracter Caracter"/>
    <w:aliases w:val="Footnotes refss Caracter Caracter Caracter,Fussnota Caracter Caracter Caracter,Footnote symbol Caracter Caracter Caracter,Footnote reference number Caracter Caracter Caracter"/>
    <w:basedOn w:val="Normal"/>
    <w:link w:val="FootnoteReference"/>
    <w:uiPriority w:val="99"/>
    <w:rsid w:val="008C6A37"/>
    <w:pPr>
      <w:spacing w:line="240" w:lineRule="exact"/>
      <w:ind w:firstLine="0"/>
    </w:pPr>
    <w:rPr>
      <w:kern w:val="0"/>
      <w:sz w:val="20"/>
      <w:szCs w:val="20"/>
      <w:vertAlign w:val="superscript"/>
      <w:lang w:eastAsia="en-GB"/>
    </w:rPr>
  </w:style>
  <w:style w:type="paragraph" w:styleId="EndnoteText">
    <w:name w:val="endnote text"/>
    <w:basedOn w:val="Normal"/>
    <w:link w:val="EndnoteTextChar"/>
    <w:uiPriority w:val="99"/>
    <w:semiHidden/>
    <w:unhideWhenUsed/>
    <w:rsid w:val="008C6A37"/>
    <w:pPr>
      <w:spacing w:before="0" w:after="0" w:line="240" w:lineRule="auto"/>
      <w:ind w:firstLine="0"/>
      <w:jc w:val="left"/>
    </w:pPr>
    <w:rPr>
      <w:rFonts w:ascii="Arial" w:eastAsia="Arial" w:hAnsi="Arial"/>
      <w:kern w:val="0"/>
      <w:sz w:val="20"/>
      <w:szCs w:val="20"/>
      <w:lang w:val="en"/>
    </w:rPr>
  </w:style>
  <w:style w:type="character" w:customStyle="1" w:styleId="EndnoteTextChar">
    <w:name w:val="Endnote Text Char"/>
    <w:link w:val="EndnoteText"/>
    <w:uiPriority w:val="99"/>
    <w:semiHidden/>
    <w:rsid w:val="008C6A37"/>
    <w:rPr>
      <w:rFonts w:ascii="Arial" w:eastAsia="Arial" w:hAnsi="Arial"/>
      <w:lang w:val="en" w:eastAsia="en-US"/>
    </w:rPr>
  </w:style>
  <w:style w:type="character" w:styleId="EndnoteReference">
    <w:name w:val="endnote reference"/>
    <w:uiPriority w:val="99"/>
    <w:semiHidden/>
    <w:unhideWhenUsed/>
    <w:rsid w:val="008C6A37"/>
    <w:rPr>
      <w:vertAlign w:val="superscript"/>
    </w:rPr>
  </w:style>
  <w:style w:type="character" w:customStyle="1" w:styleId="UnresolvedMention2">
    <w:name w:val="Unresolved Mention2"/>
    <w:uiPriority w:val="99"/>
    <w:semiHidden/>
    <w:unhideWhenUsed/>
    <w:rsid w:val="008C6A37"/>
    <w:rPr>
      <w:color w:val="605E5C"/>
      <w:shd w:val="clear" w:color="auto" w:fill="E1DFDD"/>
    </w:rPr>
  </w:style>
  <w:style w:type="numbering" w:customStyle="1" w:styleId="NoList3">
    <w:name w:val="No List3"/>
    <w:next w:val="NoList"/>
    <w:uiPriority w:val="99"/>
    <w:semiHidden/>
    <w:unhideWhenUsed/>
    <w:rsid w:val="00344FCE"/>
  </w:style>
  <w:style w:type="table" w:customStyle="1" w:styleId="TableGrid1">
    <w:name w:val="Table Grid1"/>
    <w:basedOn w:val="TableNormal"/>
    <w:next w:val="TableGrid"/>
    <w:uiPriority w:val="39"/>
    <w:rsid w:val="00344FCE"/>
    <w:rPr>
      <w:rFonts w:ascii="Arial" w:eastAsia="Arial" w:hAnsi="Arial"/>
      <w:sz w:val="22"/>
      <w:szCs w:val="22"/>
      <w:lang w:val="en"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5D2CE5"/>
    <w:pPr>
      <w:spacing w:after="100"/>
      <w:ind w:left="720"/>
    </w:pPr>
  </w:style>
  <w:style w:type="table" w:customStyle="1" w:styleId="6">
    <w:name w:val="6"/>
    <w:basedOn w:val="TableNormal"/>
    <w:rsid w:val="00D535CE"/>
    <w:pPr>
      <w:spacing w:after="160" w:line="256" w:lineRule="auto"/>
    </w:pPr>
    <w:rPr>
      <w:rFonts w:ascii="Calibri" w:hAnsi="Calibri" w:cs="Calibri"/>
      <w:sz w:val="22"/>
      <w:szCs w:val="22"/>
    </w:rPr>
    <w:tblPr>
      <w:tblStyleRowBandSize w:val="1"/>
      <w:tblStyleColBandSize w:val="1"/>
      <w:tblCellMar>
        <w:top w:w="15" w:type="dxa"/>
        <w:left w:w="15" w:type="dxa"/>
        <w:bottom w:w="15" w:type="dxa"/>
        <w:right w:w="15" w:type="dxa"/>
      </w:tblCellMar>
    </w:tblPr>
  </w:style>
  <w:style w:type="table" w:customStyle="1" w:styleId="5">
    <w:name w:val="5"/>
    <w:basedOn w:val="TableNormal"/>
    <w:rsid w:val="00D535CE"/>
    <w:pPr>
      <w:spacing w:after="160" w:line="256" w:lineRule="auto"/>
    </w:pPr>
    <w:rPr>
      <w:rFonts w:ascii="Calibri" w:hAnsi="Calibri" w:cs="Calibri"/>
      <w:sz w:val="22"/>
      <w:szCs w:val="22"/>
    </w:rPr>
    <w:tblPr>
      <w:tblStyleRowBandSize w:val="1"/>
      <w:tblStyleColBandSize w:val="1"/>
      <w:tblCellMar>
        <w:top w:w="15" w:type="dxa"/>
        <w:left w:w="15" w:type="dxa"/>
        <w:bottom w:w="15" w:type="dxa"/>
        <w:right w:w="15" w:type="dxa"/>
      </w:tblCellMar>
    </w:tblPr>
  </w:style>
  <w:style w:type="table" w:customStyle="1" w:styleId="4">
    <w:name w:val="4"/>
    <w:basedOn w:val="TableNormal"/>
    <w:rsid w:val="00D535CE"/>
    <w:pPr>
      <w:spacing w:after="160" w:line="256" w:lineRule="auto"/>
    </w:pPr>
    <w:rPr>
      <w:rFonts w:ascii="Calibri" w:hAnsi="Calibri" w:cs="Calibri"/>
      <w:sz w:val="22"/>
      <w:szCs w:val="22"/>
    </w:rPr>
    <w:tblPr>
      <w:tblStyleRowBandSize w:val="1"/>
      <w:tblStyleColBandSize w:val="1"/>
      <w:tblCellMar>
        <w:top w:w="15" w:type="dxa"/>
        <w:left w:w="15" w:type="dxa"/>
        <w:bottom w:w="15" w:type="dxa"/>
        <w:right w:w="15" w:type="dxa"/>
      </w:tblCellMar>
    </w:tblPr>
  </w:style>
  <w:style w:type="character" w:customStyle="1" w:styleId="FootnoteTextChar1">
    <w:name w:val="Footnote Text Char1"/>
    <w:aliases w:val="Fußnote Char1,Footnote Text Char Char Char1,single space Char1,footnote text Char1,FOOTNOTES Char1,fn Char2,stile 1 Char1,Footnote Char1,Footnote1 Char1,Footnote2 Char1,Footnote3 Char1,Footnote4 Char1,Footnote5 Char1,Footnote6 Char1"/>
    <w:basedOn w:val="DefaultParagraphFont"/>
    <w:uiPriority w:val="99"/>
    <w:semiHidden/>
    <w:rsid w:val="00D535CE"/>
    <w:rPr>
      <w:sz w:val="20"/>
      <w:szCs w:val="20"/>
    </w:rPr>
  </w:style>
  <w:style w:type="character" w:customStyle="1" w:styleId="spct">
    <w:name w:val="s_pct"/>
    <w:basedOn w:val="DefaultParagraphFont"/>
    <w:rsid w:val="00D535CE"/>
  </w:style>
  <w:style w:type="character" w:customStyle="1" w:styleId="spctttl">
    <w:name w:val="s_pct_ttl"/>
    <w:basedOn w:val="DefaultParagraphFont"/>
    <w:rsid w:val="00D535CE"/>
  </w:style>
  <w:style w:type="character" w:customStyle="1" w:styleId="spctbdy">
    <w:name w:val="s_pct_bdy"/>
    <w:basedOn w:val="DefaultParagraphFont"/>
    <w:rsid w:val="00D535C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758590">
      <w:bodyDiv w:val="1"/>
      <w:marLeft w:val="0"/>
      <w:marRight w:val="0"/>
      <w:marTop w:val="0"/>
      <w:marBottom w:val="0"/>
      <w:divBdr>
        <w:top w:val="none" w:sz="0" w:space="0" w:color="auto"/>
        <w:left w:val="none" w:sz="0" w:space="0" w:color="auto"/>
        <w:bottom w:val="none" w:sz="0" w:space="0" w:color="auto"/>
        <w:right w:val="none" w:sz="0" w:space="0" w:color="auto"/>
      </w:divBdr>
    </w:div>
    <w:div w:id="102382258">
      <w:bodyDiv w:val="1"/>
      <w:marLeft w:val="0"/>
      <w:marRight w:val="0"/>
      <w:marTop w:val="0"/>
      <w:marBottom w:val="0"/>
      <w:divBdr>
        <w:top w:val="none" w:sz="0" w:space="0" w:color="auto"/>
        <w:left w:val="none" w:sz="0" w:space="0" w:color="auto"/>
        <w:bottom w:val="none" w:sz="0" w:space="0" w:color="auto"/>
        <w:right w:val="none" w:sz="0" w:space="0" w:color="auto"/>
      </w:divBdr>
    </w:div>
    <w:div w:id="165874983">
      <w:bodyDiv w:val="1"/>
      <w:marLeft w:val="0"/>
      <w:marRight w:val="0"/>
      <w:marTop w:val="0"/>
      <w:marBottom w:val="0"/>
      <w:divBdr>
        <w:top w:val="none" w:sz="0" w:space="0" w:color="auto"/>
        <w:left w:val="none" w:sz="0" w:space="0" w:color="auto"/>
        <w:bottom w:val="none" w:sz="0" w:space="0" w:color="auto"/>
        <w:right w:val="none" w:sz="0" w:space="0" w:color="auto"/>
      </w:divBdr>
    </w:div>
    <w:div w:id="256792779">
      <w:bodyDiv w:val="1"/>
      <w:marLeft w:val="0"/>
      <w:marRight w:val="0"/>
      <w:marTop w:val="0"/>
      <w:marBottom w:val="0"/>
      <w:divBdr>
        <w:top w:val="none" w:sz="0" w:space="0" w:color="auto"/>
        <w:left w:val="none" w:sz="0" w:space="0" w:color="auto"/>
        <w:bottom w:val="none" w:sz="0" w:space="0" w:color="auto"/>
        <w:right w:val="none" w:sz="0" w:space="0" w:color="auto"/>
      </w:divBdr>
    </w:div>
    <w:div w:id="270168495">
      <w:bodyDiv w:val="1"/>
      <w:marLeft w:val="0"/>
      <w:marRight w:val="0"/>
      <w:marTop w:val="0"/>
      <w:marBottom w:val="0"/>
      <w:divBdr>
        <w:top w:val="none" w:sz="0" w:space="0" w:color="auto"/>
        <w:left w:val="none" w:sz="0" w:space="0" w:color="auto"/>
        <w:bottom w:val="none" w:sz="0" w:space="0" w:color="auto"/>
        <w:right w:val="none" w:sz="0" w:space="0" w:color="auto"/>
      </w:divBdr>
    </w:div>
    <w:div w:id="273832328">
      <w:bodyDiv w:val="1"/>
      <w:marLeft w:val="0"/>
      <w:marRight w:val="0"/>
      <w:marTop w:val="0"/>
      <w:marBottom w:val="0"/>
      <w:divBdr>
        <w:top w:val="none" w:sz="0" w:space="0" w:color="auto"/>
        <w:left w:val="none" w:sz="0" w:space="0" w:color="auto"/>
        <w:bottom w:val="none" w:sz="0" w:space="0" w:color="auto"/>
        <w:right w:val="none" w:sz="0" w:space="0" w:color="auto"/>
      </w:divBdr>
    </w:div>
    <w:div w:id="285934552">
      <w:bodyDiv w:val="1"/>
      <w:marLeft w:val="0"/>
      <w:marRight w:val="0"/>
      <w:marTop w:val="0"/>
      <w:marBottom w:val="0"/>
      <w:divBdr>
        <w:top w:val="none" w:sz="0" w:space="0" w:color="auto"/>
        <w:left w:val="none" w:sz="0" w:space="0" w:color="auto"/>
        <w:bottom w:val="none" w:sz="0" w:space="0" w:color="auto"/>
        <w:right w:val="none" w:sz="0" w:space="0" w:color="auto"/>
      </w:divBdr>
      <w:divsChild>
        <w:div w:id="644546733">
          <w:marLeft w:val="0"/>
          <w:marRight w:val="0"/>
          <w:marTop w:val="0"/>
          <w:marBottom w:val="0"/>
          <w:divBdr>
            <w:top w:val="none" w:sz="0" w:space="0" w:color="auto"/>
            <w:left w:val="none" w:sz="0" w:space="0" w:color="auto"/>
            <w:bottom w:val="single" w:sz="6" w:space="0" w:color="F9FBFD"/>
            <w:right w:val="none" w:sz="0" w:space="0" w:color="auto"/>
          </w:divBdr>
          <w:divsChild>
            <w:div w:id="479925654">
              <w:marLeft w:val="0"/>
              <w:marRight w:val="0"/>
              <w:marTop w:val="0"/>
              <w:marBottom w:val="0"/>
              <w:divBdr>
                <w:top w:val="none" w:sz="0" w:space="0" w:color="auto"/>
                <w:left w:val="none" w:sz="0" w:space="0" w:color="auto"/>
                <w:bottom w:val="none" w:sz="0" w:space="0" w:color="auto"/>
                <w:right w:val="none" w:sz="0" w:space="0" w:color="auto"/>
              </w:divBdr>
              <w:divsChild>
                <w:div w:id="739795025">
                  <w:marLeft w:val="240"/>
                  <w:marRight w:val="240"/>
                  <w:marTop w:val="90"/>
                  <w:marBottom w:val="120"/>
                  <w:divBdr>
                    <w:top w:val="none" w:sz="0" w:space="0" w:color="auto"/>
                    <w:left w:val="none" w:sz="0" w:space="0" w:color="auto"/>
                    <w:bottom w:val="none" w:sz="0" w:space="0" w:color="auto"/>
                    <w:right w:val="none" w:sz="0" w:space="0" w:color="auto"/>
                  </w:divBdr>
                  <w:divsChild>
                    <w:div w:id="726953286">
                      <w:marLeft w:val="0"/>
                      <w:marRight w:val="180"/>
                      <w:marTop w:val="0"/>
                      <w:marBottom w:val="0"/>
                      <w:divBdr>
                        <w:top w:val="none" w:sz="0" w:space="0" w:color="auto"/>
                        <w:left w:val="none" w:sz="0" w:space="0" w:color="auto"/>
                        <w:bottom w:val="none" w:sz="0" w:space="0" w:color="auto"/>
                        <w:right w:val="none" w:sz="0" w:space="0" w:color="auto"/>
                      </w:divBdr>
                      <w:divsChild>
                        <w:div w:id="584805461">
                          <w:marLeft w:val="120"/>
                          <w:marRight w:val="45"/>
                          <w:marTop w:val="150"/>
                          <w:marBottom w:val="150"/>
                          <w:divBdr>
                            <w:top w:val="none" w:sz="0" w:space="0" w:color="C7C7C7"/>
                            <w:left w:val="single" w:sz="6" w:space="0" w:color="C7C7C7"/>
                            <w:bottom w:val="none" w:sz="0" w:space="0" w:color="C7C7C7"/>
                            <w:right w:val="none" w:sz="0" w:space="0" w:color="C7C7C7"/>
                          </w:divBdr>
                        </w:div>
                      </w:divsChild>
                    </w:div>
                    <w:div w:id="1275668964">
                      <w:marLeft w:val="0"/>
                      <w:marRight w:val="0"/>
                      <w:marTop w:val="0"/>
                      <w:marBottom w:val="0"/>
                      <w:divBdr>
                        <w:top w:val="none" w:sz="0" w:space="0" w:color="auto"/>
                        <w:left w:val="none" w:sz="0" w:space="0" w:color="auto"/>
                        <w:bottom w:val="none" w:sz="0" w:space="0" w:color="auto"/>
                        <w:right w:val="none" w:sz="0" w:space="0" w:color="auto"/>
                      </w:divBdr>
                      <w:divsChild>
                        <w:div w:id="686297231">
                          <w:marLeft w:val="0"/>
                          <w:marRight w:val="0"/>
                          <w:marTop w:val="0"/>
                          <w:marBottom w:val="0"/>
                          <w:divBdr>
                            <w:top w:val="single" w:sz="2" w:space="0" w:color="E5E5E5"/>
                            <w:left w:val="none" w:sz="0" w:space="0" w:color="auto"/>
                            <w:bottom w:val="none" w:sz="0" w:space="0" w:color="auto"/>
                            <w:right w:val="none" w:sz="0" w:space="0" w:color="auto"/>
                          </w:divBdr>
                          <w:divsChild>
                            <w:div w:id="102071042">
                              <w:marLeft w:val="15"/>
                              <w:marRight w:val="15"/>
                              <w:marTop w:val="75"/>
                              <w:marBottom w:val="75"/>
                              <w:divBdr>
                                <w:top w:val="single" w:sz="6" w:space="0" w:color="auto"/>
                                <w:left w:val="single" w:sz="6" w:space="0" w:color="auto"/>
                                <w:bottom w:val="single" w:sz="6" w:space="0" w:color="auto"/>
                                <w:right w:val="single" w:sz="6" w:space="0" w:color="auto"/>
                              </w:divBdr>
                              <w:divsChild>
                                <w:div w:id="1753047577">
                                  <w:marLeft w:val="0"/>
                                  <w:marRight w:val="0"/>
                                  <w:marTop w:val="0"/>
                                  <w:marBottom w:val="0"/>
                                  <w:divBdr>
                                    <w:top w:val="none" w:sz="0" w:space="0" w:color="auto"/>
                                    <w:left w:val="none" w:sz="0" w:space="0" w:color="auto"/>
                                    <w:bottom w:val="none" w:sz="0" w:space="0" w:color="auto"/>
                                    <w:right w:val="none" w:sz="0" w:space="0" w:color="auto"/>
                                  </w:divBdr>
                                  <w:divsChild>
                                    <w:div w:id="1219903989">
                                      <w:marLeft w:val="0"/>
                                      <w:marRight w:val="15"/>
                                      <w:marTop w:val="0"/>
                                      <w:marBottom w:val="0"/>
                                      <w:divBdr>
                                        <w:top w:val="none" w:sz="0" w:space="0" w:color="auto"/>
                                        <w:left w:val="none" w:sz="0" w:space="0" w:color="auto"/>
                                        <w:bottom w:val="none" w:sz="0" w:space="0" w:color="auto"/>
                                        <w:right w:val="none" w:sz="0" w:space="0" w:color="auto"/>
                                      </w:divBdr>
                                      <w:divsChild>
                                        <w:div w:id="844170923">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2174338">
                              <w:marLeft w:val="45"/>
                              <w:marRight w:val="45"/>
                              <w:marTop w:val="150"/>
                              <w:marBottom w:val="150"/>
                              <w:divBdr>
                                <w:top w:val="none" w:sz="0" w:space="0" w:color="C7C7C7"/>
                                <w:left w:val="single" w:sz="6" w:space="0" w:color="C7C7C7"/>
                                <w:bottom w:val="none" w:sz="0" w:space="0" w:color="C7C7C7"/>
                                <w:right w:val="none" w:sz="0" w:space="0" w:color="C7C7C7"/>
                              </w:divBdr>
                            </w:div>
                            <w:div w:id="613633654">
                              <w:marLeft w:val="45"/>
                              <w:marRight w:val="45"/>
                              <w:marTop w:val="150"/>
                              <w:marBottom w:val="150"/>
                              <w:divBdr>
                                <w:top w:val="none" w:sz="0" w:space="0" w:color="C7C7C7"/>
                                <w:left w:val="single" w:sz="6" w:space="0" w:color="C7C7C7"/>
                                <w:bottom w:val="none" w:sz="0" w:space="0" w:color="C7C7C7"/>
                                <w:right w:val="none" w:sz="0" w:space="0" w:color="C7C7C7"/>
                              </w:divBdr>
                            </w:div>
                            <w:div w:id="633104846">
                              <w:marLeft w:val="45"/>
                              <w:marRight w:val="45"/>
                              <w:marTop w:val="150"/>
                              <w:marBottom w:val="150"/>
                              <w:divBdr>
                                <w:top w:val="none" w:sz="0" w:space="0" w:color="C7C7C7"/>
                                <w:left w:val="single" w:sz="6" w:space="0" w:color="C7C7C7"/>
                                <w:bottom w:val="none" w:sz="0" w:space="0" w:color="C7C7C7"/>
                                <w:right w:val="none" w:sz="0" w:space="0" w:color="C7C7C7"/>
                              </w:divBdr>
                            </w:div>
                            <w:div w:id="944725737">
                              <w:marLeft w:val="15"/>
                              <w:marRight w:val="15"/>
                              <w:marTop w:val="75"/>
                              <w:marBottom w:val="75"/>
                              <w:divBdr>
                                <w:top w:val="single" w:sz="6" w:space="0" w:color="auto"/>
                                <w:left w:val="single" w:sz="6" w:space="0" w:color="auto"/>
                                <w:bottom w:val="single" w:sz="6" w:space="0" w:color="auto"/>
                                <w:right w:val="single" w:sz="6" w:space="0" w:color="auto"/>
                              </w:divBdr>
                              <w:divsChild>
                                <w:div w:id="22826815">
                                  <w:marLeft w:val="0"/>
                                  <w:marRight w:val="0"/>
                                  <w:marTop w:val="0"/>
                                  <w:marBottom w:val="0"/>
                                  <w:divBdr>
                                    <w:top w:val="none" w:sz="0" w:space="0" w:color="auto"/>
                                    <w:left w:val="none" w:sz="0" w:space="0" w:color="auto"/>
                                    <w:bottom w:val="none" w:sz="0" w:space="0" w:color="auto"/>
                                    <w:right w:val="none" w:sz="0" w:space="0" w:color="auto"/>
                                  </w:divBdr>
                                  <w:divsChild>
                                    <w:div w:id="1090810978">
                                      <w:marLeft w:val="45"/>
                                      <w:marRight w:val="60"/>
                                      <w:marTop w:val="0"/>
                                      <w:marBottom w:val="0"/>
                                      <w:divBdr>
                                        <w:top w:val="none" w:sz="0" w:space="0" w:color="auto"/>
                                        <w:left w:val="none" w:sz="0" w:space="0" w:color="auto"/>
                                        <w:bottom w:val="none" w:sz="0" w:space="0" w:color="auto"/>
                                        <w:right w:val="none" w:sz="0" w:space="0" w:color="auto"/>
                                      </w:divBdr>
                                      <w:divsChild>
                                        <w:div w:id="1043871813">
                                          <w:marLeft w:val="-4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850900">
                              <w:marLeft w:val="45"/>
                              <w:marRight w:val="45"/>
                              <w:marTop w:val="0"/>
                              <w:marBottom w:val="0"/>
                              <w:divBdr>
                                <w:top w:val="single" w:sz="6" w:space="0" w:color="747775"/>
                                <w:left w:val="single" w:sz="6" w:space="0" w:color="747775"/>
                                <w:bottom w:val="single" w:sz="6" w:space="0" w:color="747775"/>
                                <w:right w:val="single" w:sz="6" w:space="0" w:color="747775"/>
                              </w:divBdr>
                              <w:divsChild>
                                <w:div w:id="1769039631">
                                  <w:marLeft w:val="0"/>
                                  <w:marRight w:val="0"/>
                                  <w:marTop w:val="0"/>
                                  <w:marBottom w:val="0"/>
                                  <w:divBdr>
                                    <w:top w:val="none" w:sz="0" w:space="0" w:color="auto"/>
                                    <w:left w:val="none" w:sz="0" w:space="0" w:color="auto"/>
                                    <w:bottom w:val="none" w:sz="0" w:space="0" w:color="auto"/>
                                    <w:right w:val="none" w:sz="0" w:space="0" w:color="auto"/>
                                  </w:divBdr>
                                  <w:divsChild>
                                    <w:div w:id="110512012">
                                      <w:marLeft w:val="0"/>
                                      <w:marRight w:val="0"/>
                                      <w:marTop w:val="0"/>
                                      <w:marBottom w:val="0"/>
                                      <w:divBdr>
                                        <w:top w:val="none" w:sz="0" w:space="0" w:color="auto"/>
                                        <w:left w:val="none" w:sz="0" w:space="0" w:color="auto"/>
                                        <w:bottom w:val="none" w:sz="0" w:space="0" w:color="auto"/>
                                        <w:right w:val="none" w:sz="0" w:space="0" w:color="auto"/>
                                      </w:divBdr>
                                      <w:divsChild>
                                        <w:div w:id="152760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8947457">
                              <w:marLeft w:val="45"/>
                              <w:marRight w:val="45"/>
                              <w:marTop w:val="150"/>
                              <w:marBottom w:val="150"/>
                              <w:divBdr>
                                <w:top w:val="none" w:sz="0" w:space="0" w:color="C7C7C7"/>
                                <w:left w:val="single" w:sz="6" w:space="0" w:color="C7C7C7"/>
                                <w:bottom w:val="none" w:sz="0" w:space="0" w:color="C7C7C7"/>
                                <w:right w:val="none" w:sz="0" w:space="0" w:color="C7C7C7"/>
                              </w:divBdr>
                            </w:div>
                            <w:div w:id="1861433901">
                              <w:marLeft w:val="15"/>
                              <w:marRight w:val="15"/>
                              <w:marTop w:val="75"/>
                              <w:marBottom w:val="75"/>
                              <w:divBdr>
                                <w:top w:val="single" w:sz="6" w:space="0" w:color="auto"/>
                                <w:left w:val="single" w:sz="6" w:space="0" w:color="auto"/>
                                <w:bottom w:val="single" w:sz="6" w:space="0" w:color="auto"/>
                                <w:right w:val="single" w:sz="6" w:space="0" w:color="auto"/>
                              </w:divBdr>
                              <w:divsChild>
                                <w:div w:id="1012413029">
                                  <w:marLeft w:val="0"/>
                                  <w:marRight w:val="0"/>
                                  <w:marTop w:val="0"/>
                                  <w:marBottom w:val="0"/>
                                  <w:divBdr>
                                    <w:top w:val="none" w:sz="0" w:space="0" w:color="auto"/>
                                    <w:left w:val="none" w:sz="0" w:space="0" w:color="auto"/>
                                    <w:bottom w:val="none" w:sz="0" w:space="0" w:color="auto"/>
                                    <w:right w:val="none" w:sz="0" w:space="0" w:color="auto"/>
                                  </w:divBdr>
                                  <w:divsChild>
                                    <w:div w:id="1971789868">
                                      <w:marLeft w:val="0"/>
                                      <w:marRight w:val="15"/>
                                      <w:marTop w:val="0"/>
                                      <w:marBottom w:val="0"/>
                                      <w:divBdr>
                                        <w:top w:val="none" w:sz="0" w:space="0" w:color="auto"/>
                                        <w:left w:val="none" w:sz="0" w:space="0" w:color="auto"/>
                                        <w:bottom w:val="none" w:sz="0" w:space="0" w:color="auto"/>
                                        <w:right w:val="none" w:sz="0" w:space="0" w:color="auto"/>
                                      </w:divBdr>
                                      <w:divsChild>
                                        <w:div w:id="739863823">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661116">
                              <w:marLeft w:val="45"/>
                              <w:marRight w:val="45"/>
                              <w:marTop w:val="150"/>
                              <w:marBottom w:val="150"/>
                              <w:divBdr>
                                <w:top w:val="none" w:sz="0" w:space="0" w:color="C7C7C7"/>
                                <w:left w:val="single" w:sz="6" w:space="0" w:color="C7C7C7"/>
                                <w:bottom w:val="none" w:sz="0" w:space="0" w:color="C7C7C7"/>
                                <w:right w:val="none" w:sz="0" w:space="0" w:color="C7C7C7"/>
                              </w:divBdr>
                            </w:div>
                          </w:divsChild>
                        </w:div>
                      </w:divsChild>
                    </w:div>
                  </w:divsChild>
                </w:div>
                <w:div w:id="780152253">
                  <w:marLeft w:val="0"/>
                  <w:marRight w:val="0"/>
                  <w:marTop w:val="0"/>
                  <w:marBottom w:val="0"/>
                  <w:divBdr>
                    <w:top w:val="none" w:sz="0" w:space="0" w:color="auto"/>
                    <w:left w:val="none" w:sz="0" w:space="0" w:color="auto"/>
                    <w:bottom w:val="none" w:sz="0" w:space="0" w:color="auto"/>
                    <w:right w:val="none" w:sz="0" w:space="0" w:color="auto"/>
                  </w:divBdr>
                  <w:divsChild>
                    <w:div w:id="1204056300">
                      <w:marLeft w:val="810"/>
                      <w:marRight w:val="0"/>
                      <w:marTop w:val="0"/>
                      <w:marBottom w:val="0"/>
                      <w:divBdr>
                        <w:top w:val="none" w:sz="0" w:space="0" w:color="auto"/>
                        <w:left w:val="none" w:sz="0" w:space="0" w:color="auto"/>
                        <w:bottom w:val="none" w:sz="0" w:space="0" w:color="auto"/>
                        <w:right w:val="none" w:sz="0" w:space="0" w:color="auto"/>
                      </w:divBdr>
                      <w:divsChild>
                        <w:div w:id="35545861">
                          <w:marLeft w:val="0"/>
                          <w:marRight w:val="0"/>
                          <w:marTop w:val="120"/>
                          <w:marBottom w:val="0"/>
                          <w:divBdr>
                            <w:top w:val="none" w:sz="0" w:space="0" w:color="auto"/>
                            <w:left w:val="none" w:sz="0" w:space="0" w:color="auto"/>
                            <w:bottom w:val="none" w:sz="0" w:space="0" w:color="auto"/>
                            <w:right w:val="none" w:sz="0" w:space="0" w:color="auto"/>
                          </w:divBdr>
                        </w:div>
                        <w:div w:id="37776680">
                          <w:marLeft w:val="0"/>
                          <w:marRight w:val="0"/>
                          <w:marTop w:val="120"/>
                          <w:marBottom w:val="0"/>
                          <w:divBdr>
                            <w:top w:val="none" w:sz="0" w:space="0" w:color="auto"/>
                            <w:left w:val="none" w:sz="0" w:space="0" w:color="auto"/>
                            <w:bottom w:val="none" w:sz="0" w:space="0" w:color="auto"/>
                            <w:right w:val="none" w:sz="0" w:space="0" w:color="auto"/>
                          </w:divBdr>
                        </w:div>
                        <w:div w:id="880633022">
                          <w:marLeft w:val="0"/>
                          <w:marRight w:val="0"/>
                          <w:marTop w:val="120"/>
                          <w:marBottom w:val="0"/>
                          <w:divBdr>
                            <w:top w:val="none" w:sz="0" w:space="0" w:color="auto"/>
                            <w:left w:val="none" w:sz="0" w:space="0" w:color="auto"/>
                            <w:bottom w:val="none" w:sz="0" w:space="0" w:color="auto"/>
                            <w:right w:val="none" w:sz="0" w:space="0" w:color="auto"/>
                          </w:divBdr>
                        </w:div>
                        <w:div w:id="1171137294">
                          <w:marLeft w:val="0"/>
                          <w:marRight w:val="0"/>
                          <w:marTop w:val="120"/>
                          <w:marBottom w:val="0"/>
                          <w:divBdr>
                            <w:top w:val="none" w:sz="0" w:space="0" w:color="auto"/>
                            <w:left w:val="none" w:sz="0" w:space="0" w:color="auto"/>
                            <w:bottom w:val="none" w:sz="0" w:space="0" w:color="auto"/>
                            <w:right w:val="none" w:sz="0" w:space="0" w:color="auto"/>
                          </w:divBdr>
                        </w:div>
                        <w:div w:id="1356803768">
                          <w:marLeft w:val="0"/>
                          <w:marRight w:val="0"/>
                          <w:marTop w:val="120"/>
                          <w:marBottom w:val="0"/>
                          <w:divBdr>
                            <w:top w:val="none" w:sz="0" w:space="0" w:color="auto"/>
                            <w:left w:val="none" w:sz="0" w:space="0" w:color="auto"/>
                            <w:bottom w:val="none" w:sz="0" w:space="0" w:color="auto"/>
                            <w:right w:val="none" w:sz="0" w:space="0" w:color="auto"/>
                          </w:divBdr>
                        </w:div>
                        <w:div w:id="1497183538">
                          <w:marLeft w:val="0"/>
                          <w:marRight w:val="0"/>
                          <w:marTop w:val="120"/>
                          <w:marBottom w:val="0"/>
                          <w:divBdr>
                            <w:top w:val="none" w:sz="0" w:space="0" w:color="auto"/>
                            <w:left w:val="none" w:sz="0" w:space="0" w:color="auto"/>
                            <w:bottom w:val="none" w:sz="0" w:space="0" w:color="auto"/>
                            <w:right w:val="none" w:sz="0" w:space="0" w:color="auto"/>
                          </w:divBdr>
                        </w:div>
                        <w:div w:id="1792550749">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908003869">
              <w:marLeft w:val="0"/>
              <w:marRight w:val="0"/>
              <w:marTop w:val="0"/>
              <w:marBottom w:val="0"/>
              <w:divBdr>
                <w:top w:val="none" w:sz="0" w:space="0" w:color="auto"/>
                <w:left w:val="none" w:sz="0" w:space="0" w:color="auto"/>
                <w:bottom w:val="none" w:sz="0" w:space="0" w:color="auto"/>
                <w:right w:val="none" w:sz="0" w:space="0" w:color="auto"/>
              </w:divBdr>
              <w:divsChild>
                <w:div w:id="808784442">
                  <w:marLeft w:val="0"/>
                  <w:marRight w:val="0"/>
                  <w:marTop w:val="0"/>
                  <w:marBottom w:val="0"/>
                  <w:divBdr>
                    <w:top w:val="none" w:sz="0" w:space="0" w:color="auto"/>
                    <w:left w:val="none" w:sz="0" w:space="0" w:color="auto"/>
                    <w:bottom w:val="none" w:sz="0" w:space="0" w:color="auto"/>
                    <w:right w:val="none" w:sz="0" w:space="0" w:color="auto"/>
                  </w:divBdr>
                  <w:divsChild>
                    <w:div w:id="2080902616">
                      <w:marLeft w:val="0"/>
                      <w:marRight w:val="0"/>
                      <w:marTop w:val="0"/>
                      <w:marBottom w:val="0"/>
                      <w:divBdr>
                        <w:top w:val="none" w:sz="0" w:space="0" w:color="auto"/>
                        <w:left w:val="none" w:sz="0" w:space="0" w:color="auto"/>
                        <w:bottom w:val="none" w:sz="0" w:space="0" w:color="auto"/>
                        <w:right w:val="none" w:sz="0" w:space="0" w:color="auto"/>
                      </w:divBdr>
                      <w:divsChild>
                        <w:div w:id="1177884730">
                          <w:marLeft w:val="810"/>
                          <w:marRight w:val="0"/>
                          <w:marTop w:val="0"/>
                          <w:marBottom w:val="0"/>
                          <w:divBdr>
                            <w:top w:val="none" w:sz="0" w:space="0" w:color="auto"/>
                            <w:left w:val="none" w:sz="0" w:space="0" w:color="auto"/>
                            <w:bottom w:val="none" w:sz="0" w:space="0" w:color="auto"/>
                            <w:right w:val="none" w:sz="0" w:space="0" w:color="auto"/>
                          </w:divBdr>
                          <w:divsChild>
                            <w:div w:id="330723451">
                              <w:marLeft w:val="0"/>
                              <w:marRight w:val="0"/>
                              <w:marTop w:val="0"/>
                              <w:marBottom w:val="0"/>
                              <w:divBdr>
                                <w:top w:val="none" w:sz="0" w:space="0" w:color="auto"/>
                                <w:left w:val="none" w:sz="0" w:space="0" w:color="auto"/>
                                <w:bottom w:val="none" w:sz="0" w:space="0" w:color="auto"/>
                                <w:right w:val="none" w:sz="0" w:space="0" w:color="auto"/>
                              </w:divBdr>
                              <w:divsChild>
                                <w:div w:id="1549099179">
                                  <w:marLeft w:val="0"/>
                                  <w:marRight w:val="0"/>
                                  <w:marTop w:val="0"/>
                                  <w:marBottom w:val="0"/>
                                  <w:divBdr>
                                    <w:top w:val="none" w:sz="0" w:space="0" w:color="auto"/>
                                    <w:left w:val="none" w:sz="0" w:space="0" w:color="auto"/>
                                    <w:bottom w:val="none" w:sz="0" w:space="0" w:color="auto"/>
                                    <w:right w:val="none" w:sz="0" w:space="0" w:color="auto"/>
                                  </w:divBdr>
                                  <w:divsChild>
                                    <w:div w:id="771053103">
                                      <w:marLeft w:val="0"/>
                                      <w:marRight w:val="0"/>
                                      <w:marTop w:val="0"/>
                                      <w:marBottom w:val="0"/>
                                      <w:divBdr>
                                        <w:top w:val="none" w:sz="0" w:space="0" w:color="auto"/>
                                        <w:left w:val="none" w:sz="0" w:space="0" w:color="auto"/>
                                        <w:bottom w:val="none" w:sz="0" w:space="0" w:color="auto"/>
                                        <w:right w:val="none" w:sz="0" w:space="0" w:color="auto"/>
                                      </w:divBdr>
                                      <w:divsChild>
                                        <w:div w:id="913320550">
                                          <w:marLeft w:val="0"/>
                                          <w:marRight w:val="0"/>
                                          <w:marTop w:val="0"/>
                                          <w:marBottom w:val="0"/>
                                          <w:divBdr>
                                            <w:top w:val="none" w:sz="0" w:space="0" w:color="auto"/>
                                            <w:left w:val="none" w:sz="0" w:space="0" w:color="auto"/>
                                            <w:bottom w:val="none" w:sz="0" w:space="0" w:color="auto"/>
                                            <w:right w:val="none" w:sz="0" w:space="0" w:color="auto"/>
                                          </w:divBdr>
                                          <w:divsChild>
                                            <w:div w:id="923687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363377">
                              <w:marLeft w:val="0"/>
                              <w:marRight w:val="0"/>
                              <w:marTop w:val="0"/>
                              <w:marBottom w:val="0"/>
                              <w:divBdr>
                                <w:top w:val="none" w:sz="0" w:space="0" w:color="auto"/>
                                <w:left w:val="none" w:sz="0" w:space="0" w:color="auto"/>
                                <w:bottom w:val="none" w:sz="0" w:space="0" w:color="auto"/>
                                <w:right w:val="none" w:sz="0" w:space="0" w:color="auto"/>
                              </w:divBdr>
                              <w:divsChild>
                                <w:div w:id="1974746718">
                                  <w:marLeft w:val="0"/>
                                  <w:marRight w:val="0"/>
                                  <w:marTop w:val="0"/>
                                  <w:marBottom w:val="0"/>
                                  <w:divBdr>
                                    <w:top w:val="none" w:sz="0" w:space="0" w:color="auto"/>
                                    <w:left w:val="none" w:sz="0" w:space="0" w:color="auto"/>
                                    <w:bottom w:val="none" w:sz="0" w:space="0" w:color="auto"/>
                                    <w:right w:val="none" w:sz="0" w:space="0" w:color="auto"/>
                                  </w:divBdr>
                                  <w:divsChild>
                                    <w:div w:id="1655572463">
                                      <w:marLeft w:val="0"/>
                                      <w:marRight w:val="0"/>
                                      <w:marTop w:val="0"/>
                                      <w:marBottom w:val="0"/>
                                      <w:divBdr>
                                        <w:top w:val="none" w:sz="0" w:space="0" w:color="auto"/>
                                        <w:left w:val="none" w:sz="0" w:space="0" w:color="auto"/>
                                        <w:bottom w:val="none" w:sz="0" w:space="0" w:color="auto"/>
                                        <w:right w:val="none" w:sz="0" w:space="0" w:color="auto"/>
                                      </w:divBdr>
                                      <w:divsChild>
                                        <w:div w:id="120640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8537084">
                              <w:marLeft w:val="0"/>
                              <w:marRight w:val="180"/>
                              <w:marTop w:val="0"/>
                              <w:marBottom w:val="0"/>
                              <w:divBdr>
                                <w:top w:val="none" w:sz="0" w:space="0" w:color="auto"/>
                                <w:left w:val="none" w:sz="0" w:space="0" w:color="auto"/>
                                <w:bottom w:val="none" w:sz="0" w:space="0" w:color="auto"/>
                                <w:right w:val="none" w:sz="0" w:space="0" w:color="auto"/>
                              </w:divBdr>
                            </w:div>
                            <w:div w:id="1586527105">
                              <w:marLeft w:val="0"/>
                              <w:marRight w:val="0"/>
                              <w:marTop w:val="0"/>
                              <w:marBottom w:val="0"/>
                              <w:divBdr>
                                <w:top w:val="none" w:sz="0" w:space="0" w:color="auto"/>
                                <w:left w:val="none" w:sz="0" w:space="0" w:color="auto"/>
                                <w:bottom w:val="none" w:sz="0" w:space="0" w:color="auto"/>
                                <w:right w:val="none" w:sz="0" w:space="0" w:color="auto"/>
                              </w:divBdr>
                              <w:divsChild>
                                <w:div w:id="1916551028">
                                  <w:marLeft w:val="30"/>
                                  <w:marRight w:val="120"/>
                                  <w:marTop w:val="0"/>
                                  <w:marBottom w:val="0"/>
                                  <w:divBdr>
                                    <w:top w:val="none" w:sz="0" w:space="0" w:color="auto"/>
                                    <w:left w:val="none" w:sz="0" w:space="0" w:color="auto"/>
                                    <w:bottom w:val="none" w:sz="0" w:space="0" w:color="auto"/>
                                    <w:right w:val="none" w:sz="0" w:space="0" w:color="auto"/>
                                  </w:divBdr>
                                  <w:divsChild>
                                    <w:div w:id="354698284">
                                      <w:marLeft w:val="0"/>
                                      <w:marRight w:val="0"/>
                                      <w:marTop w:val="0"/>
                                      <w:marBottom w:val="0"/>
                                      <w:divBdr>
                                        <w:top w:val="single" w:sz="24" w:space="0" w:color="auto"/>
                                        <w:left w:val="single" w:sz="24" w:space="0" w:color="auto"/>
                                        <w:bottom w:val="single" w:sz="2" w:space="0" w:color="auto"/>
                                        <w:right w:val="single" w:sz="24" w:space="0" w:color="auto"/>
                                      </w:divBdr>
                                    </w:div>
                                  </w:divsChild>
                                </w:div>
                              </w:divsChild>
                            </w:div>
                          </w:divsChild>
                        </w:div>
                      </w:divsChild>
                    </w:div>
                  </w:divsChild>
                </w:div>
              </w:divsChild>
            </w:div>
          </w:divsChild>
        </w:div>
        <w:div w:id="790827853">
          <w:marLeft w:val="0"/>
          <w:marRight w:val="0"/>
          <w:marTop w:val="0"/>
          <w:marBottom w:val="0"/>
          <w:divBdr>
            <w:top w:val="none" w:sz="0" w:space="0" w:color="auto"/>
            <w:left w:val="none" w:sz="0" w:space="0" w:color="auto"/>
            <w:bottom w:val="none" w:sz="0" w:space="0" w:color="auto"/>
            <w:right w:val="none" w:sz="0" w:space="0" w:color="auto"/>
          </w:divBdr>
          <w:divsChild>
            <w:div w:id="2079595196">
              <w:marLeft w:val="0"/>
              <w:marRight w:val="0"/>
              <w:marTop w:val="0"/>
              <w:marBottom w:val="0"/>
              <w:divBdr>
                <w:top w:val="none" w:sz="0" w:space="0" w:color="auto"/>
                <w:left w:val="none" w:sz="0" w:space="0" w:color="auto"/>
                <w:bottom w:val="none" w:sz="0" w:space="0" w:color="auto"/>
                <w:right w:val="none" w:sz="0" w:space="0" w:color="auto"/>
              </w:divBdr>
              <w:divsChild>
                <w:div w:id="1866288260">
                  <w:marLeft w:val="0"/>
                  <w:marRight w:val="0"/>
                  <w:marTop w:val="0"/>
                  <w:marBottom w:val="0"/>
                  <w:divBdr>
                    <w:top w:val="none" w:sz="0" w:space="0" w:color="auto"/>
                    <w:left w:val="none" w:sz="0" w:space="0" w:color="auto"/>
                    <w:bottom w:val="none" w:sz="0" w:space="0" w:color="auto"/>
                    <w:right w:val="none" w:sz="0" w:space="0" w:color="auto"/>
                  </w:divBdr>
                  <w:divsChild>
                    <w:div w:id="1999653212">
                      <w:marLeft w:val="0"/>
                      <w:marRight w:val="0"/>
                      <w:marTop w:val="0"/>
                      <w:marBottom w:val="0"/>
                      <w:divBdr>
                        <w:top w:val="none" w:sz="0" w:space="0" w:color="auto"/>
                        <w:left w:val="none" w:sz="0" w:space="0" w:color="auto"/>
                        <w:bottom w:val="none" w:sz="0" w:space="0" w:color="auto"/>
                        <w:right w:val="none" w:sz="0" w:space="0" w:color="auto"/>
                      </w:divBdr>
                      <w:divsChild>
                        <w:div w:id="419910995">
                          <w:marLeft w:val="0"/>
                          <w:marRight w:val="0"/>
                          <w:marTop w:val="0"/>
                          <w:marBottom w:val="0"/>
                          <w:divBdr>
                            <w:top w:val="none" w:sz="0" w:space="0" w:color="auto"/>
                            <w:left w:val="none" w:sz="0" w:space="0" w:color="auto"/>
                            <w:bottom w:val="none" w:sz="0" w:space="0" w:color="auto"/>
                            <w:right w:val="none" w:sz="0" w:space="0" w:color="auto"/>
                          </w:divBdr>
                          <w:divsChild>
                            <w:div w:id="1310792873">
                              <w:marLeft w:val="0"/>
                              <w:marRight w:val="0"/>
                              <w:marTop w:val="0"/>
                              <w:marBottom w:val="0"/>
                              <w:divBdr>
                                <w:top w:val="none" w:sz="0" w:space="0" w:color="auto"/>
                                <w:left w:val="none" w:sz="0" w:space="0" w:color="auto"/>
                                <w:bottom w:val="none" w:sz="0" w:space="0" w:color="auto"/>
                                <w:right w:val="none" w:sz="0" w:space="0" w:color="auto"/>
                              </w:divBdr>
                              <w:divsChild>
                                <w:div w:id="2041274620">
                                  <w:marLeft w:val="0"/>
                                  <w:marRight w:val="0"/>
                                  <w:marTop w:val="0"/>
                                  <w:marBottom w:val="0"/>
                                  <w:divBdr>
                                    <w:top w:val="none" w:sz="0" w:space="0" w:color="auto"/>
                                    <w:left w:val="none" w:sz="0" w:space="0" w:color="auto"/>
                                    <w:bottom w:val="none" w:sz="0" w:space="0" w:color="auto"/>
                                    <w:right w:val="none" w:sz="0" w:space="0" w:color="auto"/>
                                  </w:divBdr>
                                  <w:divsChild>
                                    <w:div w:id="2107991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32294376">
      <w:bodyDiv w:val="1"/>
      <w:marLeft w:val="0"/>
      <w:marRight w:val="0"/>
      <w:marTop w:val="0"/>
      <w:marBottom w:val="0"/>
      <w:divBdr>
        <w:top w:val="none" w:sz="0" w:space="0" w:color="auto"/>
        <w:left w:val="none" w:sz="0" w:space="0" w:color="auto"/>
        <w:bottom w:val="none" w:sz="0" w:space="0" w:color="auto"/>
        <w:right w:val="none" w:sz="0" w:space="0" w:color="auto"/>
      </w:divBdr>
    </w:div>
    <w:div w:id="383985971">
      <w:bodyDiv w:val="1"/>
      <w:marLeft w:val="0"/>
      <w:marRight w:val="0"/>
      <w:marTop w:val="0"/>
      <w:marBottom w:val="0"/>
      <w:divBdr>
        <w:top w:val="none" w:sz="0" w:space="0" w:color="auto"/>
        <w:left w:val="none" w:sz="0" w:space="0" w:color="auto"/>
        <w:bottom w:val="none" w:sz="0" w:space="0" w:color="auto"/>
        <w:right w:val="none" w:sz="0" w:space="0" w:color="auto"/>
      </w:divBdr>
    </w:div>
    <w:div w:id="400098493">
      <w:bodyDiv w:val="1"/>
      <w:marLeft w:val="0"/>
      <w:marRight w:val="0"/>
      <w:marTop w:val="0"/>
      <w:marBottom w:val="0"/>
      <w:divBdr>
        <w:top w:val="none" w:sz="0" w:space="0" w:color="auto"/>
        <w:left w:val="none" w:sz="0" w:space="0" w:color="auto"/>
        <w:bottom w:val="none" w:sz="0" w:space="0" w:color="auto"/>
        <w:right w:val="none" w:sz="0" w:space="0" w:color="auto"/>
      </w:divBdr>
    </w:div>
    <w:div w:id="502859423">
      <w:bodyDiv w:val="1"/>
      <w:marLeft w:val="0"/>
      <w:marRight w:val="0"/>
      <w:marTop w:val="0"/>
      <w:marBottom w:val="0"/>
      <w:divBdr>
        <w:top w:val="none" w:sz="0" w:space="0" w:color="auto"/>
        <w:left w:val="none" w:sz="0" w:space="0" w:color="auto"/>
        <w:bottom w:val="none" w:sz="0" w:space="0" w:color="auto"/>
        <w:right w:val="none" w:sz="0" w:space="0" w:color="auto"/>
      </w:divBdr>
    </w:div>
    <w:div w:id="559903123">
      <w:bodyDiv w:val="1"/>
      <w:marLeft w:val="0"/>
      <w:marRight w:val="0"/>
      <w:marTop w:val="0"/>
      <w:marBottom w:val="0"/>
      <w:divBdr>
        <w:top w:val="none" w:sz="0" w:space="0" w:color="auto"/>
        <w:left w:val="none" w:sz="0" w:space="0" w:color="auto"/>
        <w:bottom w:val="none" w:sz="0" w:space="0" w:color="auto"/>
        <w:right w:val="none" w:sz="0" w:space="0" w:color="auto"/>
      </w:divBdr>
    </w:div>
    <w:div w:id="572813738">
      <w:bodyDiv w:val="1"/>
      <w:marLeft w:val="0"/>
      <w:marRight w:val="0"/>
      <w:marTop w:val="0"/>
      <w:marBottom w:val="0"/>
      <w:divBdr>
        <w:top w:val="none" w:sz="0" w:space="0" w:color="auto"/>
        <w:left w:val="none" w:sz="0" w:space="0" w:color="auto"/>
        <w:bottom w:val="none" w:sz="0" w:space="0" w:color="auto"/>
        <w:right w:val="none" w:sz="0" w:space="0" w:color="auto"/>
      </w:divBdr>
    </w:div>
    <w:div w:id="582227838">
      <w:bodyDiv w:val="1"/>
      <w:marLeft w:val="0"/>
      <w:marRight w:val="0"/>
      <w:marTop w:val="0"/>
      <w:marBottom w:val="0"/>
      <w:divBdr>
        <w:top w:val="none" w:sz="0" w:space="0" w:color="auto"/>
        <w:left w:val="none" w:sz="0" w:space="0" w:color="auto"/>
        <w:bottom w:val="none" w:sz="0" w:space="0" w:color="auto"/>
        <w:right w:val="none" w:sz="0" w:space="0" w:color="auto"/>
      </w:divBdr>
    </w:div>
    <w:div w:id="706947516">
      <w:bodyDiv w:val="1"/>
      <w:marLeft w:val="0"/>
      <w:marRight w:val="0"/>
      <w:marTop w:val="0"/>
      <w:marBottom w:val="0"/>
      <w:divBdr>
        <w:top w:val="none" w:sz="0" w:space="0" w:color="auto"/>
        <w:left w:val="none" w:sz="0" w:space="0" w:color="auto"/>
        <w:bottom w:val="none" w:sz="0" w:space="0" w:color="auto"/>
        <w:right w:val="none" w:sz="0" w:space="0" w:color="auto"/>
      </w:divBdr>
    </w:div>
    <w:div w:id="759760960">
      <w:bodyDiv w:val="1"/>
      <w:marLeft w:val="0"/>
      <w:marRight w:val="0"/>
      <w:marTop w:val="0"/>
      <w:marBottom w:val="0"/>
      <w:divBdr>
        <w:top w:val="none" w:sz="0" w:space="0" w:color="auto"/>
        <w:left w:val="none" w:sz="0" w:space="0" w:color="auto"/>
        <w:bottom w:val="none" w:sz="0" w:space="0" w:color="auto"/>
        <w:right w:val="none" w:sz="0" w:space="0" w:color="auto"/>
      </w:divBdr>
    </w:div>
    <w:div w:id="783308931">
      <w:bodyDiv w:val="1"/>
      <w:marLeft w:val="0"/>
      <w:marRight w:val="0"/>
      <w:marTop w:val="0"/>
      <w:marBottom w:val="0"/>
      <w:divBdr>
        <w:top w:val="none" w:sz="0" w:space="0" w:color="auto"/>
        <w:left w:val="none" w:sz="0" w:space="0" w:color="auto"/>
        <w:bottom w:val="none" w:sz="0" w:space="0" w:color="auto"/>
        <w:right w:val="none" w:sz="0" w:space="0" w:color="auto"/>
      </w:divBdr>
    </w:div>
    <w:div w:id="884684837">
      <w:bodyDiv w:val="1"/>
      <w:marLeft w:val="0"/>
      <w:marRight w:val="0"/>
      <w:marTop w:val="0"/>
      <w:marBottom w:val="0"/>
      <w:divBdr>
        <w:top w:val="none" w:sz="0" w:space="0" w:color="auto"/>
        <w:left w:val="none" w:sz="0" w:space="0" w:color="auto"/>
        <w:bottom w:val="none" w:sz="0" w:space="0" w:color="auto"/>
        <w:right w:val="none" w:sz="0" w:space="0" w:color="auto"/>
      </w:divBdr>
    </w:div>
    <w:div w:id="900794212">
      <w:bodyDiv w:val="1"/>
      <w:marLeft w:val="0"/>
      <w:marRight w:val="0"/>
      <w:marTop w:val="0"/>
      <w:marBottom w:val="0"/>
      <w:divBdr>
        <w:top w:val="none" w:sz="0" w:space="0" w:color="auto"/>
        <w:left w:val="none" w:sz="0" w:space="0" w:color="auto"/>
        <w:bottom w:val="none" w:sz="0" w:space="0" w:color="auto"/>
        <w:right w:val="none" w:sz="0" w:space="0" w:color="auto"/>
      </w:divBdr>
    </w:div>
    <w:div w:id="908424075">
      <w:bodyDiv w:val="1"/>
      <w:marLeft w:val="0"/>
      <w:marRight w:val="0"/>
      <w:marTop w:val="0"/>
      <w:marBottom w:val="0"/>
      <w:divBdr>
        <w:top w:val="none" w:sz="0" w:space="0" w:color="auto"/>
        <w:left w:val="none" w:sz="0" w:space="0" w:color="auto"/>
        <w:bottom w:val="none" w:sz="0" w:space="0" w:color="auto"/>
        <w:right w:val="none" w:sz="0" w:space="0" w:color="auto"/>
      </w:divBdr>
    </w:div>
    <w:div w:id="1037849712">
      <w:bodyDiv w:val="1"/>
      <w:marLeft w:val="0"/>
      <w:marRight w:val="0"/>
      <w:marTop w:val="0"/>
      <w:marBottom w:val="0"/>
      <w:divBdr>
        <w:top w:val="none" w:sz="0" w:space="0" w:color="auto"/>
        <w:left w:val="none" w:sz="0" w:space="0" w:color="auto"/>
        <w:bottom w:val="none" w:sz="0" w:space="0" w:color="auto"/>
        <w:right w:val="none" w:sz="0" w:space="0" w:color="auto"/>
      </w:divBdr>
    </w:div>
    <w:div w:id="1043288460">
      <w:bodyDiv w:val="1"/>
      <w:marLeft w:val="0"/>
      <w:marRight w:val="0"/>
      <w:marTop w:val="0"/>
      <w:marBottom w:val="0"/>
      <w:divBdr>
        <w:top w:val="none" w:sz="0" w:space="0" w:color="auto"/>
        <w:left w:val="none" w:sz="0" w:space="0" w:color="auto"/>
        <w:bottom w:val="none" w:sz="0" w:space="0" w:color="auto"/>
        <w:right w:val="none" w:sz="0" w:space="0" w:color="auto"/>
      </w:divBdr>
      <w:divsChild>
        <w:div w:id="310208511">
          <w:marLeft w:val="-90"/>
          <w:marRight w:val="0"/>
          <w:marTop w:val="0"/>
          <w:marBottom w:val="0"/>
          <w:divBdr>
            <w:top w:val="none" w:sz="0" w:space="0" w:color="auto"/>
            <w:left w:val="none" w:sz="0" w:space="0" w:color="auto"/>
            <w:bottom w:val="none" w:sz="0" w:space="0" w:color="auto"/>
            <w:right w:val="none" w:sz="0" w:space="0" w:color="auto"/>
          </w:divBdr>
        </w:div>
        <w:div w:id="765004493">
          <w:marLeft w:val="795"/>
          <w:marRight w:val="0"/>
          <w:marTop w:val="0"/>
          <w:marBottom w:val="0"/>
          <w:divBdr>
            <w:top w:val="none" w:sz="0" w:space="0" w:color="auto"/>
            <w:left w:val="none" w:sz="0" w:space="0" w:color="auto"/>
            <w:bottom w:val="none" w:sz="0" w:space="0" w:color="auto"/>
            <w:right w:val="none" w:sz="0" w:space="0" w:color="auto"/>
          </w:divBdr>
        </w:div>
        <w:div w:id="822891723">
          <w:marLeft w:val="-90"/>
          <w:marRight w:val="0"/>
          <w:marTop w:val="0"/>
          <w:marBottom w:val="0"/>
          <w:divBdr>
            <w:top w:val="none" w:sz="0" w:space="0" w:color="auto"/>
            <w:left w:val="none" w:sz="0" w:space="0" w:color="auto"/>
            <w:bottom w:val="none" w:sz="0" w:space="0" w:color="auto"/>
            <w:right w:val="none" w:sz="0" w:space="0" w:color="auto"/>
          </w:divBdr>
        </w:div>
        <w:div w:id="1071923556">
          <w:marLeft w:val="585"/>
          <w:marRight w:val="0"/>
          <w:marTop w:val="0"/>
          <w:marBottom w:val="0"/>
          <w:divBdr>
            <w:top w:val="none" w:sz="0" w:space="0" w:color="auto"/>
            <w:left w:val="none" w:sz="0" w:space="0" w:color="auto"/>
            <w:bottom w:val="none" w:sz="0" w:space="0" w:color="auto"/>
            <w:right w:val="none" w:sz="0" w:space="0" w:color="auto"/>
          </w:divBdr>
        </w:div>
        <w:div w:id="1139808997">
          <w:marLeft w:val="-90"/>
          <w:marRight w:val="0"/>
          <w:marTop w:val="0"/>
          <w:marBottom w:val="0"/>
          <w:divBdr>
            <w:top w:val="none" w:sz="0" w:space="0" w:color="auto"/>
            <w:left w:val="none" w:sz="0" w:space="0" w:color="auto"/>
            <w:bottom w:val="none" w:sz="0" w:space="0" w:color="auto"/>
            <w:right w:val="none" w:sz="0" w:space="0" w:color="auto"/>
          </w:divBdr>
        </w:div>
        <w:div w:id="1335186398">
          <w:marLeft w:val="795"/>
          <w:marRight w:val="0"/>
          <w:marTop w:val="0"/>
          <w:marBottom w:val="0"/>
          <w:divBdr>
            <w:top w:val="none" w:sz="0" w:space="0" w:color="auto"/>
            <w:left w:val="none" w:sz="0" w:space="0" w:color="auto"/>
            <w:bottom w:val="none" w:sz="0" w:space="0" w:color="auto"/>
            <w:right w:val="none" w:sz="0" w:space="0" w:color="auto"/>
          </w:divBdr>
        </w:div>
        <w:div w:id="1444882421">
          <w:marLeft w:val="-108"/>
          <w:marRight w:val="0"/>
          <w:marTop w:val="0"/>
          <w:marBottom w:val="0"/>
          <w:divBdr>
            <w:top w:val="none" w:sz="0" w:space="0" w:color="auto"/>
            <w:left w:val="none" w:sz="0" w:space="0" w:color="auto"/>
            <w:bottom w:val="none" w:sz="0" w:space="0" w:color="auto"/>
            <w:right w:val="none" w:sz="0" w:space="0" w:color="auto"/>
          </w:divBdr>
        </w:div>
        <w:div w:id="1690836086">
          <w:marLeft w:val="-45"/>
          <w:marRight w:val="0"/>
          <w:marTop w:val="0"/>
          <w:marBottom w:val="0"/>
          <w:divBdr>
            <w:top w:val="none" w:sz="0" w:space="0" w:color="auto"/>
            <w:left w:val="none" w:sz="0" w:space="0" w:color="auto"/>
            <w:bottom w:val="none" w:sz="0" w:space="0" w:color="auto"/>
            <w:right w:val="none" w:sz="0" w:space="0" w:color="auto"/>
          </w:divBdr>
        </w:div>
        <w:div w:id="2053339001">
          <w:marLeft w:val="-90"/>
          <w:marRight w:val="0"/>
          <w:marTop w:val="0"/>
          <w:marBottom w:val="0"/>
          <w:divBdr>
            <w:top w:val="none" w:sz="0" w:space="0" w:color="auto"/>
            <w:left w:val="none" w:sz="0" w:space="0" w:color="auto"/>
            <w:bottom w:val="none" w:sz="0" w:space="0" w:color="auto"/>
            <w:right w:val="none" w:sz="0" w:space="0" w:color="auto"/>
          </w:divBdr>
        </w:div>
      </w:divsChild>
    </w:div>
    <w:div w:id="1102841805">
      <w:bodyDiv w:val="1"/>
      <w:marLeft w:val="0"/>
      <w:marRight w:val="0"/>
      <w:marTop w:val="0"/>
      <w:marBottom w:val="0"/>
      <w:divBdr>
        <w:top w:val="none" w:sz="0" w:space="0" w:color="auto"/>
        <w:left w:val="none" w:sz="0" w:space="0" w:color="auto"/>
        <w:bottom w:val="none" w:sz="0" w:space="0" w:color="auto"/>
        <w:right w:val="none" w:sz="0" w:space="0" w:color="auto"/>
      </w:divBdr>
    </w:div>
    <w:div w:id="1153179045">
      <w:bodyDiv w:val="1"/>
      <w:marLeft w:val="0"/>
      <w:marRight w:val="0"/>
      <w:marTop w:val="0"/>
      <w:marBottom w:val="0"/>
      <w:divBdr>
        <w:top w:val="none" w:sz="0" w:space="0" w:color="auto"/>
        <w:left w:val="none" w:sz="0" w:space="0" w:color="auto"/>
        <w:bottom w:val="none" w:sz="0" w:space="0" w:color="auto"/>
        <w:right w:val="none" w:sz="0" w:space="0" w:color="auto"/>
      </w:divBdr>
    </w:div>
    <w:div w:id="1158771289">
      <w:bodyDiv w:val="1"/>
      <w:marLeft w:val="0"/>
      <w:marRight w:val="0"/>
      <w:marTop w:val="0"/>
      <w:marBottom w:val="0"/>
      <w:divBdr>
        <w:top w:val="none" w:sz="0" w:space="0" w:color="auto"/>
        <w:left w:val="none" w:sz="0" w:space="0" w:color="auto"/>
        <w:bottom w:val="none" w:sz="0" w:space="0" w:color="auto"/>
        <w:right w:val="none" w:sz="0" w:space="0" w:color="auto"/>
      </w:divBdr>
    </w:div>
    <w:div w:id="1168904291">
      <w:bodyDiv w:val="1"/>
      <w:marLeft w:val="0"/>
      <w:marRight w:val="0"/>
      <w:marTop w:val="0"/>
      <w:marBottom w:val="0"/>
      <w:divBdr>
        <w:top w:val="none" w:sz="0" w:space="0" w:color="auto"/>
        <w:left w:val="none" w:sz="0" w:space="0" w:color="auto"/>
        <w:bottom w:val="none" w:sz="0" w:space="0" w:color="auto"/>
        <w:right w:val="none" w:sz="0" w:space="0" w:color="auto"/>
      </w:divBdr>
    </w:div>
    <w:div w:id="1172530158">
      <w:bodyDiv w:val="1"/>
      <w:marLeft w:val="0"/>
      <w:marRight w:val="0"/>
      <w:marTop w:val="0"/>
      <w:marBottom w:val="0"/>
      <w:divBdr>
        <w:top w:val="none" w:sz="0" w:space="0" w:color="auto"/>
        <w:left w:val="none" w:sz="0" w:space="0" w:color="auto"/>
        <w:bottom w:val="none" w:sz="0" w:space="0" w:color="auto"/>
        <w:right w:val="none" w:sz="0" w:space="0" w:color="auto"/>
      </w:divBdr>
    </w:div>
    <w:div w:id="1209226490">
      <w:bodyDiv w:val="1"/>
      <w:marLeft w:val="0"/>
      <w:marRight w:val="0"/>
      <w:marTop w:val="0"/>
      <w:marBottom w:val="0"/>
      <w:divBdr>
        <w:top w:val="none" w:sz="0" w:space="0" w:color="auto"/>
        <w:left w:val="none" w:sz="0" w:space="0" w:color="auto"/>
        <w:bottom w:val="none" w:sz="0" w:space="0" w:color="auto"/>
        <w:right w:val="none" w:sz="0" w:space="0" w:color="auto"/>
      </w:divBdr>
    </w:div>
    <w:div w:id="1279215254">
      <w:bodyDiv w:val="1"/>
      <w:marLeft w:val="0"/>
      <w:marRight w:val="0"/>
      <w:marTop w:val="0"/>
      <w:marBottom w:val="0"/>
      <w:divBdr>
        <w:top w:val="none" w:sz="0" w:space="0" w:color="auto"/>
        <w:left w:val="none" w:sz="0" w:space="0" w:color="auto"/>
        <w:bottom w:val="none" w:sz="0" w:space="0" w:color="auto"/>
        <w:right w:val="none" w:sz="0" w:space="0" w:color="auto"/>
      </w:divBdr>
    </w:div>
    <w:div w:id="1346666429">
      <w:bodyDiv w:val="1"/>
      <w:marLeft w:val="0"/>
      <w:marRight w:val="0"/>
      <w:marTop w:val="0"/>
      <w:marBottom w:val="0"/>
      <w:divBdr>
        <w:top w:val="none" w:sz="0" w:space="0" w:color="auto"/>
        <w:left w:val="none" w:sz="0" w:space="0" w:color="auto"/>
        <w:bottom w:val="none" w:sz="0" w:space="0" w:color="auto"/>
        <w:right w:val="none" w:sz="0" w:space="0" w:color="auto"/>
      </w:divBdr>
      <w:divsChild>
        <w:div w:id="997076956">
          <w:marLeft w:val="-90"/>
          <w:marRight w:val="0"/>
          <w:marTop w:val="0"/>
          <w:marBottom w:val="0"/>
          <w:divBdr>
            <w:top w:val="none" w:sz="0" w:space="0" w:color="auto"/>
            <w:left w:val="none" w:sz="0" w:space="0" w:color="auto"/>
            <w:bottom w:val="none" w:sz="0" w:space="0" w:color="auto"/>
            <w:right w:val="none" w:sz="0" w:space="0" w:color="auto"/>
          </w:divBdr>
        </w:div>
      </w:divsChild>
    </w:div>
    <w:div w:id="1394625730">
      <w:bodyDiv w:val="1"/>
      <w:marLeft w:val="0"/>
      <w:marRight w:val="0"/>
      <w:marTop w:val="0"/>
      <w:marBottom w:val="0"/>
      <w:divBdr>
        <w:top w:val="none" w:sz="0" w:space="0" w:color="auto"/>
        <w:left w:val="none" w:sz="0" w:space="0" w:color="auto"/>
        <w:bottom w:val="none" w:sz="0" w:space="0" w:color="auto"/>
        <w:right w:val="none" w:sz="0" w:space="0" w:color="auto"/>
      </w:divBdr>
    </w:div>
    <w:div w:id="1397362236">
      <w:bodyDiv w:val="1"/>
      <w:marLeft w:val="0"/>
      <w:marRight w:val="0"/>
      <w:marTop w:val="0"/>
      <w:marBottom w:val="0"/>
      <w:divBdr>
        <w:top w:val="none" w:sz="0" w:space="0" w:color="auto"/>
        <w:left w:val="none" w:sz="0" w:space="0" w:color="auto"/>
        <w:bottom w:val="none" w:sz="0" w:space="0" w:color="auto"/>
        <w:right w:val="none" w:sz="0" w:space="0" w:color="auto"/>
      </w:divBdr>
    </w:div>
    <w:div w:id="1448893734">
      <w:bodyDiv w:val="1"/>
      <w:marLeft w:val="0"/>
      <w:marRight w:val="0"/>
      <w:marTop w:val="0"/>
      <w:marBottom w:val="0"/>
      <w:divBdr>
        <w:top w:val="none" w:sz="0" w:space="0" w:color="auto"/>
        <w:left w:val="none" w:sz="0" w:space="0" w:color="auto"/>
        <w:bottom w:val="none" w:sz="0" w:space="0" w:color="auto"/>
        <w:right w:val="none" w:sz="0" w:space="0" w:color="auto"/>
      </w:divBdr>
    </w:div>
    <w:div w:id="1452673590">
      <w:bodyDiv w:val="1"/>
      <w:marLeft w:val="0"/>
      <w:marRight w:val="0"/>
      <w:marTop w:val="0"/>
      <w:marBottom w:val="0"/>
      <w:divBdr>
        <w:top w:val="none" w:sz="0" w:space="0" w:color="auto"/>
        <w:left w:val="none" w:sz="0" w:space="0" w:color="auto"/>
        <w:bottom w:val="none" w:sz="0" w:space="0" w:color="auto"/>
        <w:right w:val="none" w:sz="0" w:space="0" w:color="auto"/>
      </w:divBdr>
    </w:div>
    <w:div w:id="1499342129">
      <w:bodyDiv w:val="1"/>
      <w:marLeft w:val="0"/>
      <w:marRight w:val="0"/>
      <w:marTop w:val="0"/>
      <w:marBottom w:val="0"/>
      <w:divBdr>
        <w:top w:val="none" w:sz="0" w:space="0" w:color="auto"/>
        <w:left w:val="none" w:sz="0" w:space="0" w:color="auto"/>
        <w:bottom w:val="none" w:sz="0" w:space="0" w:color="auto"/>
        <w:right w:val="none" w:sz="0" w:space="0" w:color="auto"/>
      </w:divBdr>
    </w:div>
    <w:div w:id="1544830072">
      <w:bodyDiv w:val="1"/>
      <w:marLeft w:val="0"/>
      <w:marRight w:val="0"/>
      <w:marTop w:val="0"/>
      <w:marBottom w:val="0"/>
      <w:divBdr>
        <w:top w:val="none" w:sz="0" w:space="0" w:color="auto"/>
        <w:left w:val="none" w:sz="0" w:space="0" w:color="auto"/>
        <w:bottom w:val="none" w:sz="0" w:space="0" w:color="auto"/>
        <w:right w:val="none" w:sz="0" w:space="0" w:color="auto"/>
      </w:divBdr>
    </w:div>
    <w:div w:id="1579898182">
      <w:bodyDiv w:val="1"/>
      <w:marLeft w:val="0"/>
      <w:marRight w:val="0"/>
      <w:marTop w:val="0"/>
      <w:marBottom w:val="0"/>
      <w:divBdr>
        <w:top w:val="none" w:sz="0" w:space="0" w:color="auto"/>
        <w:left w:val="none" w:sz="0" w:space="0" w:color="auto"/>
        <w:bottom w:val="none" w:sz="0" w:space="0" w:color="auto"/>
        <w:right w:val="none" w:sz="0" w:space="0" w:color="auto"/>
      </w:divBdr>
    </w:div>
    <w:div w:id="1593202840">
      <w:bodyDiv w:val="1"/>
      <w:marLeft w:val="0"/>
      <w:marRight w:val="0"/>
      <w:marTop w:val="0"/>
      <w:marBottom w:val="0"/>
      <w:divBdr>
        <w:top w:val="none" w:sz="0" w:space="0" w:color="auto"/>
        <w:left w:val="none" w:sz="0" w:space="0" w:color="auto"/>
        <w:bottom w:val="none" w:sz="0" w:space="0" w:color="auto"/>
        <w:right w:val="none" w:sz="0" w:space="0" w:color="auto"/>
      </w:divBdr>
    </w:div>
    <w:div w:id="1604994210">
      <w:bodyDiv w:val="1"/>
      <w:marLeft w:val="0"/>
      <w:marRight w:val="0"/>
      <w:marTop w:val="0"/>
      <w:marBottom w:val="0"/>
      <w:divBdr>
        <w:top w:val="none" w:sz="0" w:space="0" w:color="auto"/>
        <w:left w:val="none" w:sz="0" w:space="0" w:color="auto"/>
        <w:bottom w:val="none" w:sz="0" w:space="0" w:color="auto"/>
        <w:right w:val="none" w:sz="0" w:space="0" w:color="auto"/>
      </w:divBdr>
    </w:div>
    <w:div w:id="1638029493">
      <w:bodyDiv w:val="1"/>
      <w:marLeft w:val="0"/>
      <w:marRight w:val="0"/>
      <w:marTop w:val="0"/>
      <w:marBottom w:val="0"/>
      <w:divBdr>
        <w:top w:val="none" w:sz="0" w:space="0" w:color="auto"/>
        <w:left w:val="none" w:sz="0" w:space="0" w:color="auto"/>
        <w:bottom w:val="none" w:sz="0" w:space="0" w:color="auto"/>
        <w:right w:val="none" w:sz="0" w:space="0" w:color="auto"/>
      </w:divBdr>
    </w:div>
    <w:div w:id="1644773864">
      <w:bodyDiv w:val="1"/>
      <w:marLeft w:val="0"/>
      <w:marRight w:val="0"/>
      <w:marTop w:val="0"/>
      <w:marBottom w:val="0"/>
      <w:divBdr>
        <w:top w:val="none" w:sz="0" w:space="0" w:color="auto"/>
        <w:left w:val="none" w:sz="0" w:space="0" w:color="auto"/>
        <w:bottom w:val="none" w:sz="0" w:space="0" w:color="auto"/>
        <w:right w:val="none" w:sz="0" w:space="0" w:color="auto"/>
      </w:divBdr>
    </w:div>
    <w:div w:id="1686009855">
      <w:bodyDiv w:val="1"/>
      <w:marLeft w:val="0"/>
      <w:marRight w:val="0"/>
      <w:marTop w:val="0"/>
      <w:marBottom w:val="0"/>
      <w:divBdr>
        <w:top w:val="none" w:sz="0" w:space="0" w:color="auto"/>
        <w:left w:val="none" w:sz="0" w:space="0" w:color="auto"/>
        <w:bottom w:val="none" w:sz="0" w:space="0" w:color="auto"/>
        <w:right w:val="none" w:sz="0" w:space="0" w:color="auto"/>
      </w:divBdr>
    </w:div>
    <w:div w:id="1699355334">
      <w:bodyDiv w:val="1"/>
      <w:marLeft w:val="0"/>
      <w:marRight w:val="0"/>
      <w:marTop w:val="0"/>
      <w:marBottom w:val="0"/>
      <w:divBdr>
        <w:top w:val="none" w:sz="0" w:space="0" w:color="auto"/>
        <w:left w:val="none" w:sz="0" w:space="0" w:color="auto"/>
        <w:bottom w:val="none" w:sz="0" w:space="0" w:color="auto"/>
        <w:right w:val="none" w:sz="0" w:space="0" w:color="auto"/>
      </w:divBdr>
      <w:divsChild>
        <w:div w:id="746999212">
          <w:marLeft w:val="-90"/>
          <w:marRight w:val="0"/>
          <w:marTop w:val="0"/>
          <w:marBottom w:val="0"/>
          <w:divBdr>
            <w:top w:val="none" w:sz="0" w:space="0" w:color="auto"/>
            <w:left w:val="none" w:sz="0" w:space="0" w:color="auto"/>
            <w:bottom w:val="none" w:sz="0" w:space="0" w:color="auto"/>
            <w:right w:val="none" w:sz="0" w:space="0" w:color="auto"/>
          </w:divBdr>
        </w:div>
      </w:divsChild>
    </w:div>
    <w:div w:id="1699357564">
      <w:bodyDiv w:val="1"/>
      <w:marLeft w:val="0"/>
      <w:marRight w:val="0"/>
      <w:marTop w:val="0"/>
      <w:marBottom w:val="0"/>
      <w:divBdr>
        <w:top w:val="none" w:sz="0" w:space="0" w:color="auto"/>
        <w:left w:val="none" w:sz="0" w:space="0" w:color="auto"/>
        <w:bottom w:val="none" w:sz="0" w:space="0" w:color="auto"/>
        <w:right w:val="none" w:sz="0" w:space="0" w:color="auto"/>
      </w:divBdr>
    </w:div>
    <w:div w:id="1784493429">
      <w:bodyDiv w:val="1"/>
      <w:marLeft w:val="0"/>
      <w:marRight w:val="0"/>
      <w:marTop w:val="0"/>
      <w:marBottom w:val="0"/>
      <w:divBdr>
        <w:top w:val="none" w:sz="0" w:space="0" w:color="auto"/>
        <w:left w:val="none" w:sz="0" w:space="0" w:color="auto"/>
        <w:bottom w:val="none" w:sz="0" w:space="0" w:color="auto"/>
        <w:right w:val="none" w:sz="0" w:space="0" w:color="auto"/>
      </w:divBdr>
      <w:divsChild>
        <w:div w:id="1296520644">
          <w:marLeft w:val="-45"/>
          <w:marRight w:val="0"/>
          <w:marTop w:val="0"/>
          <w:marBottom w:val="0"/>
          <w:divBdr>
            <w:top w:val="none" w:sz="0" w:space="0" w:color="auto"/>
            <w:left w:val="none" w:sz="0" w:space="0" w:color="auto"/>
            <w:bottom w:val="none" w:sz="0" w:space="0" w:color="auto"/>
            <w:right w:val="none" w:sz="0" w:space="0" w:color="auto"/>
          </w:divBdr>
        </w:div>
      </w:divsChild>
    </w:div>
    <w:div w:id="1905791632">
      <w:bodyDiv w:val="1"/>
      <w:marLeft w:val="0"/>
      <w:marRight w:val="0"/>
      <w:marTop w:val="0"/>
      <w:marBottom w:val="0"/>
      <w:divBdr>
        <w:top w:val="none" w:sz="0" w:space="0" w:color="auto"/>
        <w:left w:val="none" w:sz="0" w:space="0" w:color="auto"/>
        <w:bottom w:val="none" w:sz="0" w:space="0" w:color="auto"/>
        <w:right w:val="none" w:sz="0" w:space="0" w:color="auto"/>
      </w:divBdr>
    </w:div>
    <w:div w:id="1991127024">
      <w:bodyDiv w:val="1"/>
      <w:marLeft w:val="0"/>
      <w:marRight w:val="0"/>
      <w:marTop w:val="0"/>
      <w:marBottom w:val="0"/>
      <w:divBdr>
        <w:top w:val="none" w:sz="0" w:space="0" w:color="auto"/>
        <w:left w:val="none" w:sz="0" w:space="0" w:color="auto"/>
        <w:bottom w:val="none" w:sz="0" w:space="0" w:color="auto"/>
        <w:right w:val="none" w:sz="0" w:space="0" w:color="auto"/>
      </w:divBdr>
    </w:div>
    <w:div w:id="2014256575">
      <w:bodyDiv w:val="1"/>
      <w:marLeft w:val="0"/>
      <w:marRight w:val="0"/>
      <w:marTop w:val="0"/>
      <w:marBottom w:val="0"/>
      <w:divBdr>
        <w:top w:val="none" w:sz="0" w:space="0" w:color="auto"/>
        <w:left w:val="none" w:sz="0" w:space="0" w:color="auto"/>
        <w:bottom w:val="none" w:sz="0" w:space="0" w:color="auto"/>
        <w:right w:val="none" w:sz="0" w:space="0" w:color="auto"/>
      </w:divBdr>
    </w:div>
    <w:div w:id="2110613940">
      <w:bodyDiv w:val="1"/>
      <w:marLeft w:val="0"/>
      <w:marRight w:val="0"/>
      <w:marTop w:val="0"/>
      <w:marBottom w:val="0"/>
      <w:divBdr>
        <w:top w:val="none" w:sz="0" w:space="0" w:color="auto"/>
        <w:left w:val="none" w:sz="0" w:space="0" w:color="auto"/>
        <w:bottom w:val="none" w:sz="0" w:space="0" w:color="auto"/>
        <w:right w:val="none" w:sz="0" w:space="0" w:color="auto"/>
      </w:divBdr>
    </w:div>
    <w:div w:id="21265343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yperlink" Target="https://mfe.gov.ro/pnrr/" TargetMode="External"/><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hyperlink" Target="https://tableaupublic.discomap.eea.europa.eu/views/Agglomerations" TargetMode="External"/><Relationship Id="rId68" Type="http://schemas.openxmlformats.org/officeDocument/2006/relationships/image" Target="media/image38.png"/><Relationship Id="rId84" Type="http://schemas.openxmlformats.org/officeDocument/2006/relationships/fontTable" Target="fontTable.xml"/><Relationship Id="rId16" Type="http://schemas.openxmlformats.org/officeDocument/2006/relationships/hyperlink" Target="https://agriculture.ec.europa.eu/sustainability/economic-sustainability_ro" TargetMode="External"/><Relationship Id="rId11" Type="http://schemas.openxmlformats.org/officeDocument/2006/relationships/footer" Target="footer2.xml"/><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image" Target="media/image30.png"/><Relationship Id="rId58" Type="http://schemas.openxmlformats.org/officeDocument/2006/relationships/hyperlink" Target="http://www.afdj.ro" TargetMode="External"/><Relationship Id="rId74" Type="http://schemas.openxmlformats.org/officeDocument/2006/relationships/header" Target="header4.xml"/><Relationship Id="rId79" Type="http://schemas.openxmlformats.org/officeDocument/2006/relationships/image" Target="media/image42.png"/><Relationship Id="rId5" Type="http://schemas.openxmlformats.org/officeDocument/2006/relationships/webSettings" Target="webSettings.xml"/><Relationship Id="rId19" Type="http://schemas.openxmlformats.org/officeDocument/2006/relationships/hyperlink" Target="https://www.portofconstantza.com/pn/page/np_prezentare_port" TargetMode="External"/><Relationship Id="rId14" Type="http://schemas.openxmlformats.org/officeDocument/2006/relationships/hyperlink" Target="https://eur-lex.europa.eu/legal-content/RO/AUTO/?uri=celex:22005A0517%2801%29" TargetMode="External"/><Relationship Id="rId22" Type="http://schemas.openxmlformats.org/officeDocument/2006/relationships/hyperlink" Target="https://food.ec.europa.eu/horizontal-topics/farm-fork-strategy_ro" TargetMode="Externa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hyperlink" Target="http://www.portofconstantza.com" TargetMode="External"/><Relationship Id="rId64" Type="http://schemas.openxmlformats.org/officeDocument/2006/relationships/image" Target="media/image34.png"/><Relationship Id="rId69" Type="http://schemas.openxmlformats.org/officeDocument/2006/relationships/hyperlink" Target="https://www.minac.ro/" TargetMode="External"/><Relationship Id="rId77" Type="http://schemas.openxmlformats.org/officeDocument/2006/relationships/header" Target="header6.xml"/><Relationship Id="rId8" Type="http://schemas.openxmlformats.org/officeDocument/2006/relationships/header" Target="header1.xml"/><Relationship Id="rId51" Type="http://schemas.openxmlformats.org/officeDocument/2006/relationships/image" Target="media/image28.png"/><Relationship Id="rId72" Type="http://schemas.openxmlformats.org/officeDocument/2006/relationships/header" Target="header3.xml"/><Relationship Id="rId80" Type="http://schemas.openxmlformats.org/officeDocument/2006/relationships/image" Target="media/image43.jp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blacksea-commission.org" TargetMode="External"/><Relationship Id="rId17" Type="http://schemas.openxmlformats.org/officeDocument/2006/relationships/hyperlink" Target="https://agriculture.ec.europa.eu/sustainability/environmental-sustainability_ro" TargetMode="Externa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3.png"/><Relationship Id="rId59" Type="http://schemas.openxmlformats.org/officeDocument/2006/relationships/image" Target="media/image33.png"/><Relationship Id="rId67" Type="http://schemas.openxmlformats.org/officeDocument/2006/relationships/image" Target="media/image37.png"/><Relationship Id="rId20" Type="http://schemas.openxmlformats.org/officeDocument/2006/relationships/hyperlink" Target="https://www.mdlpa.ro/pages/anghelsaligny" TargetMode="External"/><Relationship Id="rId41" Type="http://schemas.openxmlformats.org/officeDocument/2006/relationships/hyperlink" Target="http://www.cultura.ro/sites/default/files/inline-files/LMI-TL.pdf" TargetMode="External"/><Relationship Id="rId54" Type="http://schemas.openxmlformats.org/officeDocument/2006/relationships/hyperlink" Target="http://www.portofconstantza.com" TargetMode="External"/><Relationship Id="rId62" Type="http://schemas.openxmlformats.org/officeDocument/2006/relationships/hyperlink" Target="https://tableau-public.discomap.eea.europa.eu/views/Agglomerations" TargetMode="External"/><Relationship Id="rId70" Type="http://schemas.openxmlformats.org/officeDocument/2006/relationships/hyperlink" Target="https://www.minac.ro/" TargetMode="External"/><Relationship Id="rId75" Type="http://schemas.openxmlformats.org/officeDocument/2006/relationships/header" Target="header5.xml"/><Relationship Id="rId83"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ur-lex.europa.eu/legal-content/RO/AUTO/?uri=celex:22005A0517%2801%29" TargetMode="External"/><Relationship Id="rId23" Type="http://schemas.openxmlformats.org/officeDocument/2006/relationships/hyperlink" Target="https://environment.ec.europa.eu/strategy/biodiversity-strategy-2030_ro" TargetMode="External"/><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6.jpg"/><Relationship Id="rId57" Type="http://schemas.openxmlformats.org/officeDocument/2006/relationships/image" Target="media/image32.png"/><Relationship Id="rId10" Type="http://schemas.openxmlformats.org/officeDocument/2006/relationships/header" Target="header2.xml"/><Relationship Id="rId31" Type="http://schemas.openxmlformats.org/officeDocument/2006/relationships/image" Target="media/image11.jpg"/><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hyperlink" Target="https://geoportal.ancpi.ro/portal/apps/webappviewer/index.html?id=faeba2d173374445b1f13512bd477bb2" TargetMode="External"/><Relationship Id="rId65" Type="http://schemas.openxmlformats.org/officeDocument/2006/relationships/image" Target="media/image35.png"/><Relationship Id="rId73" Type="http://schemas.openxmlformats.org/officeDocument/2006/relationships/footer" Target="footer3.xml"/><Relationship Id="rId78" Type="http://schemas.openxmlformats.org/officeDocument/2006/relationships/image" Target="media/image41.jpg"/><Relationship Id="rId81" Type="http://schemas.openxmlformats.org/officeDocument/2006/relationships/image" Target="media/image44.jp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eur-lex.europa.eu/legal-content/RO/AUTO/?uri=celex:31991L0676" TargetMode="External"/><Relationship Id="rId18" Type="http://schemas.openxmlformats.org/officeDocument/2006/relationships/image" Target="media/image3.jpeg"/><Relationship Id="rId39" Type="http://schemas.openxmlformats.org/officeDocument/2006/relationships/hyperlink" Target="https://www.namr.ro/wp-content/uploads/2023/03/permise_exploatare_14_03_2023.pdf" TargetMode="External"/><Relationship Id="rId34" Type="http://schemas.openxmlformats.org/officeDocument/2006/relationships/image" Target="media/image14.png"/><Relationship Id="rId50" Type="http://schemas.openxmlformats.org/officeDocument/2006/relationships/image" Target="media/image27.jpg"/><Relationship Id="rId55" Type="http://schemas.openxmlformats.org/officeDocument/2006/relationships/image" Target="media/image31.png"/><Relationship Id="rId76" Type="http://schemas.openxmlformats.org/officeDocument/2006/relationships/hyperlink" Target="http://www.statistici.insse.ro" TargetMode="External"/><Relationship Id="rId7" Type="http://schemas.openxmlformats.org/officeDocument/2006/relationships/endnotes" Target="endnotes.xml"/><Relationship Id="rId71" Type="http://schemas.openxmlformats.org/officeDocument/2006/relationships/hyperlink" Target="https://www.minac.ro/" TargetMode="External"/><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image" Target="media/image4.png"/><Relationship Id="rId40" Type="http://schemas.openxmlformats.org/officeDocument/2006/relationships/hyperlink" Target="http://www.cultura.ro/sites/default/files/inline-files/LMI-CT.pdf" TargetMode="External"/><Relationship Id="rId45" Type="http://schemas.openxmlformats.org/officeDocument/2006/relationships/image" Target="media/image22.png"/><Relationship Id="rId66" Type="http://schemas.openxmlformats.org/officeDocument/2006/relationships/image" Target="media/image36.png"/><Relationship Id="rId61" Type="http://schemas.openxmlformats.org/officeDocument/2006/relationships/hyperlink" Target="https://geoportal.ancpi.ro/portal/apps/webappviewer/index.html?id=faeba2d173374445b1f13512bd477bb2" TargetMode="External"/><Relationship Id="rId82" Type="http://schemas.openxmlformats.org/officeDocument/2006/relationships/header" Target="header7.xm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39.png"/></Relationships>
</file>

<file path=word/_rels/header4.xml.rels><?xml version="1.0" encoding="UTF-8" standalone="yes"?>
<Relationships xmlns="http://schemas.openxmlformats.org/package/2006/relationships"><Relationship Id="rId1" Type="http://schemas.openxmlformats.org/officeDocument/2006/relationships/image" Target="media/image40.png"/></Relationships>
</file>

<file path=word/_rels/header5.xml.rels><?xml version="1.0" encoding="UTF-8" standalone="yes"?>
<Relationships xmlns="http://schemas.openxmlformats.org/package/2006/relationships"><Relationship Id="rId1" Type="http://schemas.openxmlformats.org/officeDocument/2006/relationships/image" Target="media/image39.png"/></Relationships>
</file>

<file path=word/_rels/header6.xml.rels><?xml version="1.0" encoding="UTF-8" standalone="yes"?>
<Relationships xmlns="http://schemas.openxmlformats.org/package/2006/relationships"><Relationship Id="rId1" Type="http://schemas.openxmlformats.org/officeDocument/2006/relationships/image" Target="media/image39.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DD5E0D-1D3A-42E8-B5C2-F873071DC6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1</Pages>
  <Words>136844</Words>
  <Characters>780017</Characters>
  <Application>Microsoft Office Word</Application>
  <DocSecurity>0</DocSecurity>
  <Lines>6500</Lines>
  <Paragraphs>1830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915031</CharactersWithSpaces>
  <SharedDoc>false</SharedDoc>
  <HLinks>
    <vt:vector size="210" baseType="variant">
      <vt:variant>
        <vt:i4>3473454</vt:i4>
      </vt:variant>
      <vt:variant>
        <vt:i4>171</vt:i4>
      </vt:variant>
      <vt:variant>
        <vt:i4>0</vt:i4>
      </vt:variant>
      <vt:variant>
        <vt:i4>5</vt:i4>
      </vt:variant>
      <vt:variant>
        <vt:lpwstr>http://www.statistici.insse.ro/</vt:lpwstr>
      </vt:variant>
      <vt:variant>
        <vt:lpwstr/>
      </vt:variant>
      <vt:variant>
        <vt:i4>6422609</vt:i4>
      </vt:variant>
      <vt:variant>
        <vt:i4>168</vt:i4>
      </vt:variant>
      <vt:variant>
        <vt:i4>0</vt:i4>
      </vt:variant>
      <vt:variant>
        <vt:i4>5</vt:i4>
      </vt:variant>
      <vt:variant>
        <vt:lpwstr>https://environment.ec.europa.eu/strategy/biodiversity-strategy-2030_ro</vt:lpwstr>
      </vt:variant>
      <vt:variant>
        <vt:lpwstr/>
      </vt:variant>
      <vt:variant>
        <vt:i4>1507455</vt:i4>
      </vt:variant>
      <vt:variant>
        <vt:i4>165</vt:i4>
      </vt:variant>
      <vt:variant>
        <vt:i4>0</vt:i4>
      </vt:variant>
      <vt:variant>
        <vt:i4>5</vt:i4>
      </vt:variant>
      <vt:variant>
        <vt:lpwstr>https://food.ec.europa.eu/horizontal-topics/farm-fork-strategy_ro</vt:lpwstr>
      </vt:variant>
      <vt:variant>
        <vt:lpwstr/>
      </vt:variant>
      <vt:variant>
        <vt:i4>5898264</vt:i4>
      </vt:variant>
      <vt:variant>
        <vt:i4>162</vt:i4>
      </vt:variant>
      <vt:variant>
        <vt:i4>0</vt:i4>
      </vt:variant>
      <vt:variant>
        <vt:i4>5</vt:i4>
      </vt:variant>
      <vt:variant>
        <vt:lpwstr>https://mfe.gov.ro/pnrr/</vt:lpwstr>
      </vt:variant>
      <vt:variant>
        <vt:lpwstr/>
      </vt:variant>
      <vt:variant>
        <vt:i4>1769562</vt:i4>
      </vt:variant>
      <vt:variant>
        <vt:i4>159</vt:i4>
      </vt:variant>
      <vt:variant>
        <vt:i4>0</vt:i4>
      </vt:variant>
      <vt:variant>
        <vt:i4>5</vt:i4>
      </vt:variant>
      <vt:variant>
        <vt:lpwstr>https://www.mdlpa.ro/pages/anghelsaligny</vt:lpwstr>
      </vt:variant>
      <vt:variant>
        <vt:lpwstr/>
      </vt:variant>
      <vt:variant>
        <vt:i4>5832782</vt:i4>
      </vt:variant>
      <vt:variant>
        <vt:i4>156</vt:i4>
      </vt:variant>
      <vt:variant>
        <vt:i4>0</vt:i4>
      </vt:variant>
      <vt:variant>
        <vt:i4>5</vt:i4>
      </vt:variant>
      <vt:variant>
        <vt:lpwstr>https://www.portofconstantza.com/pn/page/np_prezentare_port</vt:lpwstr>
      </vt:variant>
      <vt:variant>
        <vt:lpwstr/>
      </vt:variant>
      <vt:variant>
        <vt:i4>6422558</vt:i4>
      </vt:variant>
      <vt:variant>
        <vt:i4>153</vt:i4>
      </vt:variant>
      <vt:variant>
        <vt:i4>0</vt:i4>
      </vt:variant>
      <vt:variant>
        <vt:i4>5</vt:i4>
      </vt:variant>
      <vt:variant>
        <vt:lpwstr>https://agriculture.ec.europa.eu/sustainability/environmental-sustainability_ro</vt:lpwstr>
      </vt:variant>
      <vt:variant>
        <vt:lpwstr/>
      </vt:variant>
      <vt:variant>
        <vt:i4>65637</vt:i4>
      </vt:variant>
      <vt:variant>
        <vt:i4>150</vt:i4>
      </vt:variant>
      <vt:variant>
        <vt:i4>0</vt:i4>
      </vt:variant>
      <vt:variant>
        <vt:i4>5</vt:i4>
      </vt:variant>
      <vt:variant>
        <vt:lpwstr>https://agriculture.ec.europa.eu/sustainability/economic-sustainability_ro</vt:lpwstr>
      </vt:variant>
      <vt:variant>
        <vt:lpwstr/>
      </vt:variant>
      <vt:variant>
        <vt:i4>5636175</vt:i4>
      </vt:variant>
      <vt:variant>
        <vt:i4>147</vt:i4>
      </vt:variant>
      <vt:variant>
        <vt:i4>0</vt:i4>
      </vt:variant>
      <vt:variant>
        <vt:i4>5</vt:i4>
      </vt:variant>
      <vt:variant>
        <vt:lpwstr>https://eur-lex.europa.eu/legal-content/RO/AUTO/?uri=celex:22005A0517%2801%29</vt:lpwstr>
      </vt:variant>
      <vt:variant>
        <vt:lpwstr/>
      </vt:variant>
      <vt:variant>
        <vt:i4>5636175</vt:i4>
      </vt:variant>
      <vt:variant>
        <vt:i4>144</vt:i4>
      </vt:variant>
      <vt:variant>
        <vt:i4>0</vt:i4>
      </vt:variant>
      <vt:variant>
        <vt:i4>5</vt:i4>
      </vt:variant>
      <vt:variant>
        <vt:lpwstr>https://eur-lex.europa.eu/legal-content/RO/AUTO/?uri=celex:22005A0517%2801%29</vt:lpwstr>
      </vt:variant>
      <vt:variant>
        <vt:lpwstr/>
      </vt:variant>
      <vt:variant>
        <vt:i4>5636175</vt:i4>
      </vt:variant>
      <vt:variant>
        <vt:i4>141</vt:i4>
      </vt:variant>
      <vt:variant>
        <vt:i4>0</vt:i4>
      </vt:variant>
      <vt:variant>
        <vt:i4>5</vt:i4>
      </vt:variant>
      <vt:variant>
        <vt:lpwstr>https://eur-lex.europa.eu/legal-content/RO/AUTO/?uri=celex:22005A0517%2801%29</vt:lpwstr>
      </vt:variant>
      <vt:variant>
        <vt:lpwstr/>
      </vt:variant>
      <vt:variant>
        <vt:i4>4325467</vt:i4>
      </vt:variant>
      <vt:variant>
        <vt:i4>138</vt:i4>
      </vt:variant>
      <vt:variant>
        <vt:i4>0</vt:i4>
      </vt:variant>
      <vt:variant>
        <vt:i4>5</vt:i4>
      </vt:variant>
      <vt:variant>
        <vt:lpwstr>https://eur-lex.europa.eu/legal-content/RO/AUTO/?uri=celex:31991L0676</vt:lpwstr>
      </vt:variant>
      <vt:variant>
        <vt:lpwstr/>
      </vt:variant>
      <vt:variant>
        <vt:i4>7667818</vt:i4>
      </vt:variant>
      <vt:variant>
        <vt:i4>135</vt:i4>
      </vt:variant>
      <vt:variant>
        <vt:i4>0</vt:i4>
      </vt:variant>
      <vt:variant>
        <vt:i4>5</vt:i4>
      </vt:variant>
      <vt:variant>
        <vt:lpwstr>http://www.blacksea-commission.org/</vt:lpwstr>
      </vt:variant>
      <vt:variant>
        <vt:lpwstr/>
      </vt:variant>
      <vt:variant>
        <vt:i4>1376309</vt:i4>
      </vt:variant>
      <vt:variant>
        <vt:i4>128</vt:i4>
      </vt:variant>
      <vt:variant>
        <vt:i4>0</vt:i4>
      </vt:variant>
      <vt:variant>
        <vt:i4>5</vt:i4>
      </vt:variant>
      <vt:variant>
        <vt:lpwstr/>
      </vt:variant>
      <vt:variant>
        <vt:lpwstr>_Toc150247025</vt:lpwstr>
      </vt:variant>
      <vt:variant>
        <vt:i4>1376309</vt:i4>
      </vt:variant>
      <vt:variant>
        <vt:i4>122</vt:i4>
      </vt:variant>
      <vt:variant>
        <vt:i4>0</vt:i4>
      </vt:variant>
      <vt:variant>
        <vt:i4>5</vt:i4>
      </vt:variant>
      <vt:variant>
        <vt:lpwstr/>
      </vt:variant>
      <vt:variant>
        <vt:lpwstr>_Toc150247024</vt:lpwstr>
      </vt:variant>
      <vt:variant>
        <vt:i4>1376309</vt:i4>
      </vt:variant>
      <vt:variant>
        <vt:i4>116</vt:i4>
      </vt:variant>
      <vt:variant>
        <vt:i4>0</vt:i4>
      </vt:variant>
      <vt:variant>
        <vt:i4>5</vt:i4>
      </vt:variant>
      <vt:variant>
        <vt:lpwstr/>
      </vt:variant>
      <vt:variant>
        <vt:lpwstr>_Toc150247023</vt:lpwstr>
      </vt:variant>
      <vt:variant>
        <vt:i4>1376309</vt:i4>
      </vt:variant>
      <vt:variant>
        <vt:i4>110</vt:i4>
      </vt:variant>
      <vt:variant>
        <vt:i4>0</vt:i4>
      </vt:variant>
      <vt:variant>
        <vt:i4>5</vt:i4>
      </vt:variant>
      <vt:variant>
        <vt:lpwstr/>
      </vt:variant>
      <vt:variant>
        <vt:lpwstr>_Toc150247022</vt:lpwstr>
      </vt:variant>
      <vt:variant>
        <vt:i4>1376309</vt:i4>
      </vt:variant>
      <vt:variant>
        <vt:i4>104</vt:i4>
      </vt:variant>
      <vt:variant>
        <vt:i4>0</vt:i4>
      </vt:variant>
      <vt:variant>
        <vt:i4>5</vt:i4>
      </vt:variant>
      <vt:variant>
        <vt:lpwstr/>
      </vt:variant>
      <vt:variant>
        <vt:lpwstr>_Toc150247021</vt:lpwstr>
      </vt:variant>
      <vt:variant>
        <vt:i4>1376309</vt:i4>
      </vt:variant>
      <vt:variant>
        <vt:i4>98</vt:i4>
      </vt:variant>
      <vt:variant>
        <vt:i4>0</vt:i4>
      </vt:variant>
      <vt:variant>
        <vt:i4>5</vt:i4>
      </vt:variant>
      <vt:variant>
        <vt:lpwstr/>
      </vt:variant>
      <vt:variant>
        <vt:lpwstr>_Toc150247020</vt:lpwstr>
      </vt:variant>
      <vt:variant>
        <vt:i4>1441845</vt:i4>
      </vt:variant>
      <vt:variant>
        <vt:i4>92</vt:i4>
      </vt:variant>
      <vt:variant>
        <vt:i4>0</vt:i4>
      </vt:variant>
      <vt:variant>
        <vt:i4>5</vt:i4>
      </vt:variant>
      <vt:variant>
        <vt:lpwstr/>
      </vt:variant>
      <vt:variant>
        <vt:lpwstr>_Toc150247019</vt:lpwstr>
      </vt:variant>
      <vt:variant>
        <vt:i4>1441845</vt:i4>
      </vt:variant>
      <vt:variant>
        <vt:i4>86</vt:i4>
      </vt:variant>
      <vt:variant>
        <vt:i4>0</vt:i4>
      </vt:variant>
      <vt:variant>
        <vt:i4>5</vt:i4>
      </vt:variant>
      <vt:variant>
        <vt:lpwstr/>
      </vt:variant>
      <vt:variant>
        <vt:lpwstr>_Toc150247018</vt:lpwstr>
      </vt:variant>
      <vt:variant>
        <vt:i4>1441845</vt:i4>
      </vt:variant>
      <vt:variant>
        <vt:i4>80</vt:i4>
      </vt:variant>
      <vt:variant>
        <vt:i4>0</vt:i4>
      </vt:variant>
      <vt:variant>
        <vt:i4>5</vt:i4>
      </vt:variant>
      <vt:variant>
        <vt:lpwstr/>
      </vt:variant>
      <vt:variant>
        <vt:lpwstr>_Toc150247017</vt:lpwstr>
      </vt:variant>
      <vt:variant>
        <vt:i4>1441845</vt:i4>
      </vt:variant>
      <vt:variant>
        <vt:i4>74</vt:i4>
      </vt:variant>
      <vt:variant>
        <vt:i4>0</vt:i4>
      </vt:variant>
      <vt:variant>
        <vt:i4>5</vt:i4>
      </vt:variant>
      <vt:variant>
        <vt:lpwstr/>
      </vt:variant>
      <vt:variant>
        <vt:lpwstr>_Toc150247016</vt:lpwstr>
      </vt:variant>
      <vt:variant>
        <vt:i4>1441845</vt:i4>
      </vt:variant>
      <vt:variant>
        <vt:i4>68</vt:i4>
      </vt:variant>
      <vt:variant>
        <vt:i4>0</vt:i4>
      </vt:variant>
      <vt:variant>
        <vt:i4>5</vt:i4>
      </vt:variant>
      <vt:variant>
        <vt:lpwstr/>
      </vt:variant>
      <vt:variant>
        <vt:lpwstr>_Toc150247015</vt:lpwstr>
      </vt:variant>
      <vt:variant>
        <vt:i4>1441845</vt:i4>
      </vt:variant>
      <vt:variant>
        <vt:i4>62</vt:i4>
      </vt:variant>
      <vt:variant>
        <vt:i4>0</vt:i4>
      </vt:variant>
      <vt:variant>
        <vt:i4>5</vt:i4>
      </vt:variant>
      <vt:variant>
        <vt:lpwstr/>
      </vt:variant>
      <vt:variant>
        <vt:lpwstr>_Toc150247014</vt:lpwstr>
      </vt:variant>
      <vt:variant>
        <vt:i4>1441845</vt:i4>
      </vt:variant>
      <vt:variant>
        <vt:i4>56</vt:i4>
      </vt:variant>
      <vt:variant>
        <vt:i4>0</vt:i4>
      </vt:variant>
      <vt:variant>
        <vt:i4>5</vt:i4>
      </vt:variant>
      <vt:variant>
        <vt:lpwstr/>
      </vt:variant>
      <vt:variant>
        <vt:lpwstr>_Toc150247013</vt:lpwstr>
      </vt:variant>
      <vt:variant>
        <vt:i4>1441845</vt:i4>
      </vt:variant>
      <vt:variant>
        <vt:i4>50</vt:i4>
      </vt:variant>
      <vt:variant>
        <vt:i4>0</vt:i4>
      </vt:variant>
      <vt:variant>
        <vt:i4>5</vt:i4>
      </vt:variant>
      <vt:variant>
        <vt:lpwstr/>
      </vt:variant>
      <vt:variant>
        <vt:lpwstr>_Toc150247012</vt:lpwstr>
      </vt:variant>
      <vt:variant>
        <vt:i4>1441845</vt:i4>
      </vt:variant>
      <vt:variant>
        <vt:i4>44</vt:i4>
      </vt:variant>
      <vt:variant>
        <vt:i4>0</vt:i4>
      </vt:variant>
      <vt:variant>
        <vt:i4>5</vt:i4>
      </vt:variant>
      <vt:variant>
        <vt:lpwstr/>
      </vt:variant>
      <vt:variant>
        <vt:lpwstr>_Toc150247011</vt:lpwstr>
      </vt:variant>
      <vt:variant>
        <vt:i4>1441845</vt:i4>
      </vt:variant>
      <vt:variant>
        <vt:i4>38</vt:i4>
      </vt:variant>
      <vt:variant>
        <vt:i4>0</vt:i4>
      </vt:variant>
      <vt:variant>
        <vt:i4>5</vt:i4>
      </vt:variant>
      <vt:variant>
        <vt:lpwstr/>
      </vt:variant>
      <vt:variant>
        <vt:lpwstr>_Toc150247010</vt:lpwstr>
      </vt:variant>
      <vt:variant>
        <vt:i4>1507381</vt:i4>
      </vt:variant>
      <vt:variant>
        <vt:i4>32</vt:i4>
      </vt:variant>
      <vt:variant>
        <vt:i4>0</vt:i4>
      </vt:variant>
      <vt:variant>
        <vt:i4>5</vt:i4>
      </vt:variant>
      <vt:variant>
        <vt:lpwstr/>
      </vt:variant>
      <vt:variant>
        <vt:lpwstr>_Toc150247009</vt:lpwstr>
      </vt:variant>
      <vt:variant>
        <vt:i4>1507381</vt:i4>
      </vt:variant>
      <vt:variant>
        <vt:i4>26</vt:i4>
      </vt:variant>
      <vt:variant>
        <vt:i4>0</vt:i4>
      </vt:variant>
      <vt:variant>
        <vt:i4>5</vt:i4>
      </vt:variant>
      <vt:variant>
        <vt:lpwstr/>
      </vt:variant>
      <vt:variant>
        <vt:lpwstr>_Toc150247008</vt:lpwstr>
      </vt:variant>
      <vt:variant>
        <vt:i4>1507381</vt:i4>
      </vt:variant>
      <vt:variant>
        <vt:i4>20</vt:i4>
      </vt:variant>
      <vt:variant>
        <vt:i4>0</vt:i4>
      </vt:variant>
      <vt:variant>
        <vt:i4>5</vt:i4>
      </vt:variant>
      <vt:variant>
        <vt:lpwstr/>
      </vt:variant>
      <vt:variant>
        <vt:lpwstr>_Toc150247007</vt:lpwstr>
      </vt:variant>
      <vt:variant>
        <vt:i4>1507381</vt:i4>
      </vt:variant>
      <vt:variant>
        <vt:i4>14</vt:i4>
      </vt:variant>
      <vt:variant>
        <vt:i4>0</vt:i4>
      </vt:variant>
      <vt:variant>
        <vt:i4>5</vt:i4>
      </vt:variant>
      <vt:variant>
        <vt:lpwstr/>
      </vt:variant>
      <vt:variant>
        <vt:lpwstr>_Toc150247006</vt:lpwstr>
      </vt:variant>
      <vt:variant>
        <vt:i4>1507381</vt:i4>
      </vt:variant>
      <vt:variant>
        <vt:i4>8</vt:i4>
      </vt:variant>
      <vt:variant>
        <vt:i4>0</vt:i4>
      </vt:variant>
      <vt:variant>
        <vt:i4>5</vt:i4>
      </vt:variant>
      <vt:variant>
        <vt:lpwstr/>
      </vt:variant>
      <vt:variant>
        <vt:lpwstr>_Toc150247005</vt:lpwstr>
      </vt:variant>
      <vt:variant>
        <vt:i4>1507381</vt:i4>
      </vt:variant>
      <vt:variant>
        <vt:i4>2</vt:i4>
      </vt:variant>
      <vt:variant>
        <vt:i4>0</vt:i4>
      </vt:variant>
      <vt:variant>
        <vt:i4>5</vt:i4>
      </vt:variant>
      <vt:variant>
        <vt:lpwstr/>
      </vt:variant>
      <vt:variant>
        <vt:lpwstr>_Toc150247004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GeoEcoMar Teodor</dc:creator>
  <cp:keywords/>
  <dc:description/>
  <cp:lastModifiedBy>Dan Vasiliu</cp:lastModifiedBy>
  <cp:revision>4</cp:revision>
  <cp:lastPrinted>2023-11-13T14:41:00Z</cp:lastPrinted>
  <dcterms:created xsi:type="dcterms:W3CDTF">2024-06-18T13:51:00Z</dcterms:created>
  <dcterms:modified xsi:type="dcterms:W3CDTF">2024-06-18T14:45:00Z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bebc633d774de8c56dedb4f3aae74e34b777a0e14708fb6ea137f3e5b21de505</vt:lpwstr>
  </property>
</Properties>
</file>