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DA365" w14:textId="77777777" w:rsidR="005E1C73" w:rsidRDefault="005E1C73" w:rsidP="00FC3E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</w:pPr>
    </w:p>
    <w:p w14:paraId="559D9234" w14:textId="77777777" w:rsidR="005E1C73" w:rsidRDefault="005E1C73" w:rsidP="00FC3E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</w:pPr>
    </w:p>
    <w:p w14:paraId="04C83B69" w14:textId="77777777" w:rsidR="005E1C73" w:rsidRDefault="005E1C73" w:rsidP="00FC3E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</w:pPr>
    </w:p>
    <w:p w14:paraId="36941A3B" w14:textId="4942050A" w:rsidR="007748D7" w:rsidRPr="009522EB" w:rsidRDefault="007748D7" w:rsidP="00FC3E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</w:pPr>
      <w:r w:rsidRPr="009522E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  <w:t>GUVERNUL ROMÂNIEI</w:t>
      </w:r>
    </w:p>
    <w:p w14:paraId="6ABF2CA3" w14:textId="77777777" w:rsidR="007748D7" w:rsidRPr="009522EB" w:rsidRDefault="007748D7" w:rsidP="000F21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en-GB"/>
          <w14:ligatures w14:val="none"/>
        </w:rPr>
      </w:pPr>
    </w:p>
    <w:p w14:paraId="432055F0" w14:textId="77777777" w:rsidR="007748D7" w:rsidRPr="009522EB" w:rsidRDefault="007748D7" w:rsidP="000F21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en-GB"/>
          <w14:ligatures w14:val="none"/>
        </w:rPr>
      </w:pPr>
      <w:r w:rsidRPr="009522E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1AE772D" wp14:editId="3D1EB930">
            <wp:extent cx="6191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EF954" w14:textId="77777777" w:rsidR="00947F64" w:rsidRPr="009522EB" w:rsidRDefault="00947F64" w:rsidP="000F21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</w:pPr>
    </w:p>
    <w:p w14:paraId="27B9B01E" w14:textId="08549F16" w:rsidR="007748D7" w:rsidRPr="009522EB" w:rsidRDefault="00F04C89" w:rsidP="00A52F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</w:pPr>
      <w:r w:rsidRPr="009522E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en-GB"/>
          <w14:ligatures w14:val="none"/>
        </w:rPr>
        <w:t>HOTĂRÂRE</w:t>
      </w:r>
    </w:p>
    <w:p w14:paraId="54294950" w14:textId="6B648FA2" w:rsidR="00A52F7A" w:rsidRPr="009522EB" w:rsidRDefault="006D0E27" w:rsidP="00A52F7A">
      <w:pPr>
        <w:spacing w:before="146" w:after="0"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522E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privind </w:t>
      </w:r>
      <w:r w:rsidR="005361BF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aprobarea </w:t>
      </w:r>
      <w:r w:rsidR="005361BF" w:rsidRPr="009522E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don</w:t>
      </w:r>
      <w:r w:rsidR="005361BF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ării</w:t>
      </w:r>
      <w:r w:rsidR="005361BF" w:rsidRPr="009522E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BD668D" w:rsidRPr="009522E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de către statul român a unor bunuri mobile aparţinând domeniului privat al statului </w:t>
      </w:r>
      <w:r w:rsidR="00C05E7C" w:rsidRPr="009522E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către</w:t>
      </w:r>
      <w:r w:rsidR="003363AD" w:rsidRPr="009522E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Agenția de Mediu</w:t>
      </w:r>
      <w:r w:rsidR="001472AF" w:rsidRPr="009522EB">
        <w:rPr>
          <w:rFonts w:ascii="Times New Roman" w:hAnsi="Times New Roman" w:cs="Times New Roman"/>
          <w:sz w:val="24"/>
          <w:szCs w:val="24"/>
        </w:rPr>
        <w:t xml:space="preserve"> </w:t>
      </w:r>
      <w:r w:rsidR="001472AF" w:rsidRPr="009522E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din Republica Moldova</w:t>
      </w:r>
    </w:p>
    <w:p w14:paraId="2A9BAF55" w14:textId="77777777" w:rsidR="00A52F7A" w:rsidRPr="009522EB" w:rsidRDefault="00A52F7A" w:rsidP="00A52F7A">
      <w:pPr>
        <w:spacing w:before="80" w:after="24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DA4774E" w14:textId="77777777" w:rsidR="00CA3F39" w:rsidRPr="009522EB" w:rsidRDefault="00CA3F39" w:rsidP="009B19F7">
      <w:pPr>
        <w:spacing w:before="80" w:after="24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9A1FDBB" w14:textId="4C5EDEC4" w:rsidR="00947F64" w:rsidRPr="009522EB" w:rsidRDefault="00B837BF" w:rsidP="009B19F7">
      <w:pPr>
        <w:spacing w:before="26" w:after="24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9522E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          Î</w:t>
      </w:r>
      <w:r w:rsidR="00A52F7A" w:rsidRPr="009522E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n temeiul</w:t>
      </w:r>
      <w:r w:rsidR="006B180F" w:rsidRPr="009522E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A52F7A" w:rsidRPr="009522E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art. 108 din </w:t>
      </w:r>
      <w:r w:rsidR="00A52F7A" w:rsidRPr="009522EB">
        <w:rPr>
          <w:rFonts w:ascii="Times New Roman" w:hAnsi="Times New Roman" w:cs="Times New Roman"/>
          <w:bCs/>
          <w:color w:val="1B1B1B"/>
          <w:sz w:val="24"/>
          <w:szCs w:val="24"/>
          <w:lang w:val="ro-RO"/>
        </w:rPr>
        <w:t>Constituţia României</w:t>
      </w:r>
      <w:r w:rsidR="00D60913" w:rsidRPr="009522E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, republicată,</w:t>
      </w:r>
      <w:r w:rsidR="00FC3EAD" w:rsidRPr="009522E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precum și al art.</w:t>
      </w:r>
      <w:r w:rsidR="00826B3D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FC3EAD" w:rsidRPr="009522E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25 lit.</w:t>
      </w:r>
      <w:r w:rsidR="00826B3D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FC3EAD" w:rsidRPr="009522E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m)</w:t>
      </w:r>
      <w:r w:rsidR="00A02329" w:rsidRPr="009522E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, art.</w:t>
      </w:r>
      <w:r w:rsidR="00826B3D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A02329" w:rsidRPr="009522E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354</w:t>
      </w:r>
      <w:r w:rsidR="005361B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, </w:t>
      </w:r>
      <w:r w:rsidR="00A02329" w:rsidRPr="009522E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art. 355</w:t>
      </w:r>
      <w:r w:rsidR="005361B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și art.</w:t>
      </w:r>
      <w:r w:rsidR="00826B3D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5361B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362 alin.</w:t>
      </w:r>
      <w:r w:rsidR="00826B3D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5361B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(1)</w:t>
      </w:r>
      <w:r w:rsidR="00A02329" w:rsidRPr="009522E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FC3EAD" w:rsidRPr="009522E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din Ordonanța de urgență a Guvernului nr.57/2019 privind Codul administrativ, cu modificările și completările ulterioare,</w:t>
      </w:r>
    </w:p>
    <w:p w14:paraId="723C0673" w14:textId="6951440A" w:rsidR="00947F64" w:rsidRPr="009522EB" w:rsidRDefault="00B837BF" w:rsidP="009B19F7">
      <w:pPr>
        <w:spacing w:before="26" w:after="24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9522E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</w:t>
      </w:r>
      <w:r w:rsidR="00A52F7A" w:rsidRPr="009522EB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Guvernul României adoptă prezenta hotărâre.</w:t>
      </w:r>
    </w:p>
    <w:p w14:paraId="7B1C3C8E" w14:textId="35A3CDDA" w:rsidR="00C05E7C" w:rsidRPr="009522EB" w:rsidRDefault="00A52F7A" w:rsidP="009B19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9522EB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B837BF" w:rsidRPr="009522EB">
        <w:rPr>
          <w:rFonts w:ascii="Times New Roman" w:hAnsi="Times New Roman" w:cs="Times New Roman"/>
          <w:b/>
          <w:sz w:val="24"/>
          <w:szCs w:val="24"/>
          <w:lang w:val="ro-RO"/>
        </w:rPr>
        <w:t>rt</w:t>
      </w:r>
      <w:r w:rsidR="003363AD" w:rsidRPr="009522EB">
        <w:rPr>
          <w:rFonts w:ascii="Times New Roman" w:hAnsi="Times New Roman" w:cs="Times New Roman"/>
          <w:b/>
          <w:sz w:val="24"/>
          <w:szCs w:val="24"/>
          <w:lang w:val="ro-RO"/>
        </w:rPr>
        <w:t>. 1</w:t>
      </w:r>
      <w:r w:rsidRPr="009522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C5785" w:rsidRPr="009522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– </w:t>
      </w:r>
      <w:r w:rsidR="00C05E7C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(1) </w:t>
      </w:r>
      <w:r w:rsidR="005361BF" w:rsidRPr="005361BF">
        <w:rPr>
          <w:rFonts w:ascii="Times New Roman" w:hAnsi="Times New Roman" w:cs="Times New Roman"/>
          <w:kern w:val="0"/>
          <w:sz w:val="24"/>
          <w:szCs w:val="24"/>
          <w:lang w:val="ro-RO"/>
        </w:rPr>
        <w:t>Prin derogare de la art.</w:t>
      </w:r>
      <w:r w:rsidR="00826B3D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</w:t>
      </w:r>
      <w:r w:rsidR="005361BF">
        <w:rPr>
          <w:rFonts w:ascii="Times New Roman" w:hAnsi="Times New Roman" w:cs="Times New Roman"/>
          <w:kern w:val="0"/>
          <w:sz w:val="24"/>
          <w:szCs w:val="24"/>
          <w:lang w:val="ro-RO"/>
        </w:rPr>
        <w:t>362 alin.</w:t>
      </w:r>
      <w:r w:rsidR="00826B3D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</w:t>
      </w:r>
      <w:r w:rsidR="005361BF">
        <w:rPr>
          <w:rFonts w:ascii="Times New Roman" w:hAnsi="Times New Roman" w:cs="Times New Roman"/>
          <w:kern w:val="0"/>
          <w:sz w:val="24"/>
          <w:szCs w:val="24"/>
          <w:lang w:val="ro-RO"/>
        </w:rPr>
        <w:t>(1)</w:t>
      </w:r>
      <w:r w:rsidR="005361BF" w:rsidRPr="005361BF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din Ordonanța de urgență a Guvernului nr.</w:t>
      </w:r>
      <w:r w:rsidR="00826B3D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</w:t>
      </w:r>
      <w:r w:rsidR="005361BF" w:rsidRPr="005361BF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57/2019 privind Codul administrativ, cu modificările și completările ulterioare, </w:t>
      </w:r>
      <w:r w:rsidR="005361BF">
        <w:rPr>
          <w:rFonts w:ascii="Times New Roman" w:hAnsi="Times New Roman" w:cs="Times New Roman"/>
          <w:kern w:val="0"/>
          <w:sz w:val="24"/>
          <w:szCs w:val="24"/>
          <w:lang w:val="ro-RO"/>
        </w:rPr>
        <w:t>s</w:t>
      </w:r>
      <w:r w:rsidR="00C05E7C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>e aprobă donarea</w:t>
      </w:r>
      <w:r w:rsidR="00A02329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unor bunuri mobile, aparţinând domeniului privat al statului</w:t>
      </w:r>
      <w:r w:rsidR="00C05E7C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, </w:t>
      </w:r>
      <w:r w:rsidR="00A02329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aflate în administrarea </w:t>
      </w:r>
      <w:r w:rsidR="005361BF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Agenției Naționale pentru Protecția Mediului prin </w:t>
      </w:r>
      <w:r w:rsidR="00A02329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>Agenți</w:t>
      </w:r>
      <w:r w:rsidR="005361BF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a </w:t>
      </w:r>
      <w:r w:rsidR="00A02329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pentru Protecția Mediului Prahova, </w:t>
      </w:r>
      <w:r w:rsidR="00C05E7C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>către Agenția de Mediu din Republica Moldova</w:t>
      </w:r>
      <w:r w:rsidR="00955C90">
        <w:rPr>
          <w:rFonts w:ascii="Times New Roman" w:hAnsi="Times New Roman" w:cs="Times New Roman"/>
          <w:kern w:val="0"/>
          <w:sz w:val="24"/>
          <w:szCs w:val="24"/>
          <w:lang w:val="ro-RO"/>
        </w:rPr>
        <w:t>,</w:t>
      </w:r>
      <w:r w:rsidR="00955C90" w:rsidRPr="00955C90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</w:t>
      </w:r>
      <w:r w:rsidR="00955C90" w:rsidRPr="00527342">
        <w:rPr>
          <w:rFonts w:ascii="Times New Roman" w:hAnsi="Times New Roman" w:cs="Times New Roman"/>
          <w:kern w:val="0"/>
          <w:sz w:val="24"/>
          <w:szCs w:val="24"/>
          <w:lang w:val="ro-RO"/>
        </w:rPr>
        <w:t>prevăzute în anexa care face parte integrantă din prezenta hotărâre</w:t>
      </w:r>
      <w:r w:rsidR="00A02329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. </w:t>
      </w:r>
    </w:p>
    <w:p w14:paraId="082F991D" w14:textId="77777777" w:rsidR="00A02329" w:rsidRPr="009522EB" w:rsidRDefault="00A02329" w:rsidP="009B19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054C1AC3" w14:textId="6F9AB403" w:rsidR="00C05E7C" w:rsidRPr="009522EB" w:rsidRDefault="00C05E7C" w:rsidP="009B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(2) Bunurile prevăzute la alin. (1) se scad din evidenţa </w:t>
      </w:r>
      <w:r w:rsidR="009B19F7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>Agenției pentru Protecția Mediului Prahova</w:t>
      </w:r>
      <w:r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>.</w:t>
      </w:r>
    </w:p>
    <w:p w14:paraId="6E76B04E" w14:textId="6200506D" w:rsidR="00C05E7C" w:rsidRPr="009522EB" w:rsidRDefault="00C05E7C" w:rsidP="009B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9522EB">
        <w:rPr>
          <w:rFonts w:ascii="Times New Roman" w:hAnsi="Times New Roman" w:cs="Times New Roman"/>
          <w:b/>
          <w:kern w:val="0"/>
          <w:sz w:val="24"/>
          <w:szCs w:val="24"/>
          <w:lang w:val="ro-RO"/>
        </w:rPr>
        <w:t>A</w:t>
      </w:r>
      <w:r w:rsidR="009B19F7" w:rsidRPr="009522EB">
        <w:rPr>
          <w:rFonts w:ascii="Times New Roman" w:hAnsi="Times New Roman" w:cs="Times New Roman"/>
          <w:b/>
          <w:kern w:val="0"/>
          <w:sz w:val="24"/>
          <w:szCs w:val="24"/>
          <w:lang w:val="ro-RO"/>
        </w:rPr>
        <w:t>rt</w:t>
      </w:r>
      <w:r w:rsidRPr="009522EB">
        <w:rPr>
          <w:rFonts w:ascii="Times New Roman" w:hAnsi="Times New Roman" w:cs="Times New Roman"/>
          <w:b/>
          <w:kern w:val="0"/>
          <w:sz w:val="24"/>
          <w:szCs w:val="24"/>
          <w:lang w:val="ro-RO"/>
        </w:rPr>
        <w:t>. 2</w:t>
      </w:r>
      <w:r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</w:t>
      </w:r>
      <w:r w:rsidR="009B19F7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>-</w:t>
      </w:r>
      <w:r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Cheltuielile necesare pentru ducerea la îndeplinire a activităţii de donare a bunurilor prevăzute la art. 1 se suportă din bugetul</w:t>
      </w:r>
      <w:r w:rsidR="009B19F7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</w:t>
      </w:r>
      <w:r w:rsidR="00E01E04">
        <w:rPr>
          <w:rFonts w:ascii="Times New Roman" w:hAnsi="Times New Roman" w:cs="Times New Roman"/>
          <w:kern w:val="0"/>
          <w:sz w:val="24"/>
          <w:szCs w:val="24"/>
          <w:lang w:val="ro-RO"/>
        </w:rPr>
        <w:t>Agenției Naționale pentru Protecția Mediului</w:t>
      </w:r>
      <w:bookmarkStart w:id="0" w:name="_GoBack"/>
      <w:bookmarkEnd w:id="0"/>
      <w:r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>.</w:t>
      </w:r>
      <w:r w:rsidR="00D60FDC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</w:t>
      </w:r>
    </w:p>
    <w:p w14:paraId="4614FA01" w14:textId="57F656D7" w:rsidR="00C05E7C" w:rsidRPr="009522EB" w:rsidRDefault="00C05E7C" w:rsidP="009B19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9522EB">
        <w:rPr>
          <w:rFonts w:ascii="Times New Roman" w:hAnsi="Times New Roman" w:cs="Times New Roman"/>
          <w:b/>
          <w:kern w:val="0"/>
          <w:sz w:val="24"/>
          <w:szCs w:val="24"/>
          <w:lang w:val="ro-RO"/>
        </w:rPr>
        <w:t>A</w:t>
      </w:r>
      <w:r w:rsidR="009B19F7" w:rsidRPr="009522EB">
        <w:rPr>
          <w:rFonts w:ascii="Times New Roman" w:hAnsi="Times New Roman" w:cs="Times New Roman"/>
          <w:b/>
          <w:kern w:val="0"/>
          <w:sz w:val="24"/>
          <w:szCs w:val="24"/>
          <w:lang w:val="ro-RO"/>
        </w:rPr>
        <w:t>rt</w:t>
      </w:r>
      <w:r w:rsidRPr="009522EB">
        <w:rPr>
          <w:rFonts w:ascii="Times New Roman" w:hAnsi="Times New Roman" w:cs="Times New Roman"/>
          <w:b/>
          <w:kern w:val="0"/>
          <w:sz w:val="24"/>
          <w:szCs w:val="24"/>
          <w:lang w:val="ro-RO"/>
        </w:rPr>
        <w:t>. 3</w:t>
      </w:r>
      <w:r w:rsidR="009B19F7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-</w:t>
      </w:r>
      <w:r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Predarea-preluarea bunurilor prevăzute la art. 1 se face pe bază de protocol încheiat între părţi, în termen de </w:t>
      </w:r>
      <w:r w:rsidR="00E57986"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>3</w:t>
      </w:r>
      <w:r w:rsidRPr="009522EB">
        <w:rPr>
          <w:rFonts w:ascii="Times New Roman" w:hAnsi="Times New Roman" w:cs="Times New Roman"/>
          <w:kern w:val="0"/>
          <w:sz w:val="24"/>
          <w:szCs w:val="24"/>
          <w:lang w:val="ro-RO"/>
        </w:rPr>
        <w:t>0 de zile de la data intrării în vigoare a prezentei hotărâri.</w:t>
      </w:r>
    </w:p>
    <w:p w14:paraId="0D0C82BF" w14:textId="77777777" w:rsidR="000C5785" w:rsidRPr="009522EB" w:rsidRDefault="000C5785" w:rsidP="00D2083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680300DD" w14:textId="77777777" w:rsidR="00CA3F39" w:rsidRPr="009522EB" w:rsidRDefault="00CA3F39" w:rsidP="001A0B5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3983F5" w14:textId="44055870" w:rsidR="006968BE" w:rsidRPr="009522EB" w:rsidRDefault="006D0E27" w:rsidP="00401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9522E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6583FDEA" w14:textId="77777777" w:rsidR="00CA3F39" w:rsidRPr="009522EB" w:rsidRDefault="00CA3F39" w:rsidP="00947F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</w:p>
    <w:p w14:paraId="37AC26FE" w14:textId="0B8FE464" w:rsidR="000E6021" w:rsidRPr="009522EB" w:rsidRDefault="00F04C89" w:rsidP="009B19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9522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>PRIM-MINISTRU</w:t>
      </w:r>
    </w:p>
    <w:p w14:paraId="39FCFBDF" w14:textId="4991972E" w:rsidR="004D2BE7" w:rsidRPr="009522EB" w:rsidRDefault="009B19F7" w:rsidP="009B19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9522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>ION-</w:t>
      </w:r>
      <w:r w:rsidR="000E6021" w:rsidRPr="009522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>MARCEL CIOLACU</w:t>
      </w:r>
    </w:p>
    <w:p w14:paraId="6AF7FB92" w14:textId="467B097F" w:rsidR="00AE6C6B" w:rsidRPr="009522EB" w:rsidRDefault="00AE6C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</w:p>
    <w:p w14:paraId="792837E8" w14:textId="16F5B944" w:rsidR="00AE6C6B" w:rsidRPr="009522EB" w:rsidRDefault="00AE6C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</w:p>
    <w:p w14:paraId="6BD13473" w14:textId="6BA934B5" w:rsidR="00AE6C6B" w:rsidRPr="009522EB" w:rsidRDefault="00AE6C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</w:p>
    <w:p w14:paraId="55580022" w14:textId="2C0A0646" w:rsidR="00AE6C6B" w:rsidRPr="009522EB" w:rsidRDefault="00AE6C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</w:p>
    <w:p w14:paraId="179F70D1" w14:textId="5AB7BD0B" w:rsidR="00AE6C6B" w:rsidRPr="009522EB" w:rsidRDefault="00AE6C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</w:p>
    <w:p w14:paraId="052D8073" w14:textId="3DA56BF5" w:rsidR="00AE6C6B" w:rsidRPr="009522EB" w:rsidRDefault="00AE6C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</w:p>
    <w:p w14:paraId="0E2B67FB" w14:textId="38033237" w:rsidR="00AE6C6B" w:rsidRPr="009522EB" w:rsidRDefault="009B19F7" w:rsidP="009522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9522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>A</w:t>
      </w:r>
      <w:r w:rsidR="005E1C73" w:rsidRPr="009522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>nexă</w:t>
      </w:r>
    </w:p>
    <w:p w14:paraId="76C866F2" w14:textId="01224588" w:rsidR="00AE6C6B" w:rsidRPr="009522EB" w:rsidRDefault="00AE6C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</w:p>
    <w:p w14:paraId="072A43CC" w14:textId="77777777" w:rsidR="005E1C73" w:rsidRPr="005E1C73" w:rsidRDefault="005E1C73" w:rsidP="009522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5E1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>LISTA</w:t>
      </w:r>
    </w:p>
    <w:p w14:paraId="1AD23060" w14:textId="57FD31FF" w:rsidR="00AE6C6B" w:rsidRPr="009522EB" w:rsidRDefault="005E1C73" w:rsidP="009522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5E1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>cuprinzând bunurile mobile donate</w:t>
      </w:r>
      <w:r w:rsidRPr="005E1C73">
        <w:t xml:space="preserve"> </w:t>
      </w:r>
      <w:r w:rsidRPr="005E1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>Agenți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>ei</w:t>
      </w:r>
      <w:r w:rsidRPr="005E1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 xml:space="preserve"> de Mediu din Republica Moldova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1"/>
        <w:gridCol w:w="5074"/>
        <w:gridCol w:w="1496"/>
        <w:gridCol w:w="1176"/>
        <w:gridCol w:w="1296"/>
      </w:tblGrid>
      <w:tr w:rsidR="005A0025" w:rsidRPr="005E1C73" w14:paraId="3CC60B4F" w14:textId="77777777" w:rsidTr="00955C90">
        <w:trPr>
          <w:trHeight w:val="134"/>
        </w:trPr>
        <w:tc>
          <w:tcPr>
            <w:tcW w:w="591" w:type="dxa"/>
            <w:vAlign w:val="center"/>
          </w:tcPr>
          <w:p w14:paraId="3A12A7EC" w14:textId="77777777" w:rsidR="005A0025" w:rsidRPr="009522EB" w:rsidRDefault="005A0025" w:rsidP="003956F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Nr. crt. </w:t>
            </w:r>
          </w:p>
        </w:tc>
        <w:tc>
          <w:tcPr>
            <w:tcW w:w="5074" w:type="dxa"/>
            <w:vAlign w:val="center"/>
          </w:tcPr>
          <w:p w14:paraId="78C0EC89" w14:textId="676B5FE9" w:rsidR="005A0025" w:rsidRPr="009522EB" w:rsidRDefault="005A0025" w:rsidP="00BC6D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Denumirea bunurilor</w:t>
            </w:r>
          </w:p>
        </w:tc>
        <w:tc>
          <w:tcPr>
            <w:tcW w:w="1496" w:type="dxa"/>
            <w:vAlign w:val="center"/>
          </w:tcPr>
          <w:p w14:paraId="6310A5DD" w14:textId="3F9F7551" w:rsidR="005A0025" w:rsidRPr="009522EB" w:rsidRDefault="005A0025" w:rsidP="00D60FD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Specificații</w:t>
            </w:r>
          </w:p>
        </w:tc>
        <w:tc>
          <w:tcPr>
            <w:tcW w:w="1176" w:type="dxa"/>
            <w:vAlign w:val="center"/>
          </w:tcPr>
          <w:p w14:paraId="2F54594A" w14:textId="67716F63" w:rsidR="005A0025" w:rsidRPr="009522EB" w:rsidRDefault="005A0025" w:rsidP="003956F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296" w:type="dxa"/>
            <w:vAlign w:val="center"/>
          </w:tcPr>
          <w:p w14:paraId="7F442493" w14:textId="69DCA379" w:rsidR="005A0025" w:rsidRPr="009522EB" w:rsidRDefault="005A0025" w:rsidP="003956F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Valoare lei</w:t>
            </w:r>
          </w:p>
        </w:tc>
      </w:tr>
      <w:tr w:rsidR="005A0025" w:rsidRPr="005E1C73" w14:paraId="63B93A24" w14:textId="77777777" w:rsidTr="00955C90">
        <w:tc>
          <w:tcPr>
            <w:tcW w:w="591" w:type="dxa"/>
            <w:vAlign w:val="center"/>
          </w:tcPr>
          <w:p w14:paraId="14ACBBAE" w14:textId="36C568E8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1. </w:t>
            </w:r>
          </w:p>
        </w:tc>
        <w:tc>
          <w:tcPr>
            <w:tcW w:w="5074" w:type="dxa"/>
            <w:vAlign w:val="center"/>
          </w:tcPr>
          <w:p w14:paraId="41A8BDDB" w14:textId="59E754FB" w:rsidR="005A0025" w:rsidRPr="009522EB" w:rsidRDefault="005A0025" w:rsidP="003C469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Vehicul furgon cabină șofer și operator, izolat termic, amenajat din punct de vedere al mobilierului</w:t>
            </w:r>
          </w:p>
        </w:tc>
        <w:tc>
          <w:tcPr>
            <w:tcW w:w="1496" w:type="dxa"/>
          </w:tcPr>
          <w:p w14:paraId="7C2C2EA3" w14:textId="7687BA17" w:rsidR="005A0025" w:rsidRPr="009522EB" w:rsidRDefault="005A0025" w:rsidP="003C4693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Renault Master 2,5 DCI, număr înmatriculare PH-09-KMK</w:t>
            </w:r>
          </w:p>
        </w:tc>
        <w:tc>
          <w:tcPr>
            <w:tcW w:w="1176" w:type="dxa"/>
          </w:tcPr>
          <w:p w14:paraId="56837AB7" w14:textId="11CF9FB3" w:rsidR="005A0025" w:rsidRPr="009522EB" w:rsidRDefault="005A0025" w:rsidP="00095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420FCEA4" w14:textId="678D2D31" w:rsidR="005A0025" w:rsidRPr="009522EB" w:rsidRDefault="005A0025" w:rsidP="005A0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64.960,22</w:t>
            </w:r>
          </w:p>
        </w:tc>
      </w:tr>
      <w:tr w:rsidR="005A0025" w:rsidRPr="005E1C73" w14:paraId="1D46E08B" w14:textId="77777777" w:rsidTr="00955C90">
        <w:tc>
          <w:tcPr>
            <w:tcW w:w="591" w:type="dxa"/>
            <w:vAlign w:val="center"/>
          </w:tcPr>
          <w:p w14:paraId="53F86E24" w14:textId="491883BE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5074" w:type="dxa"/>
            <w:vAlign w:val="center"/>
          </w:tcPr>
          <w:p w14:paraId="7CA63211" w14:textId="6ADDDE7B" w:rsidR="005A0025" w:rsidRPr="009522EB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Instalație de aer condiționat, montată pe vehicul, sistem de încălzire termostat</w:t>
            </w:r>
          </w:p>
        </w:tc>
        <w:tc>
          <w:tcPr>
            <w:tcW w:w="1496" w:type="dxa"/>
          </w:tcPr>
          <w:p w14:paraId="7295681E" w14:textId="77777777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778AF209" w14:textId="652E6107" w:rsidR="005A0025" w:rsidRPr="009522EB" w:rsidRDefault="005A0025" w:rsidP="00095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40933ADB" w14:textId="131FEA54" w:rsidR="005A0025" w:rsidRPr="009522EB" w:rsidRDefault="005A0025" w:rsidP="005A0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5.676,10</w:t>
            </w:r>
          </w:p>
        </w:tc>
      </w:tr>
      <w:tr w:rsidR="005A0025" w:rsidRPr="005E1C73" w14:paraId="600F9D53" w14:textId="77777777" w:rsidTr="00955C90">
        <w:tc>
          <w:tcPr>
            <w:tcW w:w="591" w:type="dxa"/>
            <w:vAlign w:val="center"/>
          </w:tcPr>
          <w:p w14:paraId="4320F47C" w14:textId="32AED5DD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5074" w:type="dxa"/>
            <w:vAlign w:val="center"/>
          </w:tcPr>
          <w:p w14:paraId="1304F09A" w14:textId="77777777" w:rsidR="005A0025" w:rsidRPr="009522EB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Instalație electrică completă pentru alimentare:</w:t>
            </w:r>
          </w:p>
          <w:p w14:paraId="40897B74" w14:textId="77777777" w:rsidR="005A0025" w:rsidRPr="009522EB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-echipamente analiză și meteo;</w:t>
            </w:r>
          </w:p>
          <w:p w14:paraId="44927244" w14:textId="77777777" w:rsidR="005A0025" w:rsidRPr="009522EB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-sistem informatic;</w:t>
            </w:r>
          </w:p>
          <w:p w14:paraId="59C5E51A" w14:textId="77777777" w:rsidR="005A0025" w:rsidRPr="009522EB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-instalație climatizare;</w:t>
            </w:r>
          </w:p>
          <w:p w14:paraId="62501788" w14:textId="2AFF0E0D" w:rsidR="005A0025" w:rsidRPr="009522EB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-iluminat.</w:t>
            </w:r>
          </w:p>
        </w:tc>
        <w:tc>
          <w:tcPr>
            <w:tcW w:w="1496" w:type="dxa"/>
          </w:tcPr>
          <w:p w14:paraId="65906B4C" w14:textId="77777777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0E30B76F" w14:textId="3F4D42ED" w:rsidR="005A0025" w:rsidRPr="009522EB" w:rsidRDefault="005A0025" w:rsidP="00095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6BED55D4" w14:textId="4C53C03D" w:rsidR="005A0025" w:rsidRPr="009522EB" w:rsidRDefault="005A0025" w:rsidP="005A0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24.596,37</w:t>
            </w:r>
          </w:p>
        </w:tc>
      </w:tr>
      <w:tr w:rsidR="005A0025" w:rsidRPr="005E1C73" w14:paraId="2F7E30D9" w14:textId="77777777" w:rsidTr="00955C90">
        <w:tc>
          <w:tcPr>
            <w:tcW w:w="591" w:type="dxa"/>
            <w:vAlign w:val="center"/>
          </w:tcPr>
          <w:p w14:paraId="217D59BB" w14:textId="601061F4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5074" w:type="dxa"/>
            <w:vAlign w:val="center"/>
          </w:tcPr>
          <w:p w14:paraId="60E8153A" w14:textId="10FE4BCE" w:rsidR="005A0025" w:rsidRPr="009522EB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Rack 19” pentru montare echipamente de analiză</w:t>
            </w:r>
          </w:p>
        </w:tc>
        <w:tc>
          <w:tcPr>
            <w:tcW w:w="1496" w:type="dxa"/>
          </w:tcPr>
          <w:p w14:paraId="4283380C" w14:textId="6B0EF94E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RACK 2</w:t>
            </w:r>
          </w:p>
        </w:tc>
        <w:tc>
          <w:tcPr>
            <w:tcW w:w="1176" w:type="dxa"/>
          </w:tcPr>
          <w:p w14:paraId="3F0A065E" w14:textId="387F20BE" w:rsidR="005A0025" w:rsidRPr="009522EB" w:rsidRDefault="005A0025" w:rsidP="00095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7EA30E19" w14:textId="2B584956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3.363,61</w:t>
            </w:r>
          </w:p>
        </w:tc>
      </w:tr>
      <w:tr w:rsidR="005A0025" w:rsidRPr="005E1C73" w14:paraId="5E6D6CC7" w14:textId="77777777" w:rsidTr="00955C90">
        <w:tc>
          <w:tcPr>
            <w:tcW w:w="591" w:type="dxa"/>
            <w:vAlign w:val="center"/>
          </w:tcPr>
          <w:p w14:paraId="69E3619E" w14:textId="7368887F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5074" w:type="dxa"/>
            <w:vAlign w:val="center"/>
          </w:tcPr>
          <w:p w14:paraId="5324D805" w14:textId="20CDFF18" w:rsidR="005A0025" w:rsidRPr="009522EB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Catarg telescopic-10 metri</w:t>
            </w:r>
          </w:p>
        </w:tc>
        <w:tc>
          <w:tcPr>
            <w:tcW w:w="1496" w:type="dxa"/>
          </w:tcPr>
          <w:p w14:paraId="478007B1" w14:textId="77777777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15B3DCE8" w14:textId="0017F929" w:rsidR="005A0025" w:rsidRPr="009522EB" w:rsidRDefault="005A0025" w:rsidP="00095E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302E6E53" w14:textId="72435696" w:rsidR="005A0025" w:rsidRPr="009522EB" w:rsidRDefault="007B18C3" w:rsidP="007B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6.088,12</w:t>
            </w:r>
          </w:p>
        </w:tc>
      </w:tr>
      <w:tr w:rsidR="00955C90" w:rsidRPr="005E1C73" w14:paraId="37B744AB" w14:textId="77777777" w:rsidTr="00D714C6">
        <w:tc>
          <w:tcPr>
            <w:tcW w:w="9633" w:type="dxa"/>
            <w:gridSpan w:val="5"/>
            <w:vAlign w:val="center"/>
          </w:tcPr>
          <w:p w14:paraId="74B705AC" w14:textId="2FDF6231" w:rsidR="00955C90" w:rsidRPr="009522EB" w:rsidRDefault="00955C90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Echipamente analiză, comunicație și colaterale:</w:t>
            </w:r>
          </w:p>
        </w:tc>
      </w:tr>
      <w:tr w:rsidR="005A0025" w:rsidRPr="005E1C73" w14:paraId="5EAB0431" w14:textId="77777777" w:rsidTr="00955C90">
        <w:tc>
          <w:tcPr>
            <w:tcW w:w="591" w:type="dxa"/>
            <w:vAlign w:val="center"/>
          </w:tcPr>
          <w:p w14:paraId="79D669EA" w14:textId="2527E0BF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5074" w:type="dxa"/>
            <w:vAlign w:val="center"/>
          </w:tcPr>
          <w:p w14:paraId="31AA3982" w14:textId="785F50B4" w:rsidR="005A0025" w:rsidRPr="009522EB" w:rsidRDefault="005A0025" w:rsidP="00BC6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Analizor BTEX </w:t>
            </w:r>
          </w:p>
        </w:tc>
        <w:tc>
          <w:tcPr>
            <w:tcW w:w="1496" w:type="dxa"/>
          </w:tcPr>
          <w:p w14:paraId="6A6D01AC" w14:textId="435EF5FA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VOC71M</w:t>
            </w:r>
          </w:p>
        </w:tc>
        <w:tc>
          <w:tcPr>
            <w:tcW w:w="1176" w:type="dxa"/>
          </w:tcPr>
          <w:p w14:paraId="72E60E54" w14:textId="32BE4F18" w:rsidR="005A0025" w:rsidRPr="009522EB" w:rsidRDefault="005A0025" w:rsidP="00BC6D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7EC0AD77" w14:textId="0641F89E" w:rsidR="005A0025" w:rsidRPr="009522EB" w:rsidRDefault="007B18C3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167.285,44</w:t>
            </w:r>
          </w:p>
        </w:tc>
      </w:tr>
      <w:tr w:rsidR="005A0025" w:rsidRPr="005E1C73" w14:paraId="0468DA00" w14:textId="77777777" w:rsidTr="00955C90">
        <w:tc>
          <w:tcPr>
            <w:tcW w:w="591" w:type="dxa"/>
            <w:vAlign w:val="center"/>
          </w:tcPr>
          <w:p w14:paraId="59FF0E0B" w14:textId="6567496A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5074" w:type="dxa"/>
            <w:vAlign w:val="center"/>
          </w:tcPr>
          <w:p w14:paraId="28CAA486" w14:textId="23E19E9E" w:rsidR="005A0025" w:rsidRPr="009522EB" w:rsidRDefault="005A0025" w:rsidP="00BC6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Analizor SO2/H2S </w:t>
            </w:r>
          </w:p>
        </w:tc>
        <w:tc>
          <w:tcPr>
            <w:tcW w:w="1496" w:type="dxa"/>
          </w:tcPr>
          <w:p w14:paraId="01166B12" w14:textId="19B39EB1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AF22e</w:t>
            </w:r>
          </w:p>
        </w:tc>
        <w:tc>
          <w:tcPr>
            <w:tcW w:w="1176" w:type="dxa"/>
          </w:tcPr>
          <w:p w14:paraId="54164277" w14:textId="778347B2" w:rsidR="005A0025" w:rsidRPr="009522EB" w:rsidRDefault="005A0025" w:rsidP="00BC6D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7500C085" w14:textId="418AE8DC" w:rsidR="005A0025" w:rsidRPr="009522EB" w:rsidRDefault="007B18C3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111.955,20</w:t>
            </w:r>
          </w:p>
        </w:tc>
      </w:tr>
      <w:tr w:rsidR="005A0025" w:rsidRPr="005E1C73" w14:paraId="45018D33" w14:textId="77777777" w:rsidTr="00955C90">
        <w:tc>
          <w:tcPr>
            <w:tcW w:w="591" w:type="dxa"/>
            <w:vAlign w:val="center"/>
          </w:tcPr>
          <w:p w14:paraId="2E5BEA56" w14:textId="09DD5FCD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5074" w:type="dxa"/>
            <w:vAlign w:val="center"/>
          </w:tcPr>
          <w:p w14:paraId="1739C0E2" w14:textId="48C9F834" w:rsidR="005A0025" w:rsidRPr="009522EB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Analizor NO/NO2/Nox/NH3</w:t>
            </w:r>
          </w:p>
        </w:tc>
        <w:tc>
          <w:tcPr>
            <w:tcW w:w="1496" w:type="dxa"/>
          </w:tcPr>
          <w:p w14:paraId="1DA95733" w14:textId="3AA8D804" w:rsidR="005A0025" w:rsidRPr="009522EB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AC32m</w:t>
            </w:r>
          </w:p>
        </w:tc>
        <w:tc>
          <w:tcPr>
            <w:tcW w:w="1176" w:type="dxa"/>
          </w:tcPr>
          <w:p w14:paraId="048302BE" w14:textId="2DB73181" w:rsidR="005A0025" w:rsidRPr="009522EB" w:rsidRDefault="005A0025" w:rsidP="005A0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310CE3E1" w14:textId="7FBE9803" w:rsidR="005A0025" w:rsidRPr="009522EB" w:rsidRDefault="007B18C3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522E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130.952,36</w:t>
            </w:r>
          </w:p>
        </w:tc>
      </w:tr>
      <w:tr w:rsidR="005A0025" w:rsidRPr="005E1C73" w14:paraId="5985DF8C" w14:textId="77777777" w:rsidTr="00955C90">
        <w:tc>
          <w:tcPr>
            <w:tcW w:w="591" w:type="dxa"/>
            <w:vAlign w:val="center"/>
          </w:tcPr>
          <w:p w14:paraId="30AA79FF" w14:textId="053026C8" w:rsidR="005A0025" w:rsidRPr="005E1C73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5074" w:type="dxa"/>
            <w:vAlign w:val="center"/>
          </w:tcPr>
          <w:p w14:paraId="1716F6A5" w14:textId="0B449162" w:rsidR="005A0025" w:rsidRPr="005E1C73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Analizor particule în suspensie PM10</w:t>
            </w:r>
          </w:p>
        </w:tc>
        <w:tc>
          <w:tcPr>
            <w:tcW w:w="1496" w:type="dxa"/>
          </w:tcPr>
          <w:p w14:paraId="6700C499" w14:textId="3B11D31D" w:rsidR="005A0025" w:rsidRPr="005E1C73" w:rsidRDefault="007B18C3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MP101</w:t>
            </w:r>
          </w:p>
        </w:tc>
        <w:tc>
          <w:tcPr>
            <w:tcW w:w="1176" w:type="dxa"/>
          </w:tcPr>
          <w:p w14:paraId="23830550" w14:textId="4AF36540" w:rsidR="005A0025" w:rsidRPr="005E1C73" w:rsidRDefault="005A0025" w:rsidP="005A0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746F9ED5" w14:textId="2229ADA3" w:rsidR="005A0025" w:rsidRPr="005E1C73" w:rsidRDefault="007B18C3" w:rsidP="007B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87.284,12</w:t>
            </w:r>
          </w:p>
        </w:tc>
      </w:tr>
      <w:tr w:rsidR="005A0025" w:rsidRPr="005E1C73" w14:paraId="57F2D9FD" w14:textId="77777777" w:rsidTr="00955C90">
        <w:tc>
          <w:tcPr>
            <w:tcW w:w="591" w:type="dxa"/>
            <w:vAlign w:val="center"/>
          </w:tcPr>
          <w:p w14:paraId="52135E9B" w14:textId="786A0DD2" w:rsidR="005A0025" w:rsidRPr="005E1C73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5074" w:type="dxa"/>
            <w:vAlign w:val="center"/>
          </w:tcPr>
          <w:p w14:paraId="4C2137E6" w14:textId="0408BEAB" w:rsidR="005A0025" w:rsidRPr="005E1C73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Sistem calibrare</w:t>
            </w:r>
          </w:p>
        </w:tc>
        <w:tc>
          <w:tcPr>
            <w:tcW w:w="1496" w:type="dxa"/>
          </w:tcPr>
          <w:p w14:paraId="41E6B0B6" w14:textId="6003A7A3" w:rsidR="005A0025" w:rsidRPr="005E1C73" w:rsidRDefault="00872EF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CALIB.</w:t>
            </w:r>
          </w:p>
        </w:tc>
        <w:tc>
          <w:tcPr>
            <w:tcW w:w="1176" w:type="dxa"/>
          </w:tcPr>
          <w:p w14:paraId="776110E3" w14:textId="768020D0" w:rsidR="005A0025" w:rsidRPr="005E1C73" w:rsidRDefault="005A0025" w:rsidP="005A0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7FDD8205" w14:textId="2A870140" w:rsidR="005A0025" w:rsidRPr="005E1C73" w:rsidRDefault="00872EF5" w:rsidP="007B1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18.920,29</w:t>
            </w:r>
          </w:p>
        </w:tc>
      </w:tr>
      <w:tr w:rsidR="005A0025" w:rsidRPr="005E1C73" w14:paraId="63EDF76F" w14:textId="77777777" w:rsidTr="00955C90">
        <w:tc>
          <w:tcPr>
            <w:tcW w:w="591" w:type="dxa"/>
            <w:vAlign w:val="center"/>
          </w:tcPr>
          <w:p w14:paraId="1185E8ED" w14:textId="60610663" w:rsidR="005A0025" w:rsidRPr="005E1C73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5074" w:type="dxa"/>
            <w:vAlign w:val="center"/>
          </w:tcPr>
          <w:p w14:paraId="594598D3" w14:textId="4080454B" w:rsidR="005A0025" w:rsidRPr="005E1C73" w:rsidRDefault="005A0025" w:rsidP="005A00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Stație meteorologică (senzori pentru direcția, viteza vântului, temperatură, umiditate, presiune atmosferică și radiație solară)</w:t>
            </w:r>
          </w:p>
        </w:tc>
        <w:tc>
          <w:tcPr>
            <w:tcW w:w="1496" w:type="dxa"/>
          </w:tcPr>
          <w:p w14:paraId="5E04B07D" w14:textId="77777777" w:rsidR="005A0025" w:rsidRPr="005E1C73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74F3A371" w14:textId="2C77C03A" w:rsidR="005A0025" w:rsidRPr="005E1C73" w:rsidRDefault="005A0025" w:rsidP="005A0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41D225CE" w14:textId="0C4AEE7D" w:rsidR="005A0025" w:rsidRPr="005E1C73" w:rsidRDefault="00872EF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40.983,60</w:t>
            </w:r>
          </w:p>
        </w:tc>
      </w:tr>
      <w:tr w:rsidR="005A0025" w:rsidRPr="005E1C73" w14:paraId="109D28F9" w14:textId="77777777" w:rsidTr="00955C90">
        <w:tc>
          <w:tcPr>
            <w:tcW w:w="591" w:type="dxa"/>
            <w:vAlign w:val="center"/>
          </w:tcPr>
          <w:p w14:paraId="2832B55C" w14:textId="096E4AB6" w:rsidR="005A0025" w:rsidRPr="005E1C73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12.</w:t>
            </w:r>
          </w:p>
        </w:tc>
        <w:tc>
          <w:tcPr>
            <w:tcW w:w="5074" w:type="dxa"/>
            <w:vAlign w:val="center"/>
          </w:tcPr>
          <w:p w14:paraId="3C6464F0" w14:textId="08AC9653" w:rsidR="005A0025" w:rsidRPr="005E1C73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Dataloger (stocare înregistrare date)</w:t>
            </w:r>
          </w:p>
        </w:tc>
        <w:tc>
          <w:tcPr>
            <w:tcW w:w="1496" w:type="dxa"/>
          </w:tcPr>
          <w:p w14:paraId="72810ED8" w14:textId="77777777" w:rsidR="005A0025" w:rsidRPr="005E1C73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5C23757E" w14:textId="091643DF" w:rsidR="005A0025" w:rsidRPr="005E1C73" w:rsidRDefault="005A0025" w:rsidP="005A0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575F5AE2" w14:textId="32C60573" w:rsidR="005A0025" w:rsidRPr="005E1C73" w:rsidRDefault="00321069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32.986,80</w:t>
            </w:r>
          </w:p>
        </w:tc>
      </w:tr>
      <w:tr w:rsidR="005A0025" w:rsidRPr="005E1C73" w14:paraId="39DD23DE" w14:textId="77777777" w:rsidTr="00955C90">
        <w:tc>
          <w:tcPr>
            <w:tcW w:w="591" w:type="dxa"/>
            <w:vAlign w:val="center"/>
          </w:tcPr>
          <w:p w14:paraId="3C3AA88E" w14:textId="13B33F8F" w:rsidR="005A0025" w:rsidRPr="005E1C73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13.</w:t>
            </w:r>
          </w:p>
        </w:tc>
        <w:tc>
          <w:tcPr>
            <w:tcW w:w="5074" w:type="dxa"/>
            <w:vAlign w:val="center"/>
          </w:tcPr>
          <w:p w14:paraId="3161230F" w14:textId="40AAFC54" w:rsidR="005A0025" w:rsidRPr="005E1C73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Laptop</w:t>
            </w:r>
          </w:p>
        </w:tc>
        <w:tc>
          <w:tcPr>
            <w:tcW w:w="1496" w:type="dxa"/>
          </w:tcPr>
          <w:p w14:paraId="768AB742" w14:textId="77777777" w:rsidR="005A0025" w:rsidRPr="005E1C73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42A563C0" w14:textId="36366A79" w:rsidR="005A0025" w:rsidRPr="005E1C73" w:rsidRDefault="005A0025" w:rsidP="005A0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5DF0917E" w14:textId="342D68C0" w:rsidR="005A0025" w:rsidRPr="005E1C73" w:rsidRDefault="00321069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8.996,40</w:t>
            </w:r>
          </w:p>
        </w:tc>
      </w:tr>
      <w:tr w:rsidR="005A0025" w:rsidRPr="005E1C73" w14:paraId="041D6E67" w14:textId="77777777" w:rsidTr="00955C90">
        <w:tc>
          <w:tcPr>
            <w:tcW w:w="591" w:type="dxa"/>
            <w:vAlign w:val="center"/>
          </w:tcPr>
          <w:p w14:paraId="6370F43B" w14:textId="67D8AE04" w:rsidR="005A0025" w:rsidRPr="005E1C73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14.</w:t>
            </w:r>
          </w:p>
        </w:tc>
        <w:tc>
          <w:tcPr>
            <w:tcW w:w="5074" w:type="dxa"/>
            <w:vAlign w:val="center"/>
          </w:tcPr>
          <w:p w14:paraId="7F566C59" w14:textId="1358A660" w:rsidR="005A0025" w:rsidRPr="005E1C73" w:rsidRDefault="005A0025" w:rsidP="003956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Echipamente de protecție la creșterea temperaturii sau la întreruperea curentului electric și generator de curent electric cu motor termic</w:t>
            </w:r>
          </w:p>
        </w:tc>
        <w:tc>
          <w:tcPr>
            <w:tcW w:w="1496" w:type="dxa"/>
          </w:tcPr>
          <w:p w14:paraId="31878845" w14:textId="77777777" w:rsidR="005A0025" w:rsidRPr="005E1C73" w:rsidRDefault="005A0025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6" w:type="dxa"/>
          </w:tcPr>
          <w:p w14:paraId="3783954F" w14:textId="609F8117" w:rsidR="005A0025" w:rsidRPr="005E1C73" w:rsidRDefault="005A0025" w:rsidP="005A00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4E03D429" w14:textId="4E1D45A6" w:rsidR="005A0025" w:rsidRPr="005E1C73" w:rsidRDefault="00E57986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5E1C7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42.983,60</w:t>
            </w:r>
          </w:p>
        </w:tc>
      </w:tr>
      <w:tr w:rsidR="00955C90" w:rsidRPr="005E1C73" w14:paraId="1C924ADD" w14:textId="77777777" w:rsidTr="00204804">
        <w:tc>
          <w:tcPr>
            <w:tcW w:w="8337" w:type="dxa"/>
            <w:gridSpan w:val="4"/>
            <w:vAlign w:val="center"/>
          </w:tcPr>
          <w:p w14:paraId="7B95BC55" w14:textId="0AA94948" w:rsidR="00955C90" w:rsidRPr="005E1C73" w:rsidRDefault="00955C90" w:rsidP="009522E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01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Total:</w:t>
            </w:r>
          </w:p>
        </w:tc>
        <w:tc>
          <w:tcPr>
            <w:tcW w:w="1296" w:type="dxa"/>
          </w:tcPr>
          <w:p w14:paraId="3A6700B1" w14:textId="25BFCC75" w:rsidR="00955C90" w:rsidRPr="005E1C73" w:rsidRDefault="00955C90" w:rsidP="003956FF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0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747.007,63</w:t>
            </w:r>
          </w:p>
        </w:tc>
      </w:tr>
    </w:tbl>
    <w:p w14:paraId="5808D857" w14:textId="1CF8C4B6" w:rsidR="00AE6C6B" w:rsidRPr="009522EB" w:rsidRDefault="00E57986" w:rsidP="00E579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9522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:lang w:val="pt-BR"/>
          <w14:ligatures w14:val="none"/>
        </w:rPr>
        <w:t xml:space="preserve">                                 </w:t>
      </w:r>
    </w:p>
    <w:sectPr w:rsidR="00AE6C6B" w:rsidRPr="009522EB" w:rsidSect="00947F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30" w:right="83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D285D" w14:textId="77777777" w:rsidR="00383D05" w:rsidRDefault="00383D05">
      <w:pPr>
        <w:spacing w:after="0" w:line="240" w:lineRule="auto"/>
      </w:pPr>
      <w:r>
        <w:separator/>
      </w:r>
    </w:p>
  </w:endnote>
  <w:endnote w:type="continuationSeparator" w:id="0">
    <w:p w14:paraId="24AC72E8" w14:textId="77777777" w:rsidR="00383D05" w:rsidRDefault="003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B50B3" w14:textId="77777777" w:rsidR="008B41B0" w:rsidRDefault="008B4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CB025" w14:textId="77777777" w:rsidR="008B41B0" w:rsidRDefault="008B4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1019C" w14:textId="77777777" w:rsidR="008B41B0" w:rsidRDefault="008B4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8C57" w14:textId="77777777" w:rsidR="00383D05" w:rsidRDefault="00383D05">
      <w:pPr>
        <w:spacing w:after="0" w:line="240" w:lineRule="auto"/>
      </w:pPr>
      <w:r>
        <w:separator/>
      </w:r>
    </w:p>
  </w:footnote>
  <w:footnote w:type="continuationSeparator" w:id="0">
    <w:p w14:paraId="39D248FF" w14:textId="77777777" w:rsidR="00383D05" w:rsidRDefault="003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31BD7" w14:textId="06A16B60" w:rsidR="00003960" w:rsidRDefault="00383D05">
    <w:pPr>
      <w:pStyle w:val="Header"/>
    </w:pPr>
    <w:r>
      <w:rPr>
        <w:noProof/>
      </w:rPr>
      <w:pict w14:anchorId="06159F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18110" o:spid="_x0000_s2050" type="#_x0000_t136" style="position:absolute;margin-left:0;margin-top:0;width:460.3pt;height:230.15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3269" w14:textId="6604E543" w:rsidR="00003960" w:rsidRDefault="00383D05">
    <w:pPr>
      <w:pStyle w:val="Header"/>
    </w:pPr>
    <w:r>
      <w:rPr>
        <w:noProof/>
      </w:rPr>
      <w:pict w14:anchorId="529981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18111" o:spid="_x0000_s2051" type="#_x0000_t136" style="position:absolute;margin-left:0;margin-top:0;width:460.3pt;height:230.15pt;rotation:315;z-index:-251653120;mso-position-horizontal:center;mso-position-horizontal-relative:margin;mso-position-vertical:center;mso-position-vertical-relative:margin" o:allowincell="f" fillcolor="#4472c4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903A9" w14:textId="6279A4F1" w:rsidR="00003960" w:rsidRDefault="00383D05">
    <w:pPr>
      <w:pStyle w:val="Header"/>
    </w:pPr>
    <w:r>
      <w:rPr>
        <w:noProof/>
      </w:rPr>
      <w:pict w14:anchorId="46EF39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18109" o:spid="_x0000_s2049" type="#_x0000_t136" style="position:absolute;margin-left:0;margin-top:0;width:460.3pt;height:230.15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007"/>
    <w:multiLevelType w:val="hybridMultilevel"/>
    <w:tmpl w:val="ED6C041E"/>
    <w:lvl w:ilvl="0" w:tplc="4A5AB25C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16FF"/>
    <w:multiLevelType w:val="hybridMultilevel"/>
    <w:tmpl w:val="E146CC00"/>
    <w:lvl w:ilvl="0" w:tplc="4A5AB25C">
      <w:start w:val="1"/>
      <w:numFmt w:val="decimal"/>
      <w:lvlText w:val="(%1)"/>
      <w:lvlJc w:val="left"/>
      <w:pPr>
        <w:ind w:left="765" w:hanging="405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16025"/>
    <w:multiLevelType w:val="hybridMultilevel"/>
    <w:tmpl w:val="279A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5EBD"/>
    <w:multiLevelType w:val="hybridMultilevel"/>
    <w:tmpl w:val="21BEE77C"/>
    <w:lvl w:ilvl="0" w:tplc="577A3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6626"/>
    <w:multiLevelType w:val="hybridMultilevel"/>
    <w:tmpl w:val="EAF412BE"/>
    <w:lvl w:ilvl="0" w:tplc="8D96343A">
      <w:start w:val="1"/>
      <w:numFmt w:val="decimal"/>
      <w:lvlText w:val="(%1)"/>
      <w:lvlJc w:val="left"/>
      <w:pPr>
        <w:ind w:left="102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9BA4435"/>
    <w:multiLevelType w:val="hybridMultilevel"/>
    <w:tmpl w:val="733084B0"/>
    <w:lvl w:ilvl="0" w:tplc="5B66D77C">
      <w:start w:val="1"/>
      <w:numFmt w:val="decimal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572F7"/>
    <w:multiLevelType w:val="hybridMultilevel"/>
    <w:tmpl w:val="4BB4CAA4"/>
    <w:lvl w:ilvl="0" w:tplc="58CC0A1C">
      <w:start w:val="1"/>
      <w:numFmt w:val="decimal"/>
      <w:lvlText w:val="(%1)"/>
      <w:lvlJc w:val="left"/>
      <w:pPr>
        <w:ind w:left="750" w:hanging="39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A36D4"/>
    <w:multiLevelType w:val="hybridMultilevel"/>
    <w:tmpl w:val="E0ACD534"/>
    <w:lvl w:ilvl="0" w:tplc="AD5C3C9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D7"/>
    <w:rsid w:val="00003960"/>
    <w:rsid w:val="00021FE3"/>
    <w:rsid w:val="0005725D"/>
    <w:rsid w:val="00074899"/>
    <w:rsid w:val="000821FF"/>
    <w:rsid w:val="00093286"/>
    <w:rsid w:val="00095E45"/>
    <w:rsid w:val="000A1DD2"/>
    <w:rsid w:val="000A34AC"/>
    <w:rsid w:val="000A4C4F"/>
    <w:rsid w:val="000C318A"/>
    <w:rsid w:val="000C5785"/>
    <w:rsid w:val="000D2C05"/>
    <w:rsid w:val="000E6021"/>
    <w:rsid w:val="000F1994"/>
    <w:rsid w:val="000F21F1"/>
    <w:rsid w:val="001007B6"/>
    <w:rsid w:val="00111FAB"/>
    <w:rsid w:val="00115458"/>
    <w:rsid w:val="0013358C"/>
    <w:rsid w:val="00140C92"/>
    <w:rsid w:val="001472AF"/>
    <w:rsid w:val="00166F2A"/>
    <w:rsid w:val="001949D1"/>
    <w:rsid w:val="001A0B5A"/>
    <w:rsid w:val="001C237C"/>
    <w:rsid w:val="001F6D8A"/>
    <w:rsid w:val="00216534"/>
    <w:rsid w:val="00223722"/>
    <w:rsid w:val="0026544F"/>
    <w:rsid w:val="00272926"/>
    <w:rsid w:val="00276EFF"/>
    <w:rsid w:val="00296D1C"/>
    <w:rsid w:val="002A0BC5"/>
    <w:rsid w:val="002B09F8"/>
    <w:rsid w:val="002C5728"/>
    <w:rsid w:val="002E45E3"/>
    <w:rsid w:val="00320648"/>
    <w:rsid w:val="00321069"/>
    <w:rsid w:val="0032296E"/>
    <w:rsid w:val="00332F6A"/>
    <w:rsid w:val="003363AD"/>
    <w:rsid w:val="003370A6"/>
    <w:rsid w:val="00337DC1"/>
    <w:rsid w:val="003408D8"/>
    <w:rsid w:val="00340B56"/>
    <w:rsid w:val="00341244"/>
    <w:rsid w:val="00350CFF"/>
    <w:rsid w:val="003616D8"/>
    <w:rsid w:val="00375260"/>
    <w:rsid w:val="00376534"/>
    <w:rsid w:val="00383D05"/>
    <w:rsid w:val="00386E28"/>
    <w:rsid w:val="00386FE7"/>
    <w:rsid w:val="003918A3"/>
    <w:rsid w:val="003956FF"/>
    <w:rsid w:val="003C4693"/>
    <w:rsid w:val="003E1B9C"/>
    <w:rsid w:val="00401749"/>
    <w:rsid w:val="004409EC"/>
    <w:rsid w:val="00445B29"/>
    <w:rsid w:val="004B7F96"/>
    <w:rsid w:val="004D2BE7"/>
    <w:rsid w:val="004E56FF"/>
    <w:rsid w:val="004E60A6"/>
    <w:rsid w:val="004F1C4D"/>
    <w:rsid w:val="004F5FE5"/>
    <w:rsid w:val="005361BF"/>
    <w:rsid w:val="0055376C"/>
    <w:rsid w:val="00585220"/>
    <w:rsid w:val="005A0025"/>
    <w:rsid w:val="005B0779"/>
    <w:rsid w:val="005B2136"/>
    <w:rsid w:val="005B6E15"/>
    <w:rsid w:val="005E1C73"/>
    <w:rsid w:val="005E3EC6"/>
    <w:rsid w:val="005E7162"/>
    <w:rsid w:val="005F27DF"/>
    <w:rsid w:val="005F36F9"/>
    <w:rsid w:val="00604BC2"/>
    <w:rsid w:val="006141AA"/>
    <w:rsid w:val="00626E1C"/>
    <w:rsid w:val="006510BF"/>
    <w:rsid w:val="00662B72"/>
    <w:rsid w:val="006701E9"/>
    <w:rsid w:val="006846D4"/>
    <w:rsid w:val="006968BE"/>
    <w:rsid w:val="006A2B9F"/>
    <w:rsid w:val="006B180F"/>
    <w:rsid w:val="006D0E27"/>
    <w:rsid w:val="007057F8"/>
    <w:rsid w:val="00726462"/>
    <w:rsid w:val="00736AEB"/>
    <w:rsid w:val="00766D05"/>
    <w:rsid w:val="007748D7"/>
    <w:rsid w:val="007A4287"/>
    <w:rsid w:val="007B1402"/>
    <w:rsid w:val="007B18C3"/>
    <w:rsid w:val="007B21B7"/>
    <w:rsid w:val="007C01C4"/>
    <w:rsid w:val="007C063D"/>
    <w:rsid w:val="007C2718"/>
    <w:rsid w:val="007D6B14"/>
    <w:rsid w:val="008032B8"/>
    <w:rsid w:val="00824BC2"/>
    <w:rsid w:val="00826B3D"/>
    <w:rsid w:val="00837EB1"/>
    <w:rsid w:val="00872EF5"/>
    <w:rsid w:val="00891BD8"/>
    <w:rsid w:val="00894FBC"/>
    <w:rsid w:val="008A0F6B"/>
    <w:rsid w:val="008A7731"/>
    <w:rsid w:val="008B41B0"/>
    <w:rsid w:val="008C42A3"/>
    <w:rsid w:val="008C5570"/>
    <w:rsid w:val="008D36DE"/>
    <w:rsid w:val="008E421C"/>
    <w:rsid w:val="008F5466"/>
    <w:rsid w:val="00925D4A"/>
    <w:rsid w:val="00926DDA"/>
    <w:rsid w:val="0093225E"/>
    <w:rsid w:val="00934AAA"/>
    <w:rsid w:val="00942611"/>
    <w:rsid w:val="00946B41"/>
    <w:rsid w:val="00947F64"/>
    <w:rsid w:val="009522EB"/>
    <w:rsid w:val="00955C90"/>
    <w:rsid w:val="0096725A"/>
    <w:rsid w:val="00967A2F"/>
    <w:rsid w:val="00975AFE"/>
    <w:rsid w:val="00981A73"/>
    <w:rsid w:val="009949D5"/>
    <w:rsid w:val="009B19F7"/>
    <w:rsid w:val="009B7143"/>
    <w:rsid w:val="009C1D9F"/>
    <w:rsid w:val="009C459F"/>
    <w:rsid w:val="009D277B"/>
    <w:rsid w:val="009D3508"/>
    <w:rsid w:val="009D76B2"/>
    <w:rsid w:val="009E36F8"/>
    <w:rsid w:val="009E67D5"/>
    <w:rsid w:val="00A02329"/>
    <w:rsid w:val="00A079C5"/>
    <w:rsid w:val="00A165CD"/>
    <w:rsid w:val="00A202C3"/>
    <w:rsid w:val="00A35CAA"/>
    <w:rsid w:val="00A37EAE"/>
    <w:rsid w:val="00A52F7A"/>
    <w:rsid w:val="00A80D19"/>
    <w:rsid w:val="00AB33B1"/>
    <w:rsid w:val="00AB52C4"/>
    <w:rsid w:val="00AE3AF9"/>
    <w:rsid w:val="00AE6C6B"/>
    <w:rsid w:val="00AF5ED2"/>
    <w:rsid w:val="00B11616"/>
    <w:rsid w:val="00B13926"/>
    <w:rsid w:val="00B26FF8"/>
    <w:rsid w:val="00B370C0"/>
    <w:rsid w:val="00B55622"/>
    <w:rsid w:val="00B55760"/>
    <w:rsid w:val="00B5755F"/>
    <w:rsid w:val="00B71DFA"/>
    <w:rsid w:val="00B7453F"/>
    <w:rsid w:val="00B75591"/>
    <w:rsid w:val="00B77268"/>
    <w:rsid w:val="00B837BF"/>
    <w:rsid w:val="00B84342"/>
    <w:rsid w:val="00B95B1E"/>
    <w:rsid w:val="00B97040"/>
    <w:rsid w:val="00BC6B36"/>
    <w:rsid w:val="00BC6D10"/>
    <w:rsid w:val="00BD668D"/>
    <w:rsid w:val="00C05E7C"/>
    <w:rsid w:val="00C06759"/>
    <w:rsid w:val="00C06FF1"/>
    <w:rsid w:val="00C12602"/>
    <w:rsid w:val="00C15BAF"/>
    <w:rsid w:val="00C22082"/>
    <w:rsid w:val="00C34615"/>
    <w:rsid w:val="00C52975"/>
    <w:rsid w:val="00C64007"/>
    <w:rsid w:val="00C65C43"/>
    <w:rsid w:val="00C6629F"/>
    <w:rsid w:val="00C76C80"/>
    <w:rsid w:val="00C840FA"/>
    <w:rsid w:val="00C87A68"/>
    <w:rsid w:val="00CA012B"/>
    <w:rsid w:val="00CA2C5C"/>
    <w:rsid w:val="00CA3F39"/>
    <w:rsid w:val="00CB1102"/>
    <w:rsid w:val="00CC7A69"/>
    <w:rsid w:val="00CC7F6C"/>
    <w:rsid w:val="00CF3B52"/>
    <w:rsid w:val="00D00DF2"/>
    <w:rsid w:val="00D20838"/>
    <w:rsid w:val="00D271FB"/>
    <w:rsid w:val="00D352AB"/>
    <w:rsid w:val="00D414C6"/>
    <w:rsid w:val="00D45AF0"/>
    <w:rsid w:val="00D50736"/>
    <w:rsid w:val="00D60719"/>
    <w:rsid w:val="00D60913"/>
    <w:rsid w:val="00D60FDC"/>
    <w:rsid w:val="00D6288E"/>
    <w:rsid w:val="00D729A2"/>
    <w:rsid w:val="00D830C6"/>
    <w:rsid w:val="00D8544C"/>
    <w:rsid w:val="00D86091"/>
    <w:rsid w:val="00D90503"/>
    <w:rsid w:val="00D92A4D"/>
    <w:rsid w:val="00D961D2"/>
    <w:rsid w:val="00DB4F96"/>
    <w:rsid w:val="00DD33CA"/>
    <w:rsid w:val="00DF31B0"/>
    <w:rsid w:val="00E01462"/>
    <w:rsid w:val="00E01E04"/>
    <w:rsid w:val="00E16E65"/>
    <w:rsid w:val="00E224AF"/>
    <w:rsid w:val="00E32B29"/>
    <w:rsid w:val="00E3442E"/>
    <w:rsid w:val="00E35720"/>
    <w:rsid w:val="00E35E88"/>
    <w:rsid w:val="00E51071"/>
    <w:rsid w:val="00E5210B"/>
    <w:rsid w:val="00E55C02"/>
    <w:rsid w:val="00E57986"/>
    <w:rsid w:val="00E765B2"/>
    <w:rsid w:val="00E96BDE"/>
    <w:rsid w:val="00EB0C50"/>
    <w:rsid w:val="00ED1BE9"/>
    <w:rsid w:val="00ED70A2"/>
    <w:rsid w:val="00F04C89"/>
    <w:rsid w:val="00F25580"/>
    <w:rsid w:val="00F742E1"/>
    <w:rsid w:val="00F8318E"/>
    <w:rsid w:val="00FC3EAD"/>
    <w:rsid w:val="00FF35E4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8418A6"/>
  <w15:chartTrackingRefBased/>
  <w15:docId w15:val="{D958F98E-DCF6-4432-8DD5-039B9DA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8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8D7"/>
  </w:style>
  <w:style w:type="character" w:styleId="Hyperlink">
    <w:name w:val="Hyperlink"/>
    <w:basedOn w:val="DefaultParagraphFont"/>
    <w:uiPriority w:val="99"/>
    <w:unhideWhenUsed/>
    <w:rsid w:val="00E16E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E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99"/>
    <w:qFormat/>
    <w:rsid w:val="00585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E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76B2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A3F3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B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1B0"/>
  </w:style>
  <w:style w:type="table" w:customStyle="1" w:styleId="TableGrid1">
    <w:name w:val="Table Grid1"/>
    <w:basedOn w:val="TableNormal"/>
    <w:next w:val="TableGrid"/>
    <w:uiPriority w:val="39"/>
    <w:rsid w:val="003956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9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9B81-A404-40DA-941A-458BF795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PAVEL</dc:creator>
  <cp:keywords/>
  <dc:description/>
  <cp:lastModifiedBy>Gabriela Pintea</cp:lastModifiedBy>
  <cp:revision>9</cp:revision>
  <cp:lastPrinted>2024-08-20T08:00:00Z</cp:lastPrinted>
  <dcterms:created xsi:type="dcterms:W3CDTF">2024-09-03T05:07:00Z</dcterms:created>
  <dcterms:modified xsi:type="dcterms:W3CDTF">2024-09-04T10:16:00Z</dcterms:modified>
</cp:coreProperties>
</file>