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rebuchet MS" w:hAnsi="Trebuchet MS" w:cs="Trebuchet MS"/>
          <w:b/>
          <w:bCs/>
          <w:sz w:val="24"/>
          <w:szCs w:val="24"/>
          <w:u w:val="none"/>
        </w:rPr>
      </w:pPr>
    </w:p>
    <w:p>
      <w:pPr>
        <w:jc w:val="center"/>
        <w:rPr>
          <w:rFonts w:hint="default" w:ascii="Trebuchet MS" w:hAnsi="Trebuchet MS" w:cs="Trebuchet MS"/>
          <w:b/>
          <w:bCs/>
          <w:sz w:val="24"/>
          <w:szCs w:val="24"/>
          <w:u w:val="none"/>
          <w:lang w:val="ro-RO"/>
        </w:rPr>
      </w:pPr>
    </w:p>
    <w:p>
      <w:pPr>
        <w:jc w:val="center"/>
        <w:rPr>
          <w:rFonts w:hint="default" w:ascii="Trebuchet MS" w:hAnsi="Trebuchet MS" w:cs="Trebuchet MS"/>
          <w:b/>
          <w:bCs/>
          <w:sz w:val="24"/>
          <w:szCs w:val="24"/>
          <w:u w:val="none"/>
          <w:lang w:val="ro-RO"/>
        </w:rPr>
      </w:pPr>
      <w:r>
        <w:rPr>
          <w:rFonts w:hint="default" w:ascii="Trebuchet MS" w:hAnsi="Trebuchet MS" w:cs="Trebuchet MS"/>
          <w:b/>
          <w:bCs/>
          <w:sz w:val="24"/>
          <w:szCs w:val="24"/>
          <w:u w:val="none"/>
          <w:lang w:val="ro-RO"/>
        </w:rPr>
        <w:t>ANUNȚ</w:t>
      </w:r>
    </w:p>
    <w:p>
      <w:pPr>
        <w:jc w:val="center"/>
        <w:rPr>
          <w:rFonts w:hint="default" w:ascii="Trebuchet MS" w:hAnsi="Trebuchet MS" w:cs="Trebuchet MS"/>
          <w:b/>
          <w:bCs/>
          <w:sz w:val="24"/>
          <w:szCs w:val="24"/>
          <w:u w:val="none"/>
          <w:lang w:val="ro-RO"/>
        </w:rPr>
      </w:pPr>
      <w:r>
        <w:rPr>
          <w:rFonts w:hint="default" w:ascii="Trebuchet MS" w:hAnsi="Trebuchet MS" w:cs="Trebuchet MS"/>
          <w:b/>
          <w:bCs/>
          <w:sz w:val="24"/>
          <w:szCs w:val="24"/>
          <w:u w:val="none"/>
          <w:lang w:val="ro-RO"/>
        </w:rPr>
        <w:t xml:space="preserve">privind </w:t>
      </w:r>
      <w:r>
        <w:rPr>
          <w:rFonts w:hint="default" w:ascii="Trebuchet MS" w:hAnsi="Trebuchet MS" w:cs="Trebuchet MS"/>
          <w:b/>
          <w:bCs/>
          <w:sz w:val="24"/>
          <w:szCs w:val="24"/>
          <w:u w:val="none"/>
        </w:rPr>
        <w:t>recrutare</w:t>
      </w:r>
      <w:r>
        <w:rPr>
          <w:rFonts w:hint="default" w:ascii="Trebuchet MS" w:hAnsi="Trebuchet MS" w:cs="Trebuchet MS"/>
          <w:b/>
          <w:bCs/>
          <w:sz w:val="24"/>
          <w:szCs w:val="24"/>
          <w:u w:val="none"/>
          <w:lang w:val="ro-RO"/>
        </w:rPr>
        <w:t>a de membri</w:t>
      </w:r>
      <w:r>
        <w:rPr>
          <w:rFonts w:hint="default" w:ascii="Trebuchet MS" w:hAnsi="Trebuchet MS" w:cs="Trebuchet MS"/>
          <w:b/>
          <w:bCs/>
          <w:sz w:val="24"/>
          <w:szCs w:val="24"/>
          <w:u w:val="none"/>
        </w:rPr>
        <w:t xml:space="preserve"> </w:t>
      </w:r>
      <w:r>
        <w:rPr>
          <w:rFonts w:hint="default" w:ascii="Trebuchet MS" w:hAnsi="Trebuchet MS" w:cs="Trebuchet MS"/>
          <w:b/>
          <w:bCs/>
          <w:sz w:val="24"/>
          <w:szCs w:val="24"/>
          <w:u w:val="none"/>
          <w:lang w:val="ro-RO"/>
        </w:rPr>
        <w:t>î</w:t>
      </w:r>
      <w:r>
        <w:rPr>
          <w:rFonts w:hint="default" w:ascii="Trebuchet MS" w:hAnsi="Trebuchet MS" w:cs="Trebuchet MS"/>
          <w:b/>
          <w:bCs/>
          <w:sz w:val="24"/>
          <w:szCs w:val="24"/>
          <w:u w:val="none"/>
        </w:rPr>
        <w:t>n Comitetul de analiz</w:t>
      </w:r>
      <w:r>
        <w:rPr>
          <w:rFonts w:hint="default" w:ascii="Trebuchet MS" w:hAnsi="Trebuchet MS" w:cs="Trebuchet MS"/>
          <w:b/>
          <w:bCs/>
          <w:sz w:val="24"/>
          <w:szCs w:val="24"/>
          <w:u w:val="none"/>
          <w:lang w:val="ro-RO"/>
        </w:rPr>
        <w:t>ă</w:t>
      </w:r>
      <w:r>
        <w:rPr>
          <w:rFonts w:hint="default" w:ascii="Trebuchet MS" w:hAnsi="Trebuchet MS" w:cs="Trebuchet MS"/>
          <w:b/>
          <w:bCs/>
          <w:sz w:val="24"/>
          <w:szCs w:val="24"/>
          <w:u w:val="none"/>
        </w:rPr>
        <w:t xml:space="preserve"> socio-economic</w:t>
      </w:r>
      <w:r>
        <w:rPr>
          <w:rFonts w:hint="default" w:ascii="Trebuchet MS" w:hAnsi="Trebuchet MS" w:cs="Trebuchet MS"/>
          <w:b/>
          <w:bCs/>
          <w:sz w:val="24"/>
          <w:szCs w:val="24"/>
          <w:u w:val="none"/>
          <w:lang w:val="ro-RO"/>
        </w:rPr>
        <w:t>ă</w:t>
      </w:r>
      <w:r>
        <w:rPr>
          <w:rFonts w:hint="default" w:ascii="Trebuchet MS" w:hAnsi="Trebuchet MS" w:cs="Trebuchet MS"/>
          <w:b/>
          <w:bCs/>
          <w:sz w:val="24"/>
          <w:szCs w:val="24"/>
          <w:u w:val="none"/>
        </w:rPr>
        <w:t xml:space="preserve"> al Agentiei Europene a Chimicalelor</w:t>
      </w:r>
      <w:r>
        <w:rPr>
          <w:rFonts w:hint="default" w:ascii="Trebuchet MS" w:hAnsi="Trebuchet MS" w:cs="Trebuchet MS"/>
          <w:b/>
          <w:bCs/>
          <w:sz w:val="24"/>
          <w:szCs w:val="24"/>
          <w:u w:val="none"/>
          <w:lang w:val="ro-RO"/>
        </w:rPr>
        <w:t xml:space="preserve"> (ECHA)</w:t>
      </w:r>
    </w:p>
    <w:p>
      <w:pPr>
        <w:jc w:val="both"/>
        <w:rPr>
          <w:rFonts w:hint="default" w:ascii="Trebuchet MS" w:hAnsi="Trebuchet MS" w:cs="Trebuchet MS"/>
          <w:sz w:val="24"/>
          <w:szCs w:val="24"/>
          <w:u w:val="none"/>
        </w:rPr>
      </w:pP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Comitetul de analiză socio-economică (SEAC) </w:t>
      </w:r>
      <w:r>
        <w:rPr>
          <w:rFonts w:hint="default" w:ascii="Trebuchet MS" w:hAnsi="Trebuchet MS" w:cs="Trebuchet MS"/>
          <w:b/>
          <w:bCs/>
          <w:sz w:val="24"/>
          <w:szCs w:val="24"/>
          <w:u w:val="none"/>
        </w:rPr>
        <w:t>caută</w:t>
      </w:r>
      <w:r>
        <w:rPr>
          <w:rFonts w:hint="default" w:ascii="Trebuchet MS" w:hAnsi="Trebuchet MS" w:cs="Trebuchet MS"/>
          <w:sz w:val="24"/>
          <w:szCs w:val="24"/>
          <w:u w:val="none"/>
        </w:rPr>
        <w:t xml:space="preserve"> </w:t>
      </w:r>
      <w:r>
        <w:rPr>
          <w:rFonts w:hint="default" w:ascii="Trebuchet MS" w:hAnsi="Trebuchet MS" w:cs="Trebuchet MS"/>
          <w:b/>
          <w:bCs/>
          <w:sz w:val="24"/>
          <w:szCs w:val="24"/>
          <w:u w:val="none"/>
        </w:rPr>
        <w:t xml:space="preserve">specialiști </w:t>
      </w:r>
      <w:r>
        <w:rPr>
          <w:rFonts w:hint="default" w:ascii="Trebuchet MS" w:hAnsi="Trebuchet MS" w:cs="Trebuchet MS"/>
          <w:sz w:val="24"/>
          <w:szCs w:val="24"/>
          <w:u w:val="none"/>
        </w:rPr>
        <w:t>care să fie nominalizați</w:t>
      </w:r>
      <w:r>
        <w:rPr>
          <w:rFonts w:hint="default" w:ascii="Trebuchet MS" w:hAnsi="Trebuchet MS" w:cs="Trebuchet MS"/>
          <w:sz w:val="24"/>
          <w:szCs w:val="24"/>
          <w:u w:val="none"/>
          <w:lang w:val="ro-RO"/>
        </w:rPr>
        <w:t xml:space="preserve"> </w:t>
      </w:r>
      <w:r>
        <w:rPr>
          <w:rFonts w:hint="default" w:ascii="Trebuchet MS" w:hAnsi="Trebuchet MS" w:cs="Trebuchet MS"/>
          <w:sz w:val="24"/>
          <w:szCs w:val="24"/>
          <w:u w:val="none"/>
        </w:rPr>
        <w:t>în domeniile:</w:t>
      </w:r>
      <w:bookmarkStart w:id="1" w:name="_GoBack"/>
      <w:bookmarkEnd w:id="1"/>
    </w:p>
    <w:p>
      <w:pPr>
        <w:jc w:val="both"/>
        <w:rPr>
          <w:rFonts w:hint="default" w:ascii="Trebuchet MS" w:hAnsi="Trebuchet MS" w:cs="Trebuchet MS"/>
          <w:sz w:val="24"/>
          <w:szCs w:val="24"/>
          <w:u w:val="none"/>
        </w:rPr>
      </w:pPr>
      <w:r>
        <w:rPr>
          <w:rFonts w:hint="default" w:ascii="Trebuchet MS" w:hAnsi="Trebuchet MS" w:cs="Trebuchet MS"/>
          <w:sz w:val="24"/>
          <w:szCs w:val="24"/>
          <w:u w:val="none"/>
        </w:rPr>
        <w:t>• economie (reglementare, sector public, mediu și/sau economia mediului şi/sau sănătății);</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inginerie chimică (înlocuirea substanțelor periculoase și analiza fezabilității tehnice a alternativelor).</w:t>
      </w:r>
    </w:p>
    <w:p>
      <w:pPr>
        <w:jc w:val="both"/>
        <w:rPr>
          <w:rFonts w:hint="default" w:ascii="Trebuchet MS" w:hAnsi="Trebuchet MS" w:cs="Trebuchet MS"/>
          <w:sz w:val="24"/>
          <w:szCs w:val="24"/>
          <w:u w:val="none"/>
          <w:lang w:val="ro-RO"/>
        </w:rPr>
      </w:pPr>
    </w:p>
    <w:p>
      <w:pPr>
        <w:jc w:val="both"/>
        <w:rPr>
          <w:rFonts w:hint="default" w:ascii="Trebuchet MS" w:hAnsi="Trebuchet MS" w:cs="Trebuchet MS"/>
          <w:b/>
          <w:bCs/>
          <w:sz w:val="24"/>
          <w:szCs w:val="24"/>
          <w:u w:val="none"/>
          <w:lang w:val="ro-RO"/>
        </w:rPr>
      </w:pPr>
      <w:r>
        <w:rPr>
          <w:rFonts w:hint="default" w:ascii="Trebuchet MS" w:hAnsi="Trebuchet MS" w:cs="Trebuchet MS"/>
          <w:b/>
          <w:bCs/>
          <w:sz w:val="24"/>
          <w:szCs w:val="24"/>
          <w:u w:val="none"/>
        </w:rPr>
        <w:t>Persoanele eligibile interesate trebuie</w:t>
      </w:r>
      <w:r>
        <w:rPr>
          <w:rFonts w:hint="default" w:ascii="Trebuchet MS" w:hAnsi="Trebuchet MS" w:cs="Trebuchet MS"/>
          <w:b/>
          <w:bCs/>
          <w:sz w:val="24"/>
          <w:szCs w:val="24"/>
          <w:u w:val="none"/>
          <w:lang w:val="ro-RO"/>
        </w:rPr>
        <w:t xml:space="preserve"> să </w:t>
      </w:r>
      <w:r>
        <w:rPr>
          <w:rFonts w:hint="default" w:ascii="Trebuchet MS" w:hAnsi="Trebuchet MS" w:cs="Trebuchet MS"/>
          <w:b/>
          <w:bCs/>
          <w:sz w:val="24"/>
          <w:szCs w:val="24"/>
          <w:u w:val="none"/>
        </w:rPr>
        <w:t>completeze</w:t>
      </w:r>
      <w:r>
        <w:rPr>
          <w:rFonts w:hint="default" w:ascii="Trebuchet MS" w:hAnsi="Trebuchet MS" w:cs="Trebuchet MS"/>
          <w:b/>
          <w:bCs/>
          <w:sz w:val="24"/>
          <w:szCs w:val="24"/>
          <w:u w:val="none"/>
          <w:lang w:val="ro-RO"/>
        </w:rPr>
        <w:t xml:space="preserve"> </w:t>
      </w:r>
      <w:r>
        <w:rPr>
          <w:rFonts w:hint="default" w:ascii="Trebuchet MS" w:hAnsi="Trebuchet MS" w:cs="Trebuchet MS"/>
          <w:b/>
          <w:bCs/>
          <w:sz w:val="24"/>
          <w:szCs w:val="24"/>
          <w:u w:val="none"/>
        </w:rPr>
        <w:t>grila de expertiz</w:t>
      </w:r>
      <w:r>
        <w:rPr>
          <w:rFonts w:hint="default" w:ascii="Trebuchet MS" w:hAnsi="Trebuchet MS" w:cs="Trebuchet MS"/>
          <w:b/>
          <w:bCs/>
          <w:sz w:val="24"/>
          <w:szCs w:val="24"/>
          <w:u w:val="none"/>
          <w:lang w:val="ro-RO"/>
        </w:rPr>
        <w:t>ă</w:t>
      </w:r>
      <w:r>
        <w:rPr>
          <w:rFonts w:hint="default" w:ascii="Trebuchet MS" w:hAnsi="Trebuchet MS" w:cs="Trebuchet MS"/>
          <w:b/>
          <w:bCs/>
          <w:sz w:val="24"/>
          <w:szCs w:val="24"/>
          <w:u w:val="none"/>
        </w:rPr>
        <w:t xml:space="preserve">, un CV </w:t>
      </w:r>
      <w:r>
        <w:rPr>
          <w:rFonts w:hint="default" w:ascii="Trebuchet MS" w:hAnsi="Trebuchet MS" w:cs="Trebuchet MS"/>
          <w:b/>
          <w:bCs/>
          <w:sz w:val="24"/>
          <w:szCs w:val="24"/>
          <w:u w:val="none"/>
          <w:lang w:val="ro-RO"/>
        </w:rPr>
        <w:t>î</w:t>
      </w:r>
      <w:r>
        <w:rPr>
          <w:rFonts w:hint="default" w:ascii="Trebuchet MS" w:hAnsi="Trebuchet MS" w:cs="Trebuchet MS"/>
          <w:b/>
          <w:bCs/>
          <w:sz w:val="24"/>
          <w:szCs w:val="24"/>
          <w:u w:val="none"/>
        </w:rPr>
        <w:t xml:space="preserve">n format Europass </w:t>
      </w:r>
      <w:r>
        <w:rPr>
          <w:rFonts w:hint="default" w:ascii="Trebuchet MS" w:hAnsi="Trebuchet MS" w:cs="Trebuchet MS"/>
          <w:b/>
          <w:bCs/>
          <w:sz w:val="24"/>
          <w:szCs w:val="24"/>
          <w:u w:val="none"/>
          <w:lang w:val="ro-RO"/>
        </w:rPr>
        <w:t>ș</w:t>
      </w:r>
      <w:r>
        <w:rPr>
          <w:rFonts w:hint="default" w:ascii="Trebuchet MS" w:hAnsi="Trebuchet MS" w:cs="Trebuchet MS"/>
          <w:b/>
          <w:bCs/>
          <w:sz w:val="24"/>
          <w:szCs w:val="24"/>
          <w:u w:val="none"/>
        </w:rPr>
        <w:t>i o declara</w:t>
      </w:r>
      <w:r>
        <w:rPr>
          <w:rFonts w:hint="default" w:ascii="Trebuchet MS" w:hAnsi="Trebuchet MS" w:cs="Trebuchet MS"/>
          <w:b/>
          <w:bCs/>
          <w:sz w:val="24"/>
          <w:szCs w:val="24"/>
          <w:u w:val="none"/>
          <w:lang w:val="ro-RO"/>
        </w:rPr>
        <w:t>ț</w:t>
      </w:r>
      <w:r>
        <w:rPr>
          <w:rFonts w:hint="default" w:ascii="Trebuchet MS" w:hAnsi="Trebuchet MS" w:cs="Trebuchet MS"/>
          <w:b/>
          <w:bCs/>
          <w:sz w:val="24"/>
          <w:szCs w:val="24"/>
          <w:u w:val="none"/>
        </w:rPr>
        <w:t xml:space="preserve">ie de interese </w:t>
      </w:r>
      <w:r>
        <w:rPr>
          <w:rFonts w:hint="default" w:ascii="Trebuchet MS" w:hAnsi="Trebuchet MS" w:cs="Trebuchet MS"/>
          <w:b/>
          <w:bCs/>
          <w:sz w:val="24"/>
          <w:szCs w:val="24"/>
          <w:u w:val="none"/>
          <w:lang w:val="ro-RO"/>
        </w:rPr>
        <w:t>ș</w:t>
      </w:r>
      <w:r>
        <w:rPr>
          <w:rFonts w:hint="default" w:ascii="Trebuchet MS" w:hAnsi="Trebuchet MS" w:cs="Trebuchet MS"/>
          <w:b/>
          <w:bCs/>
          <w:sz w:val="24"/>
          <w:szCs w:val="24"/>
          <w:u w:val="none"/>
          <w:lang w:val="ro-RO"/>
        </w:rPr>
        <w:t xml:space="preserve">i </w:t>
      </w:r>
      <w:r>
        <w:rPr>
          <w:rFonts w:hint="default" w:ascii="Trebuchet MS" w:hAnsi="Trebuchet MS" w:cs="Trebuchet MS"/>
          <w:b/>
          <w:bCs/>
          <w:sz w:val="24"/>
          <w:szCs w:val="24"/>
          <w:u w:val="none"/>
        </w:rPr>
        <w:t>s</w:t>
      </w:r>
      <w:r>
        <w:rPr>
          <w:rFonts w:hint="default" w:ascii="Trebuchet MS" w:hAnsi="Trebuchet MS" w:cs="Trebuchet MS"/>
          <w:b/>
          <w:bCs/>
          <w:sz w:val="24"/>
          <w:szCs w:val="24"/>
          <w:u w:val="none"/>
          <w:lang w:val="ro-RO"/>
        </w:rPr>
        <w:t>ă</w:t>
      </w:r>
      <w:r>
        <w:rPr>
          <w:rFonts w:hint="default" w:ascii="Trebuchet MS" w:hAnsi="Trebuchet MS" w:cs="Trebuchet MS"/>
          <w:b/>
          <w:bCs/>
          <w:sz w:val="24"/>
          <w:szCs w:val="24"/>
          <w:u w:val="none"/>
        </w:rPr>
        <w:t xml:space="preserve"> </w:t>
      </w:r>
      <w:r>
        <w:rPr>
          <w:rFonts w:hint="default" w:ascii="Trebuchet MS" w:hAnsi="Trebuchet MS" w:cs="Trebuchet MS"/>
          <w:b/>
          <w:bCs/>
          <w:sz w:val="24"/>
          <w:szCs w:val="24"/>
          <w:u w:val="none"/>
          <w:lang w:val="ro-RO"/>
        </w:rPr>
        <w:t xml:space="preserve">le transmită </w:t>
      </w:r>
      <w:r>
        <w:rPr>
          <w:rFonts w:hint="default" w:ascii="Trebuchet MS" w:hAnsi="Trebuchet MS" w:cs="Trebuchet MS"/>
          <w:b/>
          <w:bCs/>
          <w:sz w:val="24"/>
          <w:szCs w:val="24"/>
          <w:u w:val="none"/>
        </w:rPr>
        <w:t xml:space="preserve">la Ministerul Mediului, Apelor </w:t>
      </w:r>
      <w:r>
        <w:rPr>
          <w:rFonts w:hint="default" w:ascii="Trebuchet MS" w:hAnsi="Trebuchet MS" w:cs="Trebuchet MS"/>
          <w:b/>
          <w:bCs/>
          <w:sz w:val="24"/>
          <w:szCs w:val="24"/>
          <w:u w:val="none"/>
        </w:rPr>
        <w:t>ş</w:t>
      </w:r>
      <w:r>
        <w:rPr>
          <w:rFonts w:hint="default" w:ascii="Trebuchet MS" w:hAnsi="Trebuchet MS" w:cs="Trebuchet MS"/>
          <w:b/>
          <w:bCs/>
          <w:sz w:val="24"/>
          <w:szCs w:val="24"/>
          <w:u w:val="none"/>
        </w:rPr>
        <w:t>i P</w:t>
      </w:r>
      <w:r>
        <w:rPr>
          <w:rFonts w:hint="default" w:ascii="Trebuchet MS" w:hAnsi="Trebuchet MS" w:cs="Trebuchet MS"/>
          <w:b/>
          <w:bCs/>
          <w:sz w:val="24"/>
          <w:szCs w:val="24"/>
          <w:u w:val="none"/>
        </w:rPr>
        <w:t>ă</w:t>
      </w:r>
      <w:r>
        <w:rPr>
          <w:rFonts w:hint="default" w:ascii="Trebuchet MS" w:hAnsi="Trebuchet MS" w:cs="Trebuchet MS"/>
          <w:b/>
          <w:bCs/>
          <w:sz w:val="24"/>
          <w:szCs w:val="24"/>
          <w:u w:val="none"/>
        </w:rPr>
        <w:t>durilor</w:t>
      </w:r>
      <w:r>
        <w:rPr>
          <w:rFonts w:hint="default" w:ascii="Trebuchet MS" w:hAnsi="Trebuchet MS" w:cs="Trebuchet MS"/>
          <w:b/>
          <w:bCs/>
          <w:sz w:val="24"/>
          <w:szCs w:val="24"/>
          <w:u w:val="none"/>
          <w:lang w:val="ro-RO"/>
        </w:rPr>
        <w:t xml:space="preserve"> pe adresa </w:t>
      </w:r>
      <w:r>
        <w:rPr>
          <w:rFonts w:hint="default" w:ascii="Trebuchet MS" w:hAnsi="Trebuchet MS" w:cs="Trebuchet MS"/>
          <w:b/>
          <w:bCs/>
          <w:sz w:val="24"/>
          <w:szCs w:val="24"/>
          <w:u w:val="none"/>
          <w:lang w:val="ro-RO"/>
        </w:rPr>
        <w:fldChar w:fldCharType="begin"/>
      </w:r>
      <w:r>
        <w:rPr>
          <w:rFonts w:hint="default" w:ascii="Trebuchet MS" w:hAnsi="Trebuchet MS" w:cs="Trebuchet MS"/>
          <w:b/>
          <w:bCs/>
          <w:sz w:val="24"/>
          <w:szCs w:val="24"/>
          <w:u w:val="none"/>
          <w:lang w:val="ro-RO"/>
        </w:rPr>
        <w:instrText xml:space="preserve"> HYPERLINK "mailto:chimicale@mmediu.ro" </w:instrText>
      </w:r>
      <w:r>
        <w:rPr>
          <w:rFonts w:hint="default" w:ascii="Trebuchet MS" w:hAnsi="Trebuchet MS" w:cs="Trebuchet MS"/>
          <w:b/>
          <w:bCs/>
          <w:sz w:val="24"/>
          <w:szCs w:val="24"/>
          <w:u w:val="none"/>
          <w:lang w:val="ro-RO"/>
        </w:rPr>
        <w:fldChar w:fldCharType="separate"/>
      </w:r>
      <w:r>
        <w:rPr>
          <w:rStyle w:val="8"/>
          <w:rFonts w:hint="default" w:ascii="Trebuchet MS" w:hAnsi="Trebuchet MS" w:cs="Trebuchet MS"/>
          <w:b/>
          <w:bCs/>
          <w:sz w:val="24"/>
          <w:szCs w:val="24"/>
          <w:u w:val="none"/>
          <w:lang w:val="ro-RO"/>
        </w:rPr>
        <w:t>chimicale@mmediu.ro</w:t>
      </w:r>
      <w:r>
        <w:rPr>
          <w:rFonts w:hint="default" w:ascii="Trebuchet MS" w:hAnsi="Trebuchet MS" w:cs="Trebuchet MS"/>
          <w:b/>
          <w:bCs/>
          <w:sz w:val="24"/>
          <w:szCs w:val="24"/>
          <w:u w:val="none"/>
          <w:lang w:val="ro-RO"/>
        </w:rPr>
        <w:fldChar w:fldCharType="end"/>
      </w:r>
    </w:p>
    <w:p>
      <w:pPr>
        <w:jc w:val="both"/>
        <w:rPr>
          <w:rFonts w:hint="default" w:ascii="Trebuchet MS" w:hAnsi="Trebuchet MS" w:cs="Trebuchet MS"/>
          <w:b/>
          <w:bCs/>
          <w:sz w:val="24"/>
          <w:szCs w:val="24"/>
          <w:u w:val="none"/>
          <w:lang w:val="ro-RO"/>
        </w:rPr>
      </w:pPr>
    </w:p>
    <w:p>
      <w:pPr>
        <w:jc w:val="both"/>
        <w:rPr>
          <w:rFonts w:hint="default" w:ascii="Trebuchet MS" w:hAnsi="Trebuchet MS" w:cs="Trebuchet MS"/>
          <w:b/>
          <w:bCs/>
          <w:sz w:val="24"/>
          <w:szCs w:val="24"/>
          <w:u w:val="none"/>
        </w:rPr>
      </w:pPr>
      <w:r>
        <w:rPr>
          <w:rFonts w:hint="default" w:ascii="Trebuchet MS" w:hAnsi="Trebuchet MS" w:cs="Trebuchet MS"/>
          <w:b/>
          <w:bCs/>
          <w:sz w:val="24"/>
          <w:szCs w:val="24"/>
          <w:u w:val="none"/>
          <w:lang w:val="ro-RO"/>
        </w:rPr>
        <w:t>N</w:t>
      </w:r>
      <w:r>
        <w:rPr>
          <w:rFonts w:hint="default" w:ascii="Trebuchet MS" w:hAnsi="Trebuchet MS" w:cs="Trebuchet MS"/>
          <w:b/>
          <w:bCs/>
          <w:sz w:val="24"/>
          <w:szCs w:val="24"/>
          <w:u w:val="none"/>
        </w:rPr>
        <w:t>ivelul de expertiză necesar membrilor SEAC</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Regulamentul REACH precizează că membrii comitetelor trebuie să posede calificările necesare pentru a le permite să îndeplinească </w:t>
      </w:r>
      <w:r>
        <w:rPr>
          <w:rFonts w:hint="default" w:ascii="Trebuchet MS" w:hAnsi="Trebuchet MS" w:cs="Trebuchet MS"/>
          <w:sz w:val="24"/>
          <w:szCs w:val="24"/>
          <w:u w:val="none"/>
          <w:lang w:val="ro-RO"/>
        </w:rPr>
        <w:t>sarcinile impuse</w:t>
      </w:r>
      <w:r>
        <w:rPr>
          <w:rFonts w:hint="default" w:ascii="Trebuchet MS" w:hAnsi="Trebuchet MS" w:cs="Trebuchet MS"/>
          <w:sz w:val="24"/>
          <w:szCs w:val="24"/>
          <w:u w:val="none"/>
        </w:rPr>
        <w:t xml:space="preserve">. </w:t>
      </w:r>
    </w:p>
    <w:p>
      <w:pPr>
        <w:jc w:val="both"/>
        <w:rPr>
          <w:rFonts w:hint="default" w:ascii="Trebuchet MS" w:hAnsi="Trebuchet MS" w:cs="Trebuchet MS"/>
          <w:b/>
          <w:bCs/>
          <w:i/>
          <w:iCs/>
          <w:sz w:val="24"/>
          <w:szCs w:val="24"/>
          <w:u w:val="none"/>
        </w:rPr>
      </w:pPr>
      <w:r>
        <w:rPr>
          <w:rFonts w:hint="default" w:ascii="Trebuchet MS" w:hAnsi="Trebuchet MS" w:cs="Trebuchet MS"/>
          <w:b/>
          <w:bCs/>
          <w:i/>
          <w:iCs/>
          <w:sz w:val="24"/>
          <w:szCs w:val="24"/>
          <w:u w:val="none"/>
        </w:rPr>
        <w:t>Domenii cheie de expertiză necesare</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Cele trei domenii cheie de expertiză de specialitate cerute de comitet sunt:</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 </w:t>
      </w:r>
      <w:r>
        <w:rPr>
          <w:rFonts w:hint="default" w:ascii="Trebuchet MS" w:hAnsi="Trebuchet MS" w:cs="Trebuchet MS"/>
          <w:b/>
          <w:bCs/>
          <w:sz w:val="24"/>
          <w:szCs w:val="24"/>
          <w:u w:val="none"/>
        </w:rPr>
        <w:t>Economia</w:t>
      </w:r>
      <w:r>
        <w:rPr>
          <w:rFonts w:hint="default" w:ascii="Trebuchet MS" w:hAnsi="Trebuchet MS" w:cs="Trebuchet MS"/>
          <w:sz w:val="24"/>
          <w:szCs w:val="24"/>
          <w:u w:val="none"/>
        </w:rPr>
        <w:t xml:space="preserve">, în special reglementarea, sectorul public, </w:t>
      </w:r>
      <w:bookmarkStart w:id="0" w:name="_Hlk163134317"/>
      <w:r>
        <w:rPr>
          <w:rFonts w:hint="default" w:ascii="Trebuchet MS" w:hAnsi="Trebuchet MS" w:cs="Trebuchet MS"/>
          <w:sz w:val="24"/>
          <w:szCs w:val="24"/>
          <w:u w:val="none"/>
        </w:rPr>
        <w:t xml:space="preserve">economia mediului </w:t>
      </w:r>
      <w:r>
        <w:rPr>
          <w:rFonts w:hint="default" w:ascii="Trebuchet MS" w:hAnsi="Trebuchet MS" w:cs="Trebuchet MS"/>
          <w:sz w:val="24"/>
          <w:szCs w:val="24"/>
          <w:u w:val="none"/>
        </w:rPr>
        <w:t>ş</w:t>
      </w:r>
      <w:r>
        <w:rPr>
          <w:rFonts w:hint="default" w:ascii="Trebuchet MS" w:hAnsi="Trebuchet MS" w:cs="Trebuchet MS"/>
          <w:sz w:val="24"/>
          <w:szCs w:val="24"/>
          <w:u w:val="none"/>
        </w:rPr>
        <w:t>i/sau sănătății</w:t>
      </w:r>
      <w:bookmarkEnd w:id="0"/>
      <w:r>
        <w:rPr>
          <w:rFonts w:hint="default" w:ascii="Trebuchet MS" w:hAnsi="Trebuchet MS" w:cs="Trebuchet MS"/>
          <w:sz w:val="24"/>
          <w:szCs w:val="24"/>
          <w:u w:val="none"/>
        </w:rPr>
        <w:t>;</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 </w:t>
      </w:r>
      <w:r>
        <w:rPr>
          <w:rFonts w:hint="default" w:ascii="Trebuchet MS" w:hAnsi="Trebuchet MS" w:cs="Trebuchet MS"/>
          <w:b/>
          <w:bCs/>
          <w:sz w:val="24"/>
          <w:szCs w:val="24"/>
          <w:u w:val="none"/>
        </w:rPr>
        <w:t>Metodologii</w:t>
      </w:r>
      <w:r>
        <w:rPr>
          <w:rFonts w:hint="default" w:ascii="Trebuchet MS" w:hAnsi="Trebuchet MS" w:cs="Trebuchet MS"/>
          <w:sz w:val="24"/>
          <w:szCs w:val="24"/>
          <w:u w:val="none"/>
        </w:rPr>
        <w:t xml:space="preserve"> care analizează costurile și beneficiile reglementării, inclusiv analiza fezabilității tehnice a alternativelor și a costurilor acestora;</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 </w:t>
      </w:r>
      <w:r>
        <w:rPr>
          <w:rFonts w:hint="default" w:ascii="Trebuchet MS" w:hAnsi="Trebuchet MS" w:cs="Trebuchet MS"/>
          <w:b/>
          <w:bCs/>
          <w:sz w:val="24"/>
          <w:szCs w:val="24"/>
          <w:u w:val="none"/>
        </w:rPr>
        <w:t>Cunoștințe</w:t>
      </w:r>
      <w:r>
        <w:rPr>
          <w:rFonts w:hint="default" w:ascii="Trebuchet MS" w:hAnsi="Trebuchet MS" w:cs="Trebuchet MS"/>
          <w:sz w:val="24"/>
          <w:szCs w:val="24"/>
          <w:u w:val="none"/>
        </w:rPr>
        <w:t xml:space="preserve"> despre substituție și substanțe cu risc ridicat de îngrijorare, cum ar fi SVHC.</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În pregătirea pentru lucrările viitoare privind reglementarea bateriilor, expertiza tehnică în diferite tipuri de tehnologii pentru baterii ar fi, de asemenea, un avantaj.</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Fiecare dintre membrii SEAC trebuie să posede expertiza și abilitățile de limb</w:t>
      </w:r>
      <w:r>
        <w:rPr>
          <w:rFonts w:hint="default" w:ascii="Trebuchet MS" w:hAnsi="Trebuchet MS" w:cs="Trebuchet MS"/>
          <w:sz w:val="24"/>
          <w:szCs w:val="24"/>
          <w:u w:val="none"/>
          <w:lang w:val="ro-RO"/>
        </w:rPr>
        <w:t>ă</w:t>
      </w:r>
      <w:r>
        <w:rPr>
          <w:rFonts w:hint="default" w:ascii="Trebuchet MS" w:hAnsi="Trebuchet MS" w:cs="Trebuchet MS"/>
          <w:sz w:val="24"/>
          <w:szCs w:val="24"/>
          <w:u w:val="none"/>
        </w:rPr>
        <w:t xml:space="preserve"> engleză necesare pentru a participa activ la redactarea, comentarea și discutarea opiniilor cu privire la propunerile de restricții și cererile de autorizare.</w:t>
      </w:r>
    </w:p>
    <w:p>
      <w:pPr>
        <w:jc w:val="both"/>
        <w:rPr>
          <w:rFonts w:hint="default" w:ascii="Trebuchet MS" w:hAnsi="Trebuchet MS" w:cs="Trebuchet MS"/>
          <w:b/>
          <w:bCs/>
          <w:i/>
          <w:iCs/>
          <w:sz w:val="24"/>
          <w:szCs w:val="24"/>
          <w:u w:val="none"/>
          <w:lang w:val="ro-RO"/>
        </w:rPr>
      </w:pPr>
    </w:p>
    <w:p>
      <w:pPr>
        <w:jc w:val="both"/>
        <w:rPr>
          <w:rFonts w:hint="default" w:ascii="Trebuchet MS" w:hAnsi="Trebuchet MS" w:cs="Trebuchet MS"/>
          <w:b/>
          <w:bCs/>
          <w:i/>
          <w:iCs/>
          <w:sz w:val="24"/>
          <w:szCs w:val="24"/>
          <w:u w:val="none"/>
          <w:lang w:val="ro-RO"/>
        </w:rPr>
      </w:pPr>
    </w:p>
    <w:p>
      <w:pPr>
        <w:jc w:val="both"/>
        <w:rPr>
          <w:rFonts w:hint="default" w:ascii="Trebuchet MS" w:hAnsi="Trebuchet MS" w:cs="Trebuchet MS"/>
          <w:b/>
          <w:bCs/>
          <w:i/>
          <w:iCs/>
          <w:sz w:val="24"/>
          <w:szCs w:val="24"/>
          <w:u w:val="none"/>
          <w:lang w:val="ro-RO"/>
        </w:rPr>
      </w:pPr>
    </w:p>
    <w:p>
      <w:pPr>
        <w:jc w:val="both"/>
        <w:rPr>
          <w:rFonts w:hint="default" w:ascii="Trebuchet MS" w:hAnsi="Trebuchet MS" w:cs="Trebuchet MS"/>
          <w:b/>
          <w:bCs/>
          <w:i/>
          <w:iCs/>
          <w:sz w:val="24"/>
          <w:szCs w:val="24"/>
          <w:u w:val="none"/>
          <w:lang w:val="ro-RO"/>
        </w:rPr>
      </w:pPr>
    </w:p>
    <w:p>
      <w:pPr>
        <w:jc w:val="both"/>
        <w:rPr>
          <w:rFonts w:hint="default" w:ascii="Trebuchet MS" w:hAnsi="Trebuchet MS" w:cs="Trebuchet MS"/>
          <w:b/>
          <w:bCs/>
          <w:i/>
          <w:iCs/>
          <w:sz w:val="24"/>
          <w:szCs w:val="24"/>
          <w:u w:val="none"/>
          <w:lang w:val="ro-RO"/>
        </w:rPr>
      </w:pPr>
      <w:r>
        <w:rPr>
          <w:rFonts w:hint="default" w:ascii="Trebuchet MS" w:hAnsi="Trebuchet MS" w:cs="Trebuchet MS"/>
          <w:b/>
          <w:bCs/>
          <w:i/>
          <w:iCs/>
          <w:sz w:val="24"/>
          <w:szCs w:val="24"/>
          <w:u w:val="none"/>
          <w:lang w:val="ro-RO"/>
        </w:rPr>
        <w:t>Condiții de lucru pentru membrii SEAC</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Prin articolul 85 alineatul (6) din Regulamentul REACH, statele membre sunt obligate să sprijine membrii SEAC, oferindu-le resurse științifice și tehnice adecvate. Este necesar un </w:t>
      </w:r>
      <w:r>
        <w:rPr>
          <w:rFonts w:hint="default" w:ascii="Trebuchet MS" w:hAnsi="Trebuchet MS" w:cs="Trebuchet MS"/>
          <w:b/>
          <w:bCs/>
          <w:sz w:val="24"/>
          <w:szCs w:val="24"/>
          <w:u w:val="none"/>
        </w:rPr>
        <w:t>angajament de 50% din timp</w:t>
      </w:r>
      <w:r>
        <w:rPr>
          <w:rFonts w:hint="default" w:ascii="Trebuchet MS" w:hAnsi="Trebuchet MS" w:cs="Trebuchet MS"/>
          <w:sz w:val="24"/>
          <w:szCs w:val="24"/>
          <w:u w:val="none"/>
        </w:rPr>
        <w:t xml:space="preserve"> din partea tuturor membrilor SEAC care își împărtășesc responsabilitățile, care includ acționarea în calitate de co-raportori ai dosarelor, contribuția la discuțiile din cadrul comitetului cu comentarii în timp util (atât în scris, ca răspuns la consultările privind opiniile și alte documente cat și verbal în timpul plenurilor) și participarea la alte activități SEAC, cum ar fi grupurile de lucru.</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Reuniunile SEAC au loc de patru ori pe an, de obicei timp de până la 2 săptămâni, iar datele provizorii sunt publicate pe paginile comitetului de pe site-ul web ECHA cu cel puțin un an înainte. Numărul real și durata ședințelor vor depinde în mod firesc de volumul de muncă al comitetului. O parte din reuniunile SEAC se vor desfășura în persoană, o proporție semnificativă având loc online.</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Având în vedere cele de mai sus, se estimează că membrul SEAC ar trebui să se aștepte să lucreze cu jumătate de normă </w:t>
      </w:r>
      <w:r>
        <w:rPr>
          <w:rFonts w:hint="default" w:ascii="Trebuchet MS" w:hAnsi="Trebuchet MS" w:cs="Trebuchet MS"/>
          <w:sz w:val="24"/>
          <w:szCs w:val="24"/>
          <w:u w:val="none"/>
          <w:lang w:val="ro-RO"/>
        </w:rPr>
        <w:t>pe</w:t>
      </w:r>
      <w:r>
        <w:rPr>
          <w:rFonts w:hint="default" w:ascii="Trebuchet MS" w:hAnsi="Trebuchet MS" w:cs="Trebuchet MS"/>
          <w:sz w:val="24"/>
          <w:szCs w:val="24"/>
          <w:u w:val="none"/>
        </w:rPr>
        <w:t xml:space="preserve"> probleme legate de SEAC în următorii trei ani.</w:t>
      </w:r>
    </w:p>
    <w:p>
      <w:pPr>
        <w:jc w:val="both"/>
        <w:rPr>
          <w:rFonts w:hint="default" w:ascii="Trebuchet MS" w:hAnsi="Trebuchet MS" w:cs="Trebuchet MS"/>
          <w:i/>
          <w:iCs/>
          <w:sz w:val="24"/>
          <w:szCs w:val="24"/>
          <w:u w:val="none"/>
          <w:lang w:val="ro-RO"/>
        </w:rPr>
      </w:pPr>
      <w:r>
        <w:rPr>
          <w:rFonts w:hint="default" w:ascii="Trebuchet MS" w:hAnsi="Trebuchet MS" w:cs="Trebuchet MS"/>
          <w:i/>
          <w:iCs/>
          <w:sz w:val="24"/>
          <w:szCs w:val="24"/>
          <w:u w:val="none"/>
        </w:rPr>
        <w:t>Rambursare</w:t>
      </w:r>
      <w:r>
        <w:rPr>
          <w:rFonts w:hint="default" w:ascii="Trebuchet MS" w:hAnsi="Trebuchet MS" w:cs="Trebuchet MS"/>
          <w:i/>
          <w:iCs/>
          <w:sz w:val="24"/>
          <w:szCs w:val="24"/>
          <w:u w:val="none"/>
          <w:lang w:val="ro-RO"/>
        </w:rPr>
        <w:t xml:space="preserve"> cheltuieli</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Atunci când participă personal la întâlniri, ECHA rambursează cheltuielile de călătorie și cazare și plătește o indemnizație de subzistență membrilor. În conformitate cu orientările stabilite de Consiliul de administrație (MB/41/2020), ECHA plătește o remuneratie raportorului și coraportorului, după cum este necesar, pentru activitatea finalizată.</w:t>
      </w:r>
    </w:p>
    <w:p>
      <w:pPr>
        <w:jc w:val="both"/>
        <w:rPr>
          <w:rFonts w:hint="default" w:ascii="Trebuchet MS" w:hAnsi="Trebuchet MS" w:cs="Trebuchet MS"/>
          <w:b/>
          <w:bCs/>
          <w:sz w:val="24"/>
          <w:szCs w:val="24"/>
          <w:u w:val="none"/>
          <w:lang w:val="ro-RO"/>
        </w:rPr>
      </w:pPr>
    </w:p>
    <w:p>
      <w:pPr>
        <w:jc w:val="both"/>
        <w:rPr>
          <w:rFonts w:hint="default" w:ascii="Trebuchet MS" w:hAnsi="Trebuchet MS" w:cs="Trebuchet MS"/>
          <w:b/>
          <w:bCs/>
          <w:sz w:val="24"/>
          <w:szCs w:val="24"/>
          <w:u w:val="none"/>
          <w:lang w:val="ro-RO"/>
        </w:rPr>
      </w:pPr>
      <w:r>
        <w:rPr>
          <w:rFonts w:hint="default" w:ascii="Trebuchet MS" w:hAnsi="Trebuchet MS" w:cs="Trebuchet MS"/>
          <w:b/>
          <w:bCs/>
          <w:sz w:val="24"/>
          <w:szCs w:val="24"/>
          <w:u w:val="none"/>
          <w:lang w:val="ro-RO"/>
        </w:rPr>
        <w:t>INFORMAȚII SUPLIMENTARE</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Comitetul pentru Analiză Socio-economică (SEAC) al Agenției Europene pentru Produse Chimice (ECHA) joacă un </w:t>
      </w:r>
      <w:r>
        <w:rPr>
          <w:rFonts w:hint="default" w:ascii="Trebuchet MS" w:hAnsi="Trebuchet MS" w:cs="Trebuchet MS"/>
          <w:b/>
          <w:bCs/>
          <w:sz w:val="24"/>
          <w:szCs w:val="24"/>
          <w:u w:val="none"/>
        </w:rPr>
        <w:t>rol important</w:t>
      </w:r>
      <w:r>
        <w:rPr>
          <w:rFonts w:hint="default" w:ascii="Trebuchet MS" w:hAnsi="Trebuchet MS" w:cs="Trebuchet MS"/>
          <w:sz w:val="24"/>
          <w:szCs w:val="24"/>
          <w:u w:val="none"/>
        </w:rPr>
        <w:t xml:space="preserve"> în procesele cheie ale Regulamentului REACH privind restricțiile și autorizațiile iar din 2024, reglementările privind bateriile și bateriile uzate. În plus, </w:t>
      </w:r>
      <w:r>
        <w:rPr>
          <w:rFonts w:hint="default" w:ascii="Trebuchet MS" w:hAnsi="Trebuchet MS" w:cs="Trebuchet MS"/>
          <w:b/>
          <w:bCs/>
          <w:sz w:val="24"/>
          <w:szCs w:val="24"/>
          <w:u w:val="none"/>
        </w:rPr>
        <w:t>emite avize</w:t>
      </w:r>
      <w:r>
        <w:rPr>
          <w:rFonts w:hint="default" w:ascii="Trebuchet MS" w:hAnsi="Trebuchet MS" w:cs="Trebuchet MS"/>
          <w:sz w:val="24"/>
          <w:szCs w:val="24"/>
          <w:u w:val="none"/>
        </w:rPr>
        <w:t xml:space="preserve"> cu privire la orice alte aspecte care decurg din funcționarea REACH referitoare la impactul socio-economic al unei eventuale acțiuni legislative asupra substanțelor.</w:t>
      </w:r>
    </w:p>
    <w:p>
      <w:pPr>
        <w:jc w:val="both"/>
        <w:rPr>
          <w:rFonts w:hint="default" w:ascii="Trebuchet MS" w:hAnsi="Trebuchet MS" w:cs="Trebuchet MS"/>
          <w:i/>
          <w:iCs/>
          <w:sz w:val="24"/>
          <w:szCs w:val="24"/>
          <w:u w:val="none"/>
        </w:rPr>
      </w:pPr>
      <w:r>
        <w:rPr>
          <w:rFonts w:hint="default" w:ascii="Trebuchet MS" w:hAnsi="Trebuchet MS" w:cs="Trebuchet MS"/>
          <w:i/>
          <w:iCs/>
          <w:sz w:val="24"/>
          <w:szCs w:val="24"/>
          <w:u w:val="none"/>
        </w:rPr>
        <w:t>Componența, rolul și sarcinile Comitetului de analiză socio-economică</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Pe baza nominalizărilor din partea statelor membre și a națiunilor SEE-AELS, Consiliul de administrație al ECHA numește membrii SEAC. În acest moment sunt 31 de membri. Pe lângă membrii, SEAC poate co-opta până la cinci membri suplimentari.</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În conformitate cu articolul 77 alineatul (1) din Regulamentul REACH, sarcina ECHA este de a oferi cea mai bună consiliere științifică și tehnică posibilă cu privire la problemele legate de substanțele chimice. Comitetele ECHA (RAC, SEAC și MSC) reprezintă o parte esențială a bunei funcționări a Regulamentului REACH. Sarcinile SEAC sunt descrise în REACH la articolul 76 alineatul (1) litera (d).</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SEAC formulează un aviz ECHA cu privire la următoarele:</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 </w:t>
      </w:r>
      <w:r>
        <w:rPr>
          <w:rFonts w:hint="default" w:ascii="Trebuchet MS" w:hAnsi="Trebuchet MS" w:cs="Trebuchet MS"/>
          <w:b/>
          <w:bCs/>
          <w:sz w:val="24"/>
          <w:szCs w:val="24"/>
          <w:u w:val="none"/>
        </w:rPr>
        <w:t>Autorizare</w:t>
      </w:r>
      <w:r>
        <w:rPr>
          <w:rFonts w:hint="default" w:ascii="Trebuchet MS" w:hAnsi="Trebuchet MS" w:cs="Trebuchet MS"/>
          <w:sz w:val="24"/>
          <w:szCs w:val="24"/>
          <w:u w:val="none"/>
        </w:rPr>
        <w:t>: evaluarea factorilor socio-economici referitori la cererile de autorizare, c</w:t>
      </w:r>
      <w:r>
        <w:rPr>
          <w:rFonts w:hint="default" w:ascii="Trebuchet MS" w:hAnsi="Trebuchet MS" w:cs="Trebuchet MS"/>
          <w:sz w:val="24"/>
          <w:szCs w:val="24"/>
          <w:u w:val="none"/>
        </w:rPr>
        <w:t>â</w:t>
      </w:r>
      <w:r>
        <w:rPr>
          <w:rFonts w:hint="default" w:ascii="Trebuchet MS" w:hAnsi="Trebuchet MS" w:cs="Trebuchet MS"/>
          <w:sz w:val="24"/>
          <w:szCs w:val="24"/>
          <w:u w:val="none"/>
        </w:rPr>
        <w:t xml:space="preserve">t </w:t>
      </w:r>
      <w:r>
        <w:rPr>
          <w:rFonts w:hint="default" w:ascii="Trebuchet MS" w:hAnsi="Trebuchet MS" w:cs="Trebuchet MS"/>
          <w:sz w:val="24"/>
          <w:szCs w:val="24"/>
          <w:u w:val="none"/>
        </w:rPr>
        <w:t>ş</w:t>
      </w:r>
      <w:r>
        <w:rPr>
          <w:rFonts w:hint="default" w:ascii="Trebuchet MS" w:hAnsi="Trebuchet MS" w:cs="Trebuchet MS"/>
          <w:sz w:val="24"/>
          <w:szCs w:val="24"/>
          <w:u w:val="none"/>
        </w:rPr>
        <w:t xml:space="preserve">i disponibilitatea </w:t>
      </w:r>
      <w:r>
        <w:rPr>
          <w:rFonts w:hint="default" w:ascii="Trebuchet MS" w:hAnsi="Trebuchet MS" w:cs="Trebuchet MS"/>
          <w:sz w:val="24"/>
          <w:szCs w:val="24"/>
          <w:u w:val="none"/>
        </w:rPr>
        <w:t>ş</w:t>
      </w:r>
      <w:r>
        <w:rPr>
          <w:rFonts w:hint="default" w:ascii="Trebuchet MS" w:hAnsi="Trebuchet MS" w:cs="Trebuchet MS"/>
          <w:sz w:val="24"/>
          <w:szCs w:val="24"/>
          <w:u w:val="none"/>
        </w:rPr>
        <w:t>i fezabilitatea tehnic</w:t>
      </w:r>
      <w:r>
        <w:rPr>
          <w:rFonts w:hint="default" w:ascii="Trebuchet MS" w:hAnsi="Trebuchet MS" w:cs="Trebuchet MS"/>
          <w:sz w:val="24"/>
          <w:szCs w:val="24"/>
          <w:u w:val="none"/>
        </w:rPr>
        <w:t>ă</w:t>
      </w:r>
      <w:r>
        <w:rPr>
          <w:rFonts w:hint="default" w:ascii="Trebuchet MS" w:hAnsi="Trebuchet MS" w:cs="Trebuchet MS"/>
          <w:sz w:val="24"/>
          <w:szCs w:val="24"/>
          <w:u w:val="none"/>
        </w:rPr>
        <w:t xml:space="preserve"> </w:t>
      </w:r>
      <w:r>
        <w:rPr>
          <w:rFonts w:hint="default" w:ascii="Trebuchet MS" w:hAnsi="Trebuchet MS" w:cs="Trebuchet MS"/>
          <w:sz w:val="24"/>
          <w:szCs w:val="24"/>
          <w:u w:val="none"/>
        </w:rPr>
        <w:t>ş</w:t>
      </w:r>
      <w:r>
        <w:rPr>
          <w:rFonts w:hint="default" w:ascii="Trebuchet MS" w:hAnsi="Trebuchet MS" w:cs="Trebuchet MS"/>
          <w:sz w:val="24"/>
          <w:szCs w:val="24"/>
          <w:u w:val="none"/>
        </w:rPr>
        <w:t>i economic</w:t>
      </w:r>
      <w:r>
        <w:rPr>
          <w:rFonts w:hint="default" w:ascii="Trebuchet MS" w:hAnsi="Trebuchet MS" w:cs="Trebuchet MS"/>
          <w:sz w:val="24"/>
          <w:szCs w:val="24"/>
          <w:u w:val="none"/>
        </w:rPr>
        <w:t>ă</w:t>
      </w:r>
      <w:r>
        <w:rPr>
          <w:rFonts w:hint="default" w:ascii="Trebuchet MS" w:hAnsi="Trebuchet MS" w:cs="Trebuchet MS"/>
          <w:sz w:val="24"/>
          <w:szCs w:val="24"/>
          <w:u w:val="none"/>
        </w:rPr>
        <w:t xml:space="preserve"> a alternativelor;</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 </w:t>
      </w:r>
      <w:r>
        <w:rPr>
          <w:rFonts w:hint="default" w:ascii="Trebuchet MS" w:hAnsi="Trebuchet MS" w:cs="Trebuchet MS"/>
          <w:b/>
          <w:bCs/>
          <w:sz w:val="24"/>
          <w:szCs w:val="24"/>
          <w:u w:val="none"/>
        </w:rPr>
        <w:t>Restricții</w:t>
      </w:r>
      <w:r>
        <w:rPr>
          <w:rFonts w:hint="default" w:ascii="Trebuchet MS" w:hAnsi="Trebuchet MS" w:cs="Trebuchet MS"/>
          <w:sz w:val="24"/>
          <w:szCs w:val="24"/>
          <w:u w:val="none"/>
        </w:rPr>
        <w:t>: evaluarea restricțiilor propuse în conformitate cu Regulamentul REACH și cu cel privind bateriile și impactul lor socio-economic.</w:t>
      </w:r>
    </w:p>
    <w:p>
      <w:pPr>
        <w:jc w:val="both"/>
        <w:rPr>
          <w:rFonts w:hint="default" w:ascii="Trebuchet MS" w:hAnsi="Trebuchet MS" w:cs="Trebuchet MS"/>
          <w:sz w:val="24"/>
          <w:szCs w:val="24"/>
          <w:u w:val="none"/>
        </w:rPr>
      </w:pPr>
      <w:r>
        <w:rPr>
          <w:rFonts w:hint="default" w:ascii="Trebuchet MS" w:hAnsi="Trebuchet MS" w:cs="Trebuchet MS"/>
          <w:sz w:val="24"/>
          <w:szCs w:val="24"/>
          <w:u w:val="none"/>
          <w:lang w:val="ro-RO"/>
        </w:rPr>
        <w:t>D</w:t>
      </w:r>
      <w:r>
        <w:rPr>
          <w:rFonts w:hint="default" w:ascii="Trebuchet MS" w:hAnsi="Trebuchet MS" w:cs="Trebuchet MS"/>
          <w:sz w:val="24"/>
          <w:szCs w:val="24"/>
          <w:u w:val="none"/>
        </w:rPr>
        <w:t>irectorul executiv al ECHA poate solicita SEAC să elaboreze un aviz cu privire la orice alte aspecte referitoare la siguranța substanțelor în sine, în preparate sau în articole [articolul 77 alineatul (3) literele (b) și (c)].</w:t>
      </w:r>
    </w:p>
    <w:p>
      <w:pPr>
        <w:jc w:val="both"/>
        <w:rPr>
          <w:rFonts w:hint="default" w:ascii="Trebuchet MS" w:hAnsi="Trebuchet MS" w:cs="Trebuchet MS"/>
          <w:b/>
          <w:bCs/>
          <w:sz w:val="24"/>
          <w:szCs w:val="24"/>
          <w:u w:val="none"/>
        </w:rPr>
      </w:pPr>
      <w:r>
        <w:rPr>
          <w:rFonts w:hint="default" w:ascii="Trebuchet MS" w:hAnsi="Trebuchet MS" w:cs="Trebuchet MS"/>
          <w:b/>
          <w:bCs/>
          <w:sz w:val="24"/>
          <w:szCs w:val="24"/>
          <w:u w:val="none"/>
        </w:rPr>
        <w:t>Proceduri de lucru</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Există termene fixe și scurte pentru transmiterea avizelor SEAC și, în consecință, comitetul va fi sub presiunea timpului pentru a-și exprima opiniile.</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 xml:space="preserve">Articolul 87 alineatul (1) prevede că acest comitet numește unul dintre membrii săi ca raportor pentru a-și elabora avizele. În plus, poate fi numit </w:t>
      </w:r>
      <w:r>
        <w:rPr>
          <w:rFonts w:hint="default" w:ascii="Trebuchet MS" w:hAnsi="Trebuchet MS" w:cs="Trebuchet MS"/>
          <w:sz w:val="24"/>
          <w:szCs w:val="24"/>
          <w:u w:val="none"/>
        </w:rPr>
        <w:t>ş</w:t>
      </w:r>
      <w:r>
        <w:rPr>
          <w:rFonts w:hint="default" w:ascii="Trebuchet MS" w:hAnsi="Trebuchet MS" w:cs="Trebuchet MS"/>
          <w:sz w:val="24"/>
          <w:szCs w:val="24"/>
          <w:u w:val="none"/>
        </w:rPr>
        <w:t>i un coraportor.</w:t>
      </w:r>
    </w:p>
    <w:p>
      <w:pPr>
        <w:jc w:val="both"/>
        <w:rPr>
          <w:rFonts w:hint="default" w:ascii="Trebuchet MS" w:hAnsi="Trebuchet MS" w:cs="Trebuchet MS"/>
          <w:sz w:val="24"/>
          <w:szCs w:val="24"/>
          <w:u w:val="none"/>
        </w:rPr>
      </w:pPr>
      <w:r>
        <w:rPr>
          <w:rFonts w:hint="default" w:ascii="Trebuchet MS" w:hAnsi="Trebuchet MS" w:cs="Trebuchet MS"/>
          <w:sz w:val="24"/>
          <w:szCs w:val="24"/>
          <w:u w:val="none"/>
        </w:rPr>
        <w:t>SEAC este prezidat de un membru al personalului ECHA, doamna Maria Ottati și este susținut de un secretariat al comitetului oferit de ECHA.</w:t>
      </w:r>
    </w:p>
    <w:p>
      <w:pPr>
        <w:jc w:val="both"/>
        <w:rPr>
          <w:rFonts w:hint="default" w:ascii="Trebuchet MS" w:hAnsi="Trebuchet MS" w:cs="Trebuchet MS"/>
          <w:b/>
          <w:bCs/>
          <w:sz w:val="24"/>
          <w:szCs w:val="24"/>
          <w:u w:val="none"/>
        </w:rPr>
      </w:pPr>
    </w:p>
    <w:p>
      <w:pPr>
        <w:jc w:val="both"/>
        <w:rPr>
          <w:rFonts w:hint="default" w:ascii="Trebuchet MS" w:hAnsi="Trebuchet MS" w:cs="Trebuchet MS"/>
          <w:sz w:val="24"/>
          <w:szCs w:val="24"/>
          <w:u w:val="none"/>
        </w:rPr>
      </w:pPr>
    </w:p>
    <w:sectPr>
      <w:pgSz w:w="12240" w:h="15840"/>
      <w:pgMar w:top="426"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50"/>
    <w:rsid w:val="001872FB"/>
    <w:rsid w:val="004F3639"/>
    <w:rsid w:val="00636A9C"/>
    <w:rsid w:val="00640953"/>
    <w:rsid w:val="007B12C0"/>
    <w:rsid w:val="00A37677"/>
    <w:rsid w:val="00AB7D54"/>
    <w:rsid w:val="00C51A21"/>
    <w:rsid w:val="00C54550"/>
    <w:rsid w:val="00C74943"/>
    <w:rsid w:val="00DD1E3A"/>
    <w:rsid w:val="00E41C67"/>
    <w:rsid w:val="10DD20F3"/>
    <w:rsid w:val="5057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character" w:styleId="5">
    <w:name w:val="footnote reference"/>
    <w:basedOn w:val="2"/>
    <w:semiHidden/>
    <w:unhideWhenUsed/>
    <w:uiPriority w:val="99"/>
    <w:rPr>
      <w:vertAlign w:val="superscript"/>
    </w:rPr>
  </w:style>
  <w:style w:type="paragraph" w:styleId="6">
    <w:name w:val="footnote text"/>
    <w:basedOn w:val="1"/>
    <w:link w:val="10"/>
    <w:autoRedefine/>
    <w:semiHidden/>
    <w:unhideWhenUsed/>
    <w:qFormat/>
    <w:uiPriority w:val="99"/>
    <w:pPr>
      <w:spacing w:after="0" w:line="240" w:lineRule="auto"/>
    </w:pPr>
    <w:rPr>
      <w:sz w:val="20"/>
      <w:szCs w:val="20"/>
    </w:rPr>
  </w:style>
  <w:style w:type="paragraph" w:styleId="7">
    <w:name w:val="header"/>
    <w:basedOn w:val="1"/>
    <w:semiHidden/>
    <w:unhideWhenUsed/>
    <w:uiPriority w:val="99"/>
    <w:pPr>
      <w:tabs>
        <w:tab w:val="center" w:pos="4153"/>
        <w:tab w:val="right" w:pos="8306"/>
      </w:tabs>
      <w:snapToGrid w:val="0"/>
    </w:pPr>
    <w:rPr>
      <w:sz w:val="18"/>
      <w:szCs w:val="18"/>
    </w:rPr>
  </w:style>
  <w:style w:type="character" w:styleId="8">
    <w:name w:val="Hyperlink"/>
    <w:basedOn w:val="2"/>
    <w:semiHidden/>
    <w:unhideWhenUsed/>
    <w:uiPriority w:val="99"/>
    <w:rPr>
      <w:color w:val="0000FF"/>
      <w:u w:val="single"/>
    </w:rPr>
  </w:style>
  <w:style w:type="paragraph" w:styleId="9">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customStyle="1" w:styleId="10">
    <w:name w:val="Footnote Text Char"/>
    <w:basedOn w:val="2"/>
    <w:link w:val="6"/>
    <w:semiHidden/>
    <w:uiPriority w:val="99"/>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5F4D-1F7B-4A03-84B9-997CD92521C0}">
  <ds:schemaRefs/>
</ds:datastoreItem>
</file>

<file path=docProps/app.xml><?xml version="1.0" encoding="utf-8"?>
<Properties xmlns="http://schemas.openxmlformats.org/officeDocument/2006/extended-properties" xmlns:vt="http://schemas.openxmlformats.org/officeDocument/2006/docPropsVTypes">
  <Template>Normal.dotm</Template>
  <Pages>3</Pages>
  <Words>821</Words>
  <Characters>4684</Characters>
  <Lines>39</Lines>
  <Paragraphs>10</Paragraphs>
  <TotalTime>34</TotalTime>
  <ScaleCrop>false</ScaleCrop>
  <LinksUpToDate>false</LinksUpToDate>
  <CharactersWithSpaces>5495</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2024-04-01T10:20:00Z</dcterms:created>
  <dc:creator>Claudia Dumitru</dc:creator>
  <cp:lastModifiedBy>Laura Negoita</cp:lastModifiedBy>
  <dcterms:modified xsi:type="dcterms:W3CDTF">2024-05-13T07:53:47Z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24876D3DA3E7467EAF14E046FDE6B178_13</vt:lpwstr>
  </property>
</Properties>
</file>