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03A" w14:textId="51CE8A77" w:rsidR="008832D2" w:rsidRPr="008832D2" w:rsidRDefault="001B3545" w:rsidP="008832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 w:eastAsia="ro-RO"/>
        </w:rPr>
        <w:t>Anexă</w:t>
      </w:r>
    </w:p>
    <w:p w14:paraId="06311DD6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10"/>
          <w:lang w:val="ro-RO" w:eastAsia="ro-RO"/>
        </w:rPr>
      </w:pPr>
    </w:p>
    <w:p w14:paraId="25524946" w14:textId="77777777" w:rsidR="008832D2" w:rsidRPr="008832D2" w:rsidRDefault="008832D2" w:rsidP="00883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14:paraId="60D1D48D" w14:textId="77777777" w:rsidR="008832D2" w:rsidRPr="008832D2" w:rsidRDefault="008832D2" w:rsidP="00EE0E0C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8832D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CARACTERISTICILE PRINCIPALE ȘI INDICATORII TEHNICO-ECONOMICI AI OBIECTIVULUI DE INVESTIȚII</w:t>
      </w:r>
    </w:p>
    <w:p w14:paraId="58AD7D96" w14:textId="77406BE5" w:rsidR="004A2751" w:rsidRDefault="005C130F" w:rsidP="00EE0E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„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Modernizarea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infrastructurii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de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monitorizare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și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avertizare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a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fenomenelor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hidro-meteorologice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severe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în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vederea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asigurării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protecției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vieții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și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a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bunurilor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>materiale</w:t>
      </w:r>
      <w:proofErr w:type="spellEnd"/>
      <w:r w:rsidRPr="005C1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– INFRAMETEO”</w:t>
      </w:r>
    </w:p>
    <w:p w14:paraId="7D7836AF" w14:textId="77777777" w:rsidR="005C130F" w:rsidRPr="00EE0E0C" w:rsidRDefault="005C130F" w:rsidP="00EE0E0C">
      <w:pPr>
        <w:spacing w:before="120" w:after="0" w:line="360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76"/>
        <w:gridCol w:w="7139"/>
      </w:tblGrid>
      <w:tr w:rsidR="008832D2" w:rsidRPr="008832D2" w14:paraId="1793A5BA" w14:textId="77777777" w:rsidTr="005C130F">
        <w:tc>
          <w:tcPr>
            <w:tcW w:w="2266" w:type="dxa"/>
            <w:gridSpan w:val="2"/>
          </w:tcPr>
          <w:p w14:paraId="14B5754E" w14:textId="77777777" w:rsidR="008832D2" w:rsidRPr="008832D2" w:rsidRDefault="008832D2" w:rsidP="00EE0E0C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TITULAR: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</w:t>
            </w:r>
          </w:p>
        </w:tc>
        <w:tc>
          <w:tcPr>
            <w:tcW w:w="7139" w:type="dxa"/>
          </w:tcPr>
          <w:p w14:paraId="1061EB7C" w14:textId="2DEF1375" w:rsidR="008832D2" w:rsidRPr="008832D2" w:rsidRDefault="008832D2" w:rsidP="00EE0E0C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Ministerul Mediului, Apelor </w:t>
            </w:r>
            <w:r w:rsidR="00236B6D"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Pădurilor</w:t>
            </w:r>
          </w:p>
        </w:tc>
      </w:tr>
      <w:tr w:rsidR="008832D2" w:rsidRPr="008832D2" w14:paraId="333AAC5A" w14:textId="77777777" w:rsidTr="005C130F">
        <w:tc>
          <w:tcPr>
            <w:tcW w:w="2266" w:type="dxa"/>
            <w:gridSpan w:val="2"/>
          </w:tcPr>
          <w:p w14:paraId="16499475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o-RO" w:eastAsia="ro-RO"/>
              </w:rPr>
            </w:pPr>
          </w:p>
        </w:tc>
        <w:tc>
          <w:tcPr>
            <w:tcW w:w="7139" w:type="dxa"/>
          </w:tcPr>
          <w:p w14:paraId="1FD115B6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ro-RO" w:eastAsia="ro-RO"/>
              </w:rPr>
            </w:pPr>
          </w:p>
        </w:tc>
      </w:tr>
      <w:tr w:rsidR="008832D2" w:rsidRPr="008832D2" w14:paraId="380740C6" w14:textId="77777777" w:rsidTr="005C130F">
        <w:tc>
          <w:tcPr>
            <w:tcW w:w="2266" w:type="dxa"/>
            <w:gridSpan w:val="2"/>
          </w:tcPr>
          <w:p w14:paraId="6CF2CC3D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BENEFICIAR: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</w:t>
            </w:r>
          </w:p>
        </w:tc>
        <w:tc>
          <w:tcPr>
            <w:tcW w:w="7139" w:type="dxa"/>
          </w:tcPr>
          <w:p w14:paraId="2C40CD6F" w14:textId="77777777" w:rsidR="008832D2" w:rsidRDefault="005C130F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C13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Administraţia Naţională de Meteorologie</w:t>
            </w:r>
          </w:p>
          <w:p w14:paraId="39922E4E" w14:textId="7124CFB2" w:rsidR="00A735AE" w:rsidRPr="008832D2" w:rsidRDefault="00A735AE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832D2" w:rsidRPr="008832D2" w14:paraId="33EE261A" w14:textId="77777777" w:rsidTr="005C130F">
        <w:tc>
          <w:tcPr>
            <w:tcW w:w="2266" w:type="dxa"/>
            <w:gridSpan w:val="2"/>
          </w:tcPr>
          <w:p w14:paraId="094CCEFD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o-RO" w:eastAsia="ro-RO"/>
              </w:rPr>
            </w:pPr>
          </w:p>
        </w:tc>
        <w:tc>
          <w:tcPr>
            <w:tcW w:w="7139" w:type="dxa"/>
          </w:tcPr>
          <w:p w14:paraId="62AD7854" w14:textId="77777777" w:rsidR="008832D2" w:rsidRPr="008832D2" w:rsidRDefault="008832D2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fr-FR" w:eastAsia="ro-RO"/>
              </w:rPr>
            </w:pPr>
          </w:p>
        </w:tc>
      </w:tr>
      <w:tr w:rsidR="005C130F" w:rsidRPr="008832D2" w14:paraId="5353BB7B" w14:textId="77777777" w:rsidTr="005C130F">
        <w:trPr>
          <w:gridAfter w:val="2"/>
          <w:wAfter w:w="7215" w:type="dxa"/>
        </w:trPr>
        <w:tc>
          <w:tcPr>
            <w:tcW w:w="2190" w:type="dxa"/>
          </w:tcPr>
          <w:p w14:paraId="52388963" w14:textId="3DADE2D4" w:rsidR="005C130F" w:rsidRPr="0081455B" w:rsidRDefault="005C130F" w:rsidP="008832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 w:rsidRPr="0088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AMPLASAMENT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  <w:r w:rsidRPr="008832D2"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 xml:space="preserve">  </w:t>
            </w:r>
          </w:p>
        </w:tc>
      </w:tr>
    </w:tbl>
    <w:p w14:paraId="1BC0DB88" w14:textId="5BB77A1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Nivel național, în toate cele 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7 Centre Meteorologice Regionale.</w:t>
      </w:r>
    </w:p>
    <w:p w14:paraId="50B2B125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Muntenia</w:t>
      </w:r>
    </w:p>
    <w:p w14:paraId="7242AFE1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Dobrogea</w:t>
      </w:r>
    </w:p>
    <w:p w14:paraId="036249F8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Moldova</w:t>
      </w:r>
    </w:p>
    <w:p w14:paraId="6CBC730D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Transilvania Sud</w:t>
      </w:r>
    </w:p>
    <w:p w14:paraId="1496B043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Transilvania Nord</w:t>
      </w:r>
    </w:p>
    <w:p w14:paraId="73F4BB99" w14:textId="77777777" w:rsidR="004F5A16" w:rsidRPr="004F5A16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Banat-Crișana</w:t>
      </w:r>
    </w:p>
    <w:p w14:paraId="798CB0AB" w14:textId="0ECDE4CE" w:rsidR="005C130F" w:rsidRPr="005C130F" w:rsidRDefault="004F5A16" w:rsidP="004F5A16">
      <w:pPr>
        <w:widowControl w:val="0"/>
        <w:suppressAutoHyphens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•</w:t>
      </w:r>
      <w:r w:rsidRPr="004F5A16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Centrul Meteorologic Regional Oltenia</w:t>
      </w:r>
    </w:p>
    <w:p w14:paraId="7249CA4C" w14:textId="77777777" w:rsidR="0081455B" w:rsidRPr="00AA1677" w:rsidRDefault="0081455B" w:rsidP="008145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4E4C471B" w14:textId="13EE84F1" w:rsidR="008832D2" w:rsidRDefault="008832D2" w:rsidP="00CA5AF6">
      <w:pPr>
        <w:overflowPunct w:val="0"/>
        <w:autoSpaceDE w:val="0"/>
        <w:autoSpaceDN w:val="0"/>
        <w:adjustRightInd w:val="0"/>
        <w:spacing w:before="120" w:after="0" w:line="288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INDICATORI TEHNICO – ECONOMICI</w:t>
      </w:r>
    </w:p>
    <w:p w14:paraId="07600082" w14:textId="39B54CDB" w:rsidR="00EE0E0C" w:rsidRPr="00FD1EAF" w:rsidRDefault="00EE0E0C" w:rsidP="00E634A1">
      <w:pPr>
        <w:pStyle w:val="NoSpacing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Valoare</w:t>
      </w:r>
      <w:r w:rsidR="00CA5AF6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a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totală</w:t>
      </w:r>
      <w:r w:rsidR="00CA5AF6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a 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investiţie</w:t>
      </w:r>
      <w:r w:rsidR="00CA5AF6"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</w:t>
      </w:r>
      <w:r w:rsidR="00E634A1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(</w:t>
      </w:r>
      <w:r w:rsidR="00E634A1" w:rsidRPr="00FD1EAF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inclusiv TVA)</w:t>
      </w:r>
      <w:r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>:</w:t>
      </w:r>
      <w:r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ab/>
      </w:r>
      <w:r w:rsidR="00CA5AF6" w:rsidRPr="00FD1EAF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CA5AF6" w:rsidRPr="00FD1EAF">
        <w:rPr>
          <w:rFonts w:ascii="Times New Roman" w:hAnsi="Times New Roman" w:cs="Times New Roman"/>
          <w:b/>
          <w:bCs/>
          <w:sz w:val="24"/>
          <w:szCs w:val="24"/>
          <w:lang w:val="ro-RO"/>
        </w:rPr>
        <w:t>mii lei</w:t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Pr="00FD1EAF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</w:r>
      <w:r w:rsidR="00AA1677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246.05</w:t>
      </w:r>
      <w:r w:rsidR="004F5A16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5</w:t>
      </w:r>
    </w:p>
    <w:p w14:paraId="020BC41F" w14:textId="2A132395" w:rsidR="00E634A1" w:rsidRPr="00FD1EAF" w:rsidRDefault="00E634A1" w:rsidP="00E634A1">
      <w:pPr>
        <w:pStyle w:val="NoSpacing"/>
        <w:rPr>
          <w:rFonts w:ascii="Times New Roman" w:hAnsi="Times New Roman" w:cs="Times New Roman"/>
          <w:i/>
          <w:noProof/>
          <w:sz w:val="18"/>
          <w:szCs w:val="18"/>
          <w:lang w:val="it-IT"/>
        </w:rPr>
      </w:pPr>
      <w:r w:rsidRPr="00FD1EAF">
        <w:rPr>
          <w:rFonts w:ascii="Times New Roman" w:hAnsi="Times New Roman" w:cs="Times New Roman"/>
          <w:i/>
          <w:noProof/>
          <w:sz w:val="18"/>
          <w:szCs w:val="18"/>
          <w:lang w:val="it-IT"/>
        </w:rPr>
        <w:t xml:space="preserve">(preţuri la </w:t>
      </w:r>
      <w:r w:rsidR="0081455B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10.08</w:t>
      </w:r>
      <w:r w:rsidRPr="00FD1EAF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.202</w:t>
      </w:r>
      <w:r w:rsidR="0081455B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1</w:t>
      </w:r>
      <w:r w:rsidRPr="00FD1EAF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, curs  LEI / EURO, 1 euro = 4,</w:t>
      </w:r>
      <w:r w:rsidR="004A2751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9</w:t>
      </w:r>
      <w:r w:rsidR="005544E8">
        <w:rPr>
          <w:rFonts w:ascii="Times New Roman" w:hAnsi="Times New Roman" w:cs="Times New Roman"/>
          <w:i/>
          <w:noProof/>
          <w:sz w:val="18"/>
          <w:szCs w:val="18"/>
          <w:lang w:val="it-IT"/>
        </w:rPr>
        <w:t>215</w:t>
      </w:r>
      <w:r w:rsidRPr="00FD1EAF">
        <w:rPr>
          <w:rFonts w:ascii="Times New Roman" w:hAnsi="Times New Roman" w:cs="Times New Roman"/>
          <w:i/>
          <w:noProof/>
          <w:sz w:val="18"/>
          <w:szCs w:val="18"/>
          <w:lang w:val="it-IT"/>
        </w:rPr>
        <w:t xml:space="preserve"> lei. </w:t>
      </w:r>
    </w:p>
    <w:p w14:paraId="425A2B29" w14:textId="0B8694A5" w:rsidR="00412545" w:rsidRPr="00FD1EAF" w:rsidRDefault="00EE0E0C" w:rsidP="00CA5AF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din care</w:t>
      </w:r>
      <w:r w:rsidR="00CA5AF6" w:rsidRPr="00FD1EAF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:</w:t>
      </w:r>
    </w:p>
    <w:p w14:paraId="09003945" w14:textId="1B6509F1" w:rsidR="00EE0E0C" w:rsidRPr="00FD1EAF" w:rsidRDefault="00CA5AF6" w:rsidP="00CA5AF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12545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construcții montaj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634A1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mii lei</w:t>
      </w:r>
      <w:r w:rsidRPr="00FD1EAF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E0E0C" w:rsidRPr="00FD1E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AA167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81.93</w:t>
      </w:r>
      <w:r w:rsidR="004F5A1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</w:t>
      </w:r>
    </w:p>
    <w:p w14:paraId="33282FD4" w14:textId="27BFAB90" w:rsidR="00E634A1" w:rsidRPr="00FD1EAF" w:rsidRDefault="00E634A1" w:rsidP="00E634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FDB7475" w14:textId="0965DA7D" w:rsidR="008832D2" w:rsidRPr="00FD1EAF" w:rsidRDefault="00236B6D" w:rsidP="008832D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Eșalonarea</w:t>
      </w:r>
      <w:r w:rsidR="008832D2" w:rsidRPr="00FD1E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investiției </w:t>
      </w:r>
    </w:p>
    <w:p w14:paraId="010F9568" w14:textId="77777777" w:rsidR="008832D2" w:rsidRPr="00FD1EAF" w:rsidRDefault="008832D2" w:rsidP="008832D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DE375A5" w14:textId="4B0043F2" w:rsidR="008832D2" w:rsidRPr="00FD1EAF" w:rsidRDefault="008832D2" w:rsidP="00FD1EAF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I 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INV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</w:t>
      </w:r>
      <w:r w:rsidR="00C671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mii lei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</w:t>
      </w:r>
      <w:r w:rsidR="00845BAC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A1677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98.420</w:t>
      </w:r>
    </w:p>
    <w:p w14:paraId="2A2523FE" w14:textId="6E1477FF" w:rsidR="008832D2" w:rsidRPr="00FD1EAF" w:rsidRDefault="008832D2" w:rsidP="00FD1EAF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C+M                                                     </w:t>
      </w:r>
      <w:r w:rsidR="00C671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mii lei        </w:t>
      </w:r>
      <w:r w:rsidR="00845BAC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A167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32.770</w:t>
      </w:r>
    </w:p>
    <w:p w14:paraId="59358C95" w14:textId="0C305790" w:rsidR="007F04B5" w:rsidRPr="00FD1EAF" w:rsidRDefault="008832D2" w:rsidP="00FD1EAF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II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INV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</w:t>
      </w:r>
      <w:r w:rsidR="00C671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mii lei</w:t>
      </w:r>
      <w:r w:rsidR="007F04B5"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</w:t>
      </w:r>
      <w:r w:rsidR="0081455B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147.63</w:t>
      </w:r>
      <w:r w:rsidR="004F5A1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5</w:t>
      </w:r>
    </w:p>
    <w:p w14:paraId="765F2564" w14:textId="390A690A" w:rsidR="007F04B5" w:rsidRPr="00FD1EAF" w:rsidRDefault="007F04B5" w:rsidP="00FD1EAF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C+M                                                    </w:t>
      </w:r>
      <w:r w:rsidR="00C6712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 w:rsidRPr="00FD1E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mii lei                         </w:t>
      </w:r>
      <w:r w:rsidR="008145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49.16</w:t>
      </w:r>
      <w:r w:rsidR="004F5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7</w:t>
      </w:r>
    </w:p>
    <w:p w14:paraId="07CC84FD" w14:textId="77777777" w:rsidR="00670A1D" w:rsidRDefault="00670A1D" w:rsidP="00705A50">
      <w:pPr>
        <w:tabs>
          <w:tab w:val="left" w:pos="0"/>
        </w:tabs>
        <w:spacing w:before="120"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CC7EAD0" w14:textId="77777777" w:rsidR="000B0C9D" w:rsidRPr="00670A1D" w:rsidRDefault="00705A50" w:rsidP="000B0C9D">
      <w:pPr>
        <w:tabs>
          <w:tab w:val="left" w:pos="0"/>
        </w:tabs>
        <w:spacing w:before="120" w:after="0" w:line="288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670A1D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Capacități:</w:t>
      </w:r>
    </w:p>
    <w:p w14:paraId="4999664F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Obiectivul 1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Modernizarea rețelei de radare meteorologice (7 radare meteorologice Doppler, dual-polarimetrice, în bandă S); </w:t>
      </w:r>
    </w:p>
    <w:p w14:paraId="1CF6C788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Obiectivul 2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Modernizarea rețelei de detecție a fulgerelor; </w:t>
      </w:r>
    </w:p>
    <w:p w14:paraId="42517649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Obiectivul 3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Modernizarea infrastructurii de comunicații și îmbunătățirea performanțelor sistemului informatic al Administrației Naționale de Meteorologie; </w:t>
      </w:r>
    </w:p>
    <w:p w14:paraId="4A33AC1B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Obiectivul 4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Extinderea modernizării rețelei naționale de stații meteorologice automate; </w:t>
      </w:r>
    </w:p>
    <w:p w14:paraId="3B5E5CA1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354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Obiectivul 5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Sistem de recepție, prelucrare, vizualizare, arhivare și diseminare a datelor de la sateliții meteorologici și de supraveghere a atmosferei; </w:t>
      </w:r>
    </w:p>
    <w:p w14:paraId="2E1457A5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Obiectivul 6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Sistem de recepție, prelucrare, arhivare și diseminare a datelor de la sateliții Copernicus Sentinel-1, Sentinel-2, Sentinel-3 și Sentinel-5P de tip capabil să asigure înregistrări ale zonelor afectate de dezastre sau situații de criză pe teritoriul național; </w:t>
      </w:r>
    </w:p>
    <w:p w14:paraId="5D730F89" w14:textId="77777777" w:rsidR="0081455B" w:rsidRPr="0081455B" w:rsidRDefault="0081455B" w:rsidP="00814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Obiectivul 7</w:t>
      </w: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Înființarea Centrului Agrometeorologic pentru Regiunea VI-Europa din cadrul Organizației Meteorologice Mondiale (OMM):</w:t>
      </w:r>
    </w:p>
    <w:p w14:paraId="2227D642" w14:textId="7D735E2F" w:rsidR="0081455B" w:rsidRPr="0081455B" w:rsidRDefault="0081455B" w:rsidP="0081455B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>Regim de înălțime: D+P+2E</w:t>
      </w:r>
    </w:p>
    <w:p w14:paraId="6D53737F" w14:textId="234638FF" w:rsidR="0081455B" w:rsidRPr="0081455B" w:rsidRDefault="0081455B" w:rsidP="0081455B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>Suprafața desfășurată: 2663,00 m2</w:t>
      </w:r>
    </w:p>
    <w:p w14:paraId="3582C0F4" w14:textId="64E6ED57" w:rsidR="0081455B" w:rsidRPr="0081455B" w:rsidRDefault="0081455B" w:rsidP="0081455B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455B">
        <w:rPr>
          <w:rFonts w:ascii="Times New Roman" w:eastAsia="Times New Roman" w:hAnsi="Times New Roman" w:cs="Times New Roman"/>
          <w:sz w:val="24"/>
          <w:szCs w:val="24"/>
          <w:lang w:val="ro-RO"/>
        </w:rPr>
        <w:t>Echiparea clădirii cu IT Datacenter</w:t>
      </w:r>
    </w:p>
    <w:p w14:paraId="62214E1D" w14:textId="0FA641E1" w:rsidR="000B0C9D" w:rsidRDefault="000B0C9D" w:rsidP="004A2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09E41E88" w14:textId="41857189" w:rsidR="008832D2" w:rsidRPr="008832D2" w:rsidRDefault="008832D2" w:rsidP="000B0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Durata de </w:t>
      </w:r>
      <w:r w:rsidR="0081455B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realizare</w:t>
      </w: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 xml:space="preserve"> a investiţiei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: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</w:r>
      <w:r w:rsidR="00670A1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</w:t>
      </w:r>
      <w:r w:rsidR="0081455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</w:t>
      </w:r>
      <w:r w:rsidR="00670A1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luni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ab/>
        <w:t xml:space="preserve">  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r w:rsidR="00845BA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r w:rsidR="00845BA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</w:t>
      </w:r>
      <w:r w:rsidR="00705A5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</w:t>
      </w:r>
      <w:r w:rsidR="0081455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670A1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81455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24</w:t>
      </w:r>
    </w:p>
    <w:p w14:paraId="0F74047A" w14:textId="77777777" w:rsidR="008832D2" w:rsidRPr="008832D2" w:rsidRDefault="008832D2" w:rsidP="000B0C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0DC7138" w14:textId="77777777" w:rsidR="008832D2" w:rsidRPr="008832D2" w:rsidRDefault="008832D2" w:rsidP="000B0C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FACTORI DE RISC</w:t>
      </w:r>
    </w:p>
    <w:p w14:paraId="53F05453" w14:textId="0D1E4B5D" w:rsidR="008832D2" w:rsidRPr="008832D2" w:rsidRDefault="008832D2" w:rsidP="000B0C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Obiectivul de </w:t>
      </w:r>
      <w:r w:rsidR="00236B6D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investiții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va proteja antiseismic potrivit prevederilor Normativului P100 - 1/2013, cu modificările </w:t>
      </w:r>
      <w:r w:rsidR="00236B6D"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8832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14:paraId="45DFCC0B" w14:textId="77777777" w:rsidR="008832D2" w:rsidRPr="008832D2" w:rsidRDefault="008832D2" w:rsidP="000B0C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5A39E4F" w14:textId="77777777" w:rsidR="008832D2" w:rsidRPr="008832D2" w:rsidRDefault="008832D2" w:rsidP="00705A50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832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FINANŢAREA INVESTIŢIEI</w:t>
      </w:r>
    </w:p>
    <w:p w14:paraId="3D635474" w14:textId="669A0490" w:rsidR="004468E4" w:rsidRDefault="00B3077F" w:rsidP="00B3077F">
      <w:pPr>
        <w:spacing w:after="0" w:line="240" w:lineRule="auto"/>
      </w:pPr>
      <w:r w:rsidRPr="00B3077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Finanţarea investiției se realizează din  fonduri externe nerambursabile, </w:t>
      </w:r>
      <w:r w:rsidR="0081455B" w:rsidRPr="008145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 la bugetul de stat prin bugetul Ministerului, Mediului, Apelor și Pădurilor, în limita sumelor aprobate anual cu această destinație, conform programelor de investiții publice aprobate potrivit legii.</w:t>
      </w:r>
    </w:p>
    <w:sectPr w:rsidR="004468E4" w:rsidSect="00FD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42" w:left="1701" w:header="29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1310" w14:textId="77777777" w:rsidR="00487058" w:rsidRDefault="00487058">
      <w:pPr>
        <w:spacing w:after="0" w:line="240" w:lineRule="auto"/>
      </w:pPr>
      <w:r>
        <w:separator/>
      </w:r>
    </w:p>
  </w:endnote>
  <w:endnote w:type="continuationSeparator" w:id="0">
    <w:p w14:paraId="690BFF8A" w14:textId="77777777" w:rsidR="00487058" w:rsidRDefault="0048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2C3B" w14:textId="77777777" w:rsidR="00236B6D" w:rsidRDefault="0023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0209" w14:textId="709D89A6" w:rsidR="002741F2" w:rsidRDefault="008832D2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48C49" wp14:editId="4252769F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6CD79" w14:textId="77777777" w:rsidR="002741F2" w:rsidRDefault="00487058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8C4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554.15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" stroked="f">
              <v:fill opacity="0"/>
              <v:textbox inset="0,0,0,0">
                <w:txbxContent>
                  <w:p w14:paraId="1A56CD79" w14:textId="77777777" w:rsidR="002741F2" w:rsidRDefault="00D85491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5F41" w14:textId="77777777" w:rsidR="00236B6D" w:rsidRDefault="002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A736" w14:textId="77777777" w:rsidR="00487058" w:rsidRDefault="00487058">
      <w:pPr>
        <w:spacing w:after="0" w:line="240" w:lineRule="auto"/>
      </w:pPr>
      <w:r>
        <w:separator/>
      </w:r>
    </w:p>
  </w:footnote>
  <w:footnote w:type="continuationSeparator" w:id="0">
    <w:p w14:paraId="284519D6" w14:textId="77777777" w:rsidR="00487058" w:rsidRDefault="0048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C8A" w14:textId="5D8347AC" w:rsidR="00236B6D" w:rsidRDefault="00487058">
    <w:pPr>
      <w:pStyle w:val="Header"/>
    </w:pPr>
    <w:r>
      <w:rPr>
        <w:noProof/>
      </w:rPr>
      <w:pict w14:anchorId="1BD53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4" o:spid="_x0000_s1035" type="#_x0000_t136" style="position:absolute;margin-left:0;margin-top:0;width:515.7pt;height:1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AD5" w14:textId="193D0A5A" w:rsidR="00236B6D" w:rsidRDefault="00487058">
    <w:pPr>
      <w:pStyle w:val="Header"/>
    </w:pPr>
    <w:r>
      <w:rPr>
        <w:noProof/>
      </w:rPr>
      <w:pict w14:anchorId="78DED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5" o:spid="_x0000_s1036" type="#_x0000_t136" style="position:absolute;margin-left:0;margin-top:0;width:515.7pt;height:14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4732" w14:textId="17ABF890" w:rsidR="00236B6D" w:rsidRDefault="00487058">
    <w:pPr>
      <w:pStyle w:val="Header"/>
    </w:pPr>
    <w:r>
      <w:rPr>
        <w:noProof/>
      </w:rPr>
      <w:pict w14:anchorId="16716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62093" o:spid="_x0000_s1034" type="#_x0000_t136" style="position:absolute;margin-left:0;margin-top:0;width:515.7pt;height:1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6E5"/>
    <w:multiLevelType w:val="hybridMultilevel"/>
    <w:tmpl w:val="CD60743E"/>
    <w:lvl w:ilvl="0" w:tplc="A12A6E52">
      <w:start w:val="1"/>
      <w:numFmt w:val="upperRoman"/>
      <w:lvlText w:val="%1.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 w15:restartNumberingAfterBreak="0">
    <w:nsid w:val="08486724"/>
    <w:multiLevelType w:val="hybridMultilevel"/>
    <w:tmpl w:val="3C46B4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042"/>
    <w:multiLevelType w:val="hybridMultilevel"/>
    <w:tmpl w:val="B0F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27E0"/>
    <w:multiLevelType w:val="hybridMultilevel"/>
    <w:tmpl w:val="E8441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46365"/>
    <w:multiLevelType w:val="hybridMultilevel"/>
    <w:tmpl w:val="039E322C"/>
    <w:lvl w:ilvl="0" w:tplc="3D78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D5657"/>
    <w:multiLevelType w:val="hybridMultilevel"/>
    <w:tmpl w:val="CF70A98A"/>
    <w:lvl w:ilvl="0" w:tplc="621C450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654B"/>
    <w:multiLevelType w:val="hybridMultilevel"/>
    <w:tmpl w:val="E8441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4590D"/>
    <w:multiLevelType w:val="hybridMultilevel"/>
    <w:tmpl w:val="0E9CB2C0"/>
    <w:lvl w:ilvl="0" w:tplc="2B20C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2"/>
    <w:rsid w:val="00075F9B"/>
    <w:rsid w:val="000B0C9D"/>
    <w:rsid w:val="00114704"/>
    <w:rsid w:val="0017573B"/>
    <w:rsid w:val="001B3545"/>
    <w:rsid w:val="001C6A5A"/>
    <w:rsid w:val="001E1F05"/>
    <w:rsid w:val="00236B6D"/>
    <w:rsid w:val="0027406E"/>
    <w:rsid w:val="002B6619"/>
    <w:rsid w:val="00375ECA"/>
    <w:rsid w:val="003D675A"/>
    <w:rsid w:val="00412545"/>
    <w:rsid w:val="00427F3A"/>
    <w:rsid w:val="004468E4"/>
    <w:rsid w:val="00487058"/>
    <w:rsid w:val="004A2751"/>
    <w:rsid w:val="004F1542"/>
    <w:rsid w:val="004F5A16"/>
    <w:rsid w:val="00510A1B"/>
    <w:rsid w:val="00520632"/>
    <w:rsid w:val="005544E8"/>
    <w:rsid w:val="005B17B3"/>
    <w:rsid w:val="005C130F"/>
    <w:rsid w:val="005E113A"/>
    <w:rsid w:val="0061340E"/>
    <w:rsid w:val="0066643D"/>
    <w:rsid w:val="00670A1D"/>
    <w:rsid w:val="00695A69"/>
    <w:rsid w:val="006A4BC8"/>
    <w:rsid w:val="006C60AC"/>
    <w:rsid w:val="00705A50"/>
    <w:rsid w:val="007243A0"/>
    <w:rsid w:val="007352D1"/>
    <w:rsid w:val="007F04B5"/>
    <w:rsid w:val="0080577C"/>
    <w:rsid w:val="0081455B"/>
    <w:rsid w:val="00845BAC"/>
    <w:rsid w:val="00852848"/>
    <w:rsid w:val="008832D2"/>
    <w:rsid w:val="008B1CF0"/>
    <w:rsid w:val="008F1DEF"/>
    <w:rsid w:val="00956338"/>
    <w:rsid w:val="00A735AE"/>
    <w:rsid w:val="00A815F0"/>
    <w:rsid w:val="00A86497"/>
    <w:rsid w:val="00AA1677"/>
    <w:rsid w:val="00B3077F"/>
    <w:rsid w:val="00B575D1"/>
    <w:rsid w:val="00BB4D48"/>
    <w:rsid w:val="00BF60EC"/>
    <w:rsid w:val="00C3193D"/>
    <w:rsid w:val="00C50ADD"/>
    <w:rsid w:val="00C67120"/>
    <w:rsid w:val="00C77A08"/>
    <w:rsid w:val="00CA1BA6"/>
    <w:rsid w:val="00CA5AF6"/>
    <w:rsid w:val="00D85491"/>
    <w:rsid w:val="00DE7B99"/>
    <w:rsid w:val="00E634A1"/>
    <w:rsid w:val="00EE0E0C"/>
    <w:rsid w:val="00F43EB8"/>
    <w:rsid w:val="00F854C9"/>
    <w:rsid w:val="00FD1EAF"/>
    <w:rsid w:val="00FD304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D91A"/>
  <w15:chartTrackingRefBased/>
  <w15:docId w15:val="{7F8E5134-C4EC-4943-9399-4142BFE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2"/>
  </w:style>
  <w:style w:type="paragraph" w:styleId="Header">
    <w:name w:val="header"/>
    <w:basedOn w:val="Normal"/>
    <w:link w:val="HeaderCha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D"/>
  </w:style>
  <w:style w:type="paragraph" w:styleId="ListParagraph">
    <w:name w:val="List Paragraph"/>
    <w:basedOn w:val="Normal"/>
    <w:uiPriority w:val="34"/>
    <w:qFormat/>
    <w:rsid w:val="00845BAC"/>
    <w:pPr>
      <w:ind w:left="720"/>
      <w:contextualSpacing/>
    </w:pPr>
  </w:style>
  <w:style w:type="paragraph" w:styleId="NoSpacing">
    <w:name w:val="No Spacing"/>
    <w:uiPriority w:val="1"/>
    <w:qFormat/>
    <w:rsid w:val="00E634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C987-B704-472D-BCE7-F672D408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Eugen Stefanescu</cp:lastModifiedBy>
  <cp:revision>2</cp:revision>
  <cp:lastPrinted>2021-12-06T12:10:00Z</cp:lastPrinted>
  <dcterms:created xsi:type="dcterms:W3CDTF">2021-12-06T13:08:00Z</dcterms:created>
  <dcterms:modified xsi:type="dcterms:W3CDTF">2021-12-06T13:08:00Z</dcterms:modified>
</cp:coreProperties>
</file>